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BAFE7E2">
      <w:pPr>
        <w:tabs>
          <w:tab w:val="left" w:pos="4620"/>
        </w:tabs>
        <w:rPr>
          <w:rFonts w:hint="eastAsia" w:ascii="仿宋_GB2312" w:hAnsi="仿宋_GB2312" w:eastAsia="仿宋_GB2312" w:cs="仿宋_GB2312"/>
          <w:sz w:val="36"/>
          <w:szCs w:val="36"/>
        </w:rPr>
      </w:pPr>
    </w:p>
    <w:p w14:paraId="4E36036E">
      <w:pPr>
        <w:rPr>
          <w:rFonts w:ascii="仿宋_GB2312" w:hAnsi="仿宋_GB2312" w:eastAsia="仿宋_GB2312" w:cs="仿宋_GB2312"/>
          <w:sz w:val="36"/>
          <w:szCs w:val="36"/>
        </w:rPr>
      </w:pPr>
    </w:p>
    <w:p w14:paraId="3150C191">
      <w:pPr>
        <w:rPr>
          <w:rFonts w:hint="eastAsia" w:ascii="仿宋_GB2312" w:hAnsi="仿宋_GB2312" w:eastAsia="仿宋_GB2312" w:cs="仿宋_GB2312"/>
          <w:sz w:val="36"/>
          <w:szCs w:val="36"/>
        </w:rPr>
      </w:pPr>
    </w:p>
    <w:p w14:paraId="65DCE6B3">
      <w:pPr>
        <w:adjustRightInd w:val="0"/>
        <w:snapToGrid w:val="0"/>
        <w:jc w:val="center"/>
        <w:outlineLvl w:val="0"/>
        <w:rPr>
          <w:rFonts w:hint="eastAsia" w:ascii="方正小标宋简体" w:hAnsi="方正小标宋简体" w:eastAsia="方正小标宋简体" w:cs="方正小标宋简体"/>
          <w:b w:val="0"/>
          <w:bCs/>
          <w:sz w:val="52"/>
          <w:szCs w:val="52"/>
        </w:rPr>
      </w:pPr>
      <w:r>
        <w:rPr>
          <w:rFonts w:hint="eastAsia" w:ascii="方正小标宋简体" w:hAnsi="方正小标宋简体" w:eastAsia="方正小标宋简体" w:cs="方正小标宋简体"/>
          <w:b w:val="0"/>
          <w:bCs/>
          <w:sz w:val="52"/>
          <w:szCs w:val="52"/>
        </w:rPr>
        <w:t>建设项目</w:t>
      </w:r>
      <w:r>
        <w:rPr>
          <w:rFonts w:hint="eastAsia" w:ascii="方正小标宋简体" w:hAnsi="方正小标宋简体" w:eastAsia="方正小标宋简体" w:cs="方正小标宋简体"/>
          <w:b w:val="0"/>
          <w:bCs/>
          <w:sz w:val="52"/>
          <w:szCs w:val="52"/>
          <w:lang w:val="en-US" w:eastAsia="zh-CN"/>
        </w:rPr>
        <w:t>生态</w:t>
      </w:r>
      <w:r>
        <w:rPr>
          <w:rFonts w:hint="eastAsia" w:ascii="方正小标宋简体" w:hAnsi="方正小标宋简体" w:eastAsia="方正小标宋简体" w:cs="方正小标宋简体"/>
          <w:b w:val="0"/>
          <w:bCs/>
          <w:sz w:val="52"/>
          <w:szCs w:val="52"/>
        </w:rPr>
        <w:t>环境影响报告表</w:t>
      </w:r>
    </w:p>
    <w:p w14:paraId="1EB5EE6B">
      <w:pPr>
        <w:adjustRightInd w:val="0"/>
        <w:snapToGrid w:val="0"/>
        <w:spacing w:before="192" w:beforeLines="80"/>
        <w:jc w:val="center"/>
        <w:rPr>
          <w:rFonts w:hint="eastAsia" w:ascii="楷体_GB2312" w:eastAsia="楷体_GB2312"/>
          <w:bCs/>
          <w:sz w:val="48"/>
          <w:szCs w:val="48"/>
        </w:rPr>
      </w:pPr>
      <w:r>
        <w:rPr>
          <w:rFonts w:hint="eastAsia" w:ascii="楷体_GB2312" w:eastAsia="楷体_GB2312"/>
          <w:bCs/>
          <w:sz w:val="48"/>
          <w:szCs w:val="48"/>
        </w:rPr>
        <w:t>（污染影响类）</w:t>
      </w:r>
    </w:p>
    <w:p w14:paraId="091E9797">
      <w:pPr>
        <w:jc w:val="center"/>
        <w:rPr>
          <w:rFonts w:eastAsia="仿宋"/>
          <w:sz w:val="52"/>
          <w:szCs w:val="52"/>
        </w:rPr>
      </w:pPr>
    </w:p>
    <w:p w14:paraId="5D0D8606">
      <w:pPr>
        <w:ind w:firstLine="1040"/>
        <w:rPr>
          <w:rFonts w:eastAsia="仿宋"/>
          <w:sz w:val="44"/>
          <w:szCs w:val="44"/>
        </w:rPr>
      </w:pPr>
    </w:p>
    <w:p w14:paraId="5849E57F">
      <w:pPr>
        <w:ind w:firstLine="1040"/>
        <w:rPr>
          <w:rFonts w:eastAsia="仿宋"/>
          <w:sz w:val="44"/>
          <w:szCs w:val="44"/>
        </w:rPr>
      </w:pPr>
    </w:p>
    <w:p w14:paraId="2FCD39DA">
      <w:pPr>
        <w:rPr>
          <w:rFonts w:eastAsia="仿宋"/>
          <w:sz w:val="44"/>
          <w:szCs w:val="44"/>
        </w:rPr>
      </w:pPr>
    </w:p>
    <w:p w14:paraId="21D6018C">
      <w:pPr>
        <w:adjustRightInd w:val="0"/>
        <w:snapToGrid w:val="0"/>
        <w:spacing w:line="288" w:lineRule="auto"/>
        <w:ind w:firstLine="1040"/>
        <w:jc w:val="center"/>
        <w:rPr>
          <w:rFonts w:hint="eastAsia" w:ascii="仿宋_GB2312" w:eastAsia="仿宋_GB2312"/>
          <w:sz w:val="36"/>
          <w:szCs w:val="36"/>
        </w:rPr>
      </w:pPr>
    </w:p>
    <w:p w14:paraId="7F1D56BF">
      <w:pPr>
        <w:adjustRightInd w:val="0"/>
        <w:snapToGrid w:val="0"/>
        <w:spacing w:line="288" w:lineRule="auto"/>
        <w:ind w:left="2160" w:hanging="2160" w:hangingChars="600"/>
        <w:jc w:val="left"/>
        <w:rPr>
          <w:rFonts w:hint="eastAsia" w:ascii="仿宋" w:hAnsi="仿宋" w:eastAsia="仿宋" w:cs="仿宋"/>
          <w:sz w:val="36"/>
          <w:szCs w:val="36"/>
          <w:u w:val="single"/>
        </w:rPr>
      </w:pPr>
      <w:r>
        <w:rPr>
          <w:rFonts w:hint="eastAsia" w:ascii="仿宋" w:hAnsi="仿宋" w:eastAsia="仿宋" w:cs="仿宋"/>
          <w:sz w:val="36"/>
          <w:szCs w:val="36"/>
        </w:rPr>
        <w:t>项目名称：</w:t>
      </w:r>
      <w:r>
        <w:rPr>
          <w:rFonts w:hint="eastAsia" w:ascii="仿宋" w:hAnsi="仿宋" w:eastAsia="仿宋" w:cs="仿宋"/>
          <w:sz w:val="36"/>
          <w:szCs w:val="36"/>
          <w:u w:val="single"/>
        </w:rPr>
        <w:t xml:space="preserve">   </w:t>
      </w:r>
      <w:r>
        <w:rPr>
          <w:rFonts w:hint="eastAsia" w:ascii="仿宋" w:hAnsi="仿宋" w:eastAsia="仿宋" w:cs="仿宋"/>
          <w:sz w:val="36"/>
          <w:szCs w:val="36"/>
          <w:highlight w:val="none"/>
          <w:u w:val="single"/>
        </w:rPr>
        <w:t xml:space="preserve"> </w:t>
      </w:r>
      <w:r>
        <w:rPr>
          <w:rFonts w:hint="eastAsia" w:ascii="仿宋" w:hAnsi="仿宋" w:eastAsia="仿宋" w:cs="仿宋"/>
          <w:sz w:val="36"/>
          <w:szCs w:val="36"/>
          <w:highlight w:val="none"/>
          <w:u w:val="single"/>
          <w:lang w:eastAsia="zh-CN"/>
        </w:rPr>
        <w:t>淮南东方医院集团肿瘤医院分院项目</w:t>
      </w:r>
      <w:r>
        <w:rPr>
          <w:rFonts w:hint="eastAsia" w:ascii="仿宋" w:hAnsi="仿宋" w:eastAsia="仿宋" w:cs="仿宋"/>
          <w:sz w:val="36"/>
          <w:szCs w:val="36"/>
          <w:highlight w:val="none"/>
          <w:u w:val="single"/>
        </w:rPr>
        <w:t xml:space="preserve"> </w:t>
      </w:r>
      <w:r>
        <w:rPr>
          <w:rFonts w:hint="eastAsia" w:ascii="仿宋" w:hAnsi="仿宋" w:eastAsia="仿宋" w:cs="仿宋"/>
          <w:sz w:val="36"/>
          <w:szCs w:val="36"/>
          <w:u w:val="single"/>
        </w:rPr>
        <w:t xml:space="preserve">                            </w:t>
      </w:r>
    </w:p>
    <w:p w14:paraId="384FE302">
      <w:pPr>
        <w:adjustRightInd w:val="0"/>
        <w:snapToGrid w:val="0"/>
        <w:spacing w:line="288" w:lineRule="auto"/>
        <w:ind w:left="3600" w:hanging="3600" w:hangingChars="1000"/>
        <w:jc w:val="left"/>
        <w:rPr>
          <w:rFonts w:hint="eastAsia" w:ascii="仿宋" w:hAnsi="仿宋" w:eastAsia="仿宋" w:cs="仿宋"/>
          <w:sz w:val="36"/>
          <w:szCs w:val="36"/>
          <w:u w:val="single"/>
        </w:rPr>
      </w:pPr>
      <w:r>
        <w:rPr>
          <w:rFonts w:hint="eastAsia" w:ascii="仿宋" w:hAnsi="仿宋" w:eastAsia="仿宋" w:cs="仿宋"/>
          <w:sz w:val="36"/>
          <w:szCs w:val="36"/>
        </w:rPr>
        <w:t xml:space="preserve">建设单位（盖章）： </w:t>
      </w:r>
      <w:r>
        <w:rPr>
          <w:rFonts w:hint="eastAsia" w:ascii="仿宋" w:hAnsi="仿宋" w:eastAsia="仿宋" w:cs="仿宋"/>
          <w:sz w:val="36"/>
          <w:szCs w:val="36"/>
          <w:u w:val="single"/>
          <w:lang w:val="en-US" w:eastAsia="zh-CN"/>
        </w:rPr>
        <w:t xml:space="preserve">   淮南东方医院集团肿瘤医院</w:t>
      </w:r>
      <w:r>
        <w:rPr>
          <w:rFonts w:hint="eastAsia" w:ascii="仿宋" w:hAnsi="仿宋" w:eastAsia="仿宋" w:cs="仿宋"/>
          <w:sz w:val="36"/>
          <w:szCs w:val="36"/>
          <w:u w:val="single"/>
        </w:rPr>
        <w:t xml:space="preserve">                      </w:t>
      </w:r>
    </w:p>
    <w:p w14:paraId="391F629B">
      <w:pPr>
        <w:adjustRightInd w:val="0"/>
        <w:snapToGrid w:val="0"/>
        <w:spacing w:line="288" w:lineRule="auto"/>
        <w:jc w:val="left"/>
        <w:rPr>
          <w:rFonts w:ascii="仿宋_GB2312" w:eastAsia="仿宋_GB2312"/>
          <w:sz w:val="36"/>
          <w:szCs w:val="36"/>
          <w:u w:val="single"/>
        </w:rPr>
      </w:pPr>
      <w:r>
        <w:rPr>
          <w:rFonts w:hint="eastAsia" w:ascii="仿宋" w:hAnsi="仿宋" w:eastAsia="仿宋" w:cs="仿宋"/>
          <w:sz w:val="36"/>
          <w:szCs w:val="36"/>
        </w:rPr>
        <w:t>编制日期：</w:t>
      </w:r>
      <w:r>
        <w:rPr>
          <w:rFonts w:hint="eastAsia" w:ascii="仿宋" w:hAnsi="仿宋" w:eastAsia="仿宋" w:cs="仿宋"/>
          <w:sz w:val="36"/>
          <w:szCs w:val="36"/>
          <w:u w:val="single"/>
        </w:rPr>
        <w:t xml:space="preserve">          202</w:t>
      </w:r>
      <w:r>
        <w:rPr>
          <w:rFonts w:hint="eastAsia" w:ascii="仿宋" w:hAnsi="仿宋" w:eastAsia="仿宋" w:cs="仿宋"/>
          <w:sz w:val="36"/>
          <w:szCs w:val="36"/>
          <w:u w:val="single"/>
          <w:lang w:val="en-US" w:eastAsia="zh-CN"/>
        </w:rPr>
        <w:t>6</w:t>
      </w:r>
      <w:r>
        <w:rPr>
          <w:rFonts w:hint="eastAsia" w:ascii="仿宋" w:hAnsi="仿宋" w:eastAsia="仿宋" w:cs="仿宋"/>
          <w:sz w:val="36"/>
          <w:szCs w:val="36"/>
          <w:u w:val="single"/>
        </w:rPr>
        <w:t>年</w:t>
      </w:r>
      <w:r>
        <w:rPr>
          <w:rFonts w:hint="eastAsia" w:ascii="仿宋" w:hAnsi="仿宋" w:eastAsia="仿宋" w:cs="仿宋"/>
          <w:sz w:val="36"/>
          <w:szCs w:val="36"/>
          <w:u w:val="single"/>
          <w:lang w:val="en-US" w:eastAsia="zh-CN"/>
        </w:rPr>
        <w:t>10</w:t>
      </w:r>
      <w:r>
        <w:rPr>
          <w:rFonts w:hint="eastAsia" w:ascii="仿宋" w:hAnsi="仿宋" w:eastAsia="仿宋" w:cs="仿宋"/>
          <w:sz w:val="36"/>
          <w:szCs w:val="36"/>
          <w:u w:val="single"/>
        </w:rPr>
        <w:t xml:space="preserve">月                   </w:t>
      </w:r>
    </w:p>
    <w:p w14:paraId="38C0C752">
      <w:pPr>
        <w:adjustRightInd w:val="0"/>
        <w:snapToGrid w:val="0"/>
        <w:spacing w:line="288" w:lineRule="auto"/>
        <w:ind w:firstLine="1040"/>
        <w:rPr>
          <w:rFonts w:ascii="仿宋_GB2312" w:eastAsia="仿宋_GB2312"/>
          <w:sz w:val="36"/>
          <w:szCs w:val="36"/>
          <w:u w:val="single"/>
        </w:rPr>
      </w:pPr>
      <w:bookmarkStart w:id="0" w:name="_Hlk57884087"/>
    </w:p>
    <w:p w14:paraId="65FE9D32">
      <w:pPr>
        <w:adjustRightInd w:val="0"/>
        <w:snapToGrid w:val="0"/>
        <w:spacing w:line="288" w:lineRule="auto"/>
        <w:ind w:firstLine="1040"/>
        <w:rPr>
          <w:rFonts w:ascii="仿宋_GB2312" w:eastAsia="仿宋_GB2312"/>
          <w:sz w:val="36"/>
          <w:szCs w:val="36"/>
        </w:rPr>
      </w:pPr>
    </w:p>
    <w:p w14:paraId="757B5A8A">
      <w:pPr>
        <w:adjustRightInd w:val="0"/>
        <w:snapToGrid w:val="0"/>
        <w:spacing w:line="288" w:lineRule="auto"/>
        <w:ind w:firstLine="1040"/>
        <w:rPr>
          <w:rFonts w:ascii="仿宋_GB2312" w:eastAsia="仿宋_GB2312"/>
          <w:sz w:val="36"/>
          <w:szCs w:val="36"/>
        </w:rPr>
      </w:pPr>
    </w:p>
    <w:p w14:paraId="148E91B0">
      <w:pPr>
        <w:adjustRightInd w:val="0"/>
        <w:snapToGrid w:val="0"/>
        <w:spacing w:line="288" w:lineRule="auto"/>
        <w:ind w:firstLine="1040"/>
        <w:rPr>
          <w:rFonts w:hint="eastAsia" w:ascii="仿宋_GB2312" w:eastAsia="仿宋_GB2312"/>
          <w:sz w:val="36"/>
          <w:szCs w:val="36"/>
        </w:rPr>
      </w:pPr>
    </w:p>
    <w:p w14:paraId="4A2808E6">
      <w:pPr>
        <w:adjustRightInd w:val="0"/>
        <w:snapToGrid w:val="0"/>
        <w:spacing w:line="288" w:lineRule="auto"/>
        <w:ind w:firstLine="1040"/>
        <w:rPr>
          <w:rFonts w:hint="eastAsia" w:ascii="仿宋_GB2312" w:eastAsia="仿宋_GB2312"/>
          <w:sz w:val="36"/>
          <w:szCs w:val="36"/>
        </w:rPr>
      </w:pPr>
    </w:p>
    <w:bookmarkEnd w:id="0"/>
    <w:p w14:paraId="2CCA014D">
      <w:pPr>
        <w:adjustRightInd w:val="0"/>
        <w:snapToGrid w:val="0"/>
        <w:spacing w:line="288" w:lineRule="auto"/>
        <w:jc w:val="center"/>
        <w:rPr>
          <w:rFonts w:hint="eastAsia" w:ascii="楷体_GB2312" w:eastAsia="楷体_GB2312"/>
          <w:sz w:val="36"/>
          <w:szCs w:val="36"/>
        </w:rPr>
        <w:sectPr>
          <w:footerReference r:id="rId3" w:type="default"/>
          <w:footerReference r:id="rId4" w:type="even"/>
          <w:pgSz w:w="11906" w:h="16838"/>
          <w:pgMar w:top="1701" w:right="1531" w:bottom="1701" w:left="1531" w:header="851" w:footer="1077" w:gutter="0"/>
          <w:pgNumType w:start="3"/>
          <w:cols w:space="720" w:num="1"/>
          <w:docGrid w:linePitch="312" w:charSpace="0"/>
        </w:sectPr>
      </w:pPr>
      <w:r>
        <w:rPr>
          <w:rFonts w:hint="eastAsia" w:ascii="楷体_GB2312" w:eastAsia="楷体_GB2312"/>
          <w:sz w:val="36"/>
          <w:szCs w:val="36"/>
        </w:rPr>
        <w:t>中华人民共和国生态环境部制</w:t>
      </w:r>
    </w:p>
    <w:p w14:paraId="65CF3372">
      <w:pPr>
        <w:pStyle w:val="13"/>
        <w:jc w:val="center"/>
        <w:outlineLvl w:val="0"/>
        <w:rPr>
          <w:rFonts w:hint="eastAsia" w:ascii="黑体" w:hAnsi="黑体" w:eastAsia="黑体"/>
          <w:snapToGrid w:val="0"/>
          <w:sz w:val="30"/>
          <w:szCs w:val="30"/>
        </w:rPr>
      </w:pPr>
    </w:p>
    <w:p w14:paraId="6B503892">
      <w:pPr>
        <w:pStyle w:val="13"/>
        <w:jc w:val="center"/>
        <w:outlineLvl w:val="0"/>
        <w:rPr>
          <w:rFonts w:hint="eastAsia" w:ascii="黑体" w:hAnsi="黑体" w:eastAsia="黑体"/>
          <w:snapToGrid w:val="0"/>
          <w:sz w:val="30"/>
          <w:szCs w:val="30"/>
        </w:rPr>
      </w:pPr>
    </w:p>
    <w:p w14:paraId="370B5F49">
      <w:pPr>
        <w:pStyle w:val="13"/>
        <w:jc w:val="center"/>
        <w:outlineLvl w:val="0"/>
        <w:rPr>
          <w:rFonts w:hint="eastAsia" w:ascii="黑体" w:hAnsi="黑体" w:eastAsia="黑体"/>
          <w:snapToGrid w:val="0"/>
          <w:sz w:val="30"/>
          <w:szCs w:val="30"/>
        </w:rPr>
      </w:pPr>
    </w:p>
    <w:p w14:paraId="29FC2D15">
      <w:pPr>
        <w:pStyle w:val="13"/>
        <w:jc w:val="center"/>
        <w:outlineLvl w:val="0"/>
        <w:rPr>
          <w:rFonts w:hint="eastAsia" w:ascii="黑体" w:hAnsi="黑体" w:eastAsia="黑体"/>
          <w:snapToGrid w:val="0"/>
          <w:sz w:val="30"/>
          <w:szCs w:val="30"/>
        </w:rPr>
      </w:pPr>
    </w:p>
    <w:p w14:paraId="3749A653">
      <w:pPr>
        <w:pStyle w:val="13"/>
        <w:jc w:val="center"/>
        <w:outlineLvl w:val="0"/>
        <w:rPr>
          <w:rFonts w:hint="eastAsia" w:ascii="黑体" w:hAnsi="黑体" w:eastAsia="黑体"/>
          <w:snapToGrid w:val="0"/>
          <w:sz w:val="30"/>
          <w:szCs w:val="30"/>
        </w:rPr>
      </w:pPr>
    </w:p>
    <w:p w14:paraId="7C22CC02">
      <w:pPr>
        <w:pStyle w:val="13"/>
        <w:jc w:val="center"/>
        <w:outlineLvl w:val="0"/>
        <w:rPr>
          <w:rFonts w:hint="eastAsia" w:ascii="黑体" w:hAnsi="黑体" w:eastAsia="黑体"/>
          <w:snapToGrid w:val="0"/>
          <w:sz w:val="30"/>
          <w:szCs w:val="30"/>
        </w:rPr>
      </w:pPr>
    </w:p>
    <w:p w14:paraId="512C0ED2">
      <w:pPr>
        <w:pStyle w:val="13"/>
        <w:jc w:val="center"/>
        <w:outlineLvl w:val="0"/>
        <w:rPr>
          <w:rFonts w:hint="eastAsia" w:ascii="黑体" w:hAnsi="黑体" w:eastAsia="黑体"/>
          <w:snapToGrid w:val="0"/>
          <w:sz w:val="30"/>
          <w:szCs w:val="30"/>
        </w:rPr>
      </w:pPr>
    </w:p>
    <w:p w14:paraId="6EFB94BD">
      <w:pPr>
        <w:pStyle w:val="13"/>
        <w:jc w:val="center"/>
        <w:outlineLvl w:val="0"/>
        <w:rPr>
          <w:rFonts w:hint="eastAsia" w:ascii="黑体" w:hAnsi="黑体" w:eastAsia="黑体"/>
          <w:snapToGrid w:val="0"/>
          <w:sz w:val="30"/>
          <w:szCs w:val="30"/>
        </w:rPr>
      </w:pPr>
    </w:p>
    <w:p w14:paraId="00949408">
      <w:pPr>
        <w:pStyle w:val="13"/>
        <w:jc w:val="center"/>
        <w:outlineLvl w:val="0"/>
        <w:rPr>
          <w:rFonts w:hint="eastAsia" w:ascii="黑体" w:hAnsi="黑体" w:eastAsia="黑体"/>
          <w:snapToGrid w:val="0"/>
          <w:sz w:val="30"/>
          <w:szCs w:val="30"/>
        </w:rPr>
      </w:pPr>
    </w:p>
    <w:p w14:paraId="1CAB1200">
      <w:pPr>
        <w:pStyle w:val="13"/>
        <w:jc w:val="center"/>
        <w:outlineLvl w:val="0"/>
        <w:rPr>
          <w:rFonts w:hint="eastAsia" w:ascii="黑体" w:hAnsi="黑体" w:eastAsia="黑体"/>
          <w:snapToGrid w:val="0"/>
          <w:sz w:val="30"/>
          <w:szCs w:val="30"/>
        </w:rPr>
      </w:pPr>
    </w:p>
    <w:p w14:paraId="29A29EAE">
      <w:pPr>
        <w:pStyle w:val="13"/>
        <w:jc w:val="center"/>
        <w:outlineLvl w:val="0"/>
        <w:rPr>
          <w:rFonts w:hint="eastAsia" w:ascii="黑体" w:hAnsi="黑体" w:eastAsia="黑体"/>
          <w:snapToGrid w:val="0"/>
          <w:sz w:val="30"/>
          <w:szCs w:val="30"/>
        </w:rPr>
      </w:pPr>
    </w:p>
    <w:p w14:paraId="6504B491">
      <w:pPr>
        <w:pStyle w:val="13"/>
        <w:jc w:val="center"/>
        <w:outlineLvl w:val="0"/>
        <w:rPr>
          <w:rFonts w:hint="eastAsia" w:ascii="黑体" w:hAnsi="黑体" w:eastAsia="黑体"/>
          <w:snapToGrid w:val="0"/>
          <w:sz w:val="30"/>
          <w:szCs w:val="30"/>
        </w:rPr>
      </w:pPr>
    </w:p>
    <w:p w14:paraId="25278551">
      <w:pPr>
        <w:pStyle w:val="13"/>
        <w:jc w:val="center"/>
        <w:outlineLvl w:val="0"/>
        <w:rPr>
          <w:rFonts w:hint="eastAsia" w:ascii="黑体" w:hAnsi="黑体" w:eastAsia="黑体"/>
          <w:snapToGrid w:val="0"/>
          <w:sz w:val="30"/>
          <w:szCs w:val="30"/>
        </w:rPr>
      </w:pPr>
    </w:p>
    <w:p w14:paraId="769F8257">
      <w:pPr>
        <w:pStyle w:val="13"/>
        <w:jc w:val="center"/>
        <w:outlineLvl w:val="0"/>
        <w:rPr>
          <w:rFonts w:hint="eastAsia" w:ascii="黑体" w:hAnsi="黑体" w:eastAsia="黑体"/>
          <w:snapToGrid w:val="0"/>
          <w:sz w:val="30"/>
          <w:szCs w:val="30"/>
        </w:rPr>
      </w:pPr>
    </w:p>
    <w:p w14:paraId="03D29ED5">
      <w:pPr>
        <w:pStyle w:val="13"/>
        <w:jc w:val="center"/>
        <w:outlineLvl w:val="0"/>
        <w:rPr>
          <w:rFonts w:hint="eastAsia" w:ascii="黑体" w:hAnsi="黑体" w:eastAsia="黑体"/>
          <w:snapToGrid w:val="0"/>
          <w:sz w:val="30"/>
          <w:szCs w:val="30"/>
        </w:rPr>
      </w:pPr>
    </w:p>
    <w:p w14:paraId="1BD86489">
      <w:pPr>
        <w:pStyle w:val="13"/>
        <w:jc w:val="center"/>
        <w:outlineLvl w:val="0"/>
        <w:rPr>
          <w:rFonts w:hint="eastAsia" w:ascii="黑体" w:hAnsi="黑体" w:eastAsia="黑体"/>
          <w:snapToGrid w:val="0"/>
          <w:sz w:val="30"/>
          <w:szCs w:val="30"/>
        </w:rPr>
      </w:pPr>
    </w:p>
    <w:p w14:paraId="5960757D">
      <w:pPr>
        <w:pStyle w:val="13"/>
        <w:jc w:val="center"/>
        <w:outlineLvl w:val="0"/>
        <w:rPr>
          <w:rFonts w:hint="eastAsia" w:ascii="黑体" w:hAnsi="黑体" w:eastAsia="黑体"/>
          <w:snapToGrid w:val="0"/>
          <w:sz w:val="30"/>
          <w:szCs w:val="30"/>
        </w:rPr>
      </w:pPr>
    </w:p>
    <w:p w14:paraId="433E9CEB">
      <w:pPr>
        <w:pStyle w:val="13"/>
        <w:jc w:val="center"/>
        <w:outlineLvl w:val="0"/>
        <w:rPr>
          <w:rFonts w:hint="eastAsia" w:ascii="黑体" w:hAnsi="黑体" w:eastAsia="黑体"/>
          <w:snapToGrid w:val="0"/>
          <w:sz w:val="30"/>
          <w:szCs w:val="30"/>
        </w:rPr>
      </w:pPr>
    </w:p>
    <w:p w14:paraId="1B5F6D0B">
      <w:pPr>
        <w:pStyle w:val="13"/>
        <w:jc w:val="center"/>
        <w:outlineLvl w:val="0"/>
        <w:rPr>
          <w:rFonts w:hint="eastAsia" w:ascii="黑体" w:hAnsi="黑体" w:eastAsia="黑体"/>
          <w:snapToGrid w:val="0"/>
          <w:sz w:val="30"/>
          <w:szCs w:val="30"/>
        </w:rPr>
      </w:pPr>
    </w:p>
    <w:p w14:paraId="066EC422">
      <w:pPr>
        <w:pStyle w:val="13"/>
        <w:jc w:val="center"/>
        <w:outlineLvl w:val="0"/>
        <w:rPr>
          <w:rFonts w:hint="eastAsia" w:ascii="黑体" w:hAnsi="黑体" w:eastAsia="黑体"/>
          <w:snapToGrid w:val="0"/>
          <w:sz w:val="30"/>
          <w:szCs w:val="30"/>
        </w:rPr>
        <w:sectPr>
          <w:footerReference r:id="rId5" w:type="default"/>
          <w:pgSz w:w="11906" w:h="16838"/>
          <w:pgMar w:top="1701" w:right="1531" w:bottom="1701" w:left="1531" w:header="851" w:footer="851" w:gutter="0"/>
          <w:pgNumType w:start="1"/>
          <w:cols w:space="720" w:num="1"/>
          <w:docGrid w:linePitch="312" w:charSpace="0"/>
        </w:sectPr>
      </w:pPr>
    </w:p>
    <w:p w14:paraId="1062817F">
      <w:pPr>
        <w:pStyle w:val="13"/>
        <w:jc w:val="center"/>
        <w:outlineLvl w:val="0"/>
        <w:rPr>
          <w:rFonts w:hint="eastAsia" w:ascii="黑体" w:hAnsi="黑体" w:eastAsia="黑体"/>
          <w:snapToGrid w:val="0"/>
          <w:sz w:val="30"/>
          <w:szCs w:val="30"/>
        </w:rPr>
      </w:pPr>
      <w:r>
        <w:rPr>
          <w:rFonts w:hint="eastAsia" w:ascii="黑体" w:hAnsi="黑体" w:eastAsia="黑体"/>
          <w:snapToGrid w:val="0"/>
          <w:sz w:val="30"/>
          <w:szCs w:val="30"/>
        </w:rPr>
        <w:t>一、建设项目基本情况</w:t>
      </w:r>
    </w:p>
    <w:tbl>
      <w:tblPr>
        <w:tblStyle w:val="14"/>
        <w:tblW w:w="9060"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
      <w:tblGrid>
        <w:gridCol w:w="2040"/>
        <w:gridCol w:w="2264"/>
        <w:gridCol w:w="2066"/>
        <w:gridCol w:w="2690"/>
      </w:tblGrid>
      <w:tr w14:paraId="07DDBDB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2040" w:type="dxa"/>
            <w:noWrap w:val="0"/>
            <w:tcMar>
              <w:top w:w="16" w:type="dxa"/>
              <w:left w:w="16" w:type="dxa"/>
              <w:right w:w="16" w:type="dxa"/>
            </w:tcMar>
            <w:vAlign w:val="center"/>
          </w:tcPr>
          <w:p w14:paraId="64DC968E">
            <w:pPr>
              <w:adjustRightInd w:val="0"/>
              <w:snapToGrid w:val="0"/>
              <w:jc w:val="center"/>
              <w:rPr>
                <w:sz w:val="24"/>
              </w:rPr>
            </w:pPr>
            <w:r>
              <w:rPr>
                <w:sz w:val="24"/>
              </w:rPr>
              <w:t>建设项目名称</w:t>
            </w:r>
          </w:p>
        </w:tc>
        <w:tc>
          <w:tcPr>
            <w:tcW w:w="7020" w:type="dxa"/>
            <w:gridSpan w:val="3"/>
            <w:noWrap w:val="0"/>
            <w:vAlign w:val="center"/>
          </w:tcPr>
          <w:p w14:paraId="7707B4F6">
            <w:pPr>
              <w:adjustRightInd w:val="0"/>
              <w:snapToGrid w:val="0"/>
              <w:jc w:val="center"/>
              <w:rPr>
                <w:rFonts w:hint="eastAsia" w:eastAsia="宋体"/>
                <w:sz w:val="24"/>
                <w:lang w:eastAsia="zh-CN"/>
              </w:rPr>
            </w:pPr>
            <w:r>
              <w:rPr>
                <w:rFonts w:hint="eastAsia"/>
                <w:sz w:val="24"/>
                <w:highlight w:val="none"/>
                <w:lang w:eastAsia="zh-CN"/>
              </w:rPr>
              <w:t>淮南东方医院集团肿瘤医院分院项目</w:t>
            </w:r>
          </w:p>
        </w:tc>
      </w:tr>
      <w:tr w14:paraId="6D5C7FB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2040" w:type="dxa"/>
            <w:noWrap w:val="0"/>
            <w:tcMar>
              <w:top w:w="16" w:type="dxa"/>
              <w:left w:w="16" w:type="dxa"/>
              <w:right w:w="16" w:type="dxa"/>
            </w:tcMar>
            <w:vAlign w:val="center"/>
          </w:tcPr>
          <w:p w14:paraId="5D759376">
            <w:pPr>
              <w:adjustRightInd w:val="0"/>
              <w:snapToGrid w:val="0"/>
              <w:jc w:val="center"/>
              <w:rPr>
                <w:sz w:val="24"/>
              </w:rPr>
            </w:pPr>
            <w:r>
              <w:rPr>
                <w:sz w:val="24"/>
              </w:rPr>
              <w:t>项目代码</w:t>
            </w:r>
          </w:p>
        </w:tc>
        <w:tc>
          <w:tcPr>
            <w:tcW w:w="7020" w:type="dxa"/>
            <w:gridSpan w:val="3"/>
            <w:noWrap w:val="0"/>
            <w:vAlign w:val="center"/>
          </w:tcPr>
          <w:p w14:paraId="113F6D09">
            <w:pPr>
              <w:adjustRightInd w:val="0"/>
              <w:snapToGrid w:val="0"/>
              <w:jc w:val="center"/>
              <w:rPr>
                <w:rFonts w:hint="eastAsia" w:eastAsia="宋体"/>
                <w:sz w:val="24"/>
                <w:lang w:eastAsia="zh-CN"/>
              </w:rPr>
            </w:pPr>
            <w:r>
              <w:rPr>
                <w:rFonts w:hint="eastAsia"/>
                <w:sz w:val="24"/>
                <w:highlight w:val="none"/>
                <w:lang w:eastAsia="zh-CN"/>
              </w:rPr>
              <w:t>2610-340406-04-01-944855</w:t>
            </w:r>
          </w:p>
        </w:tc>
      </w:tr>
      <w:tr w14:paraId="626B8F1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2040" w:type="dxa"/>
            <w:noWrap w:val="0"/>
            <w:tcMar>
              <w:top w:w="16" w:type="dxa"/>
              <w:left w:w="16" w:type="dxa"/>
              <w:right w:w="16" w:type="dxa"/>
            </w:tcMar>
            <w:vAlign w:val="center"/>
          </w:tcPr>
          <w:p w14:paraId="76407AAF">
            <w:pPr>
              <w:adjustRightInd w:val="0"/>
              <w:snapToGrid w:val="0"/>
              <w:jc w:val="center"/>
              <w:rPr>
                <w:sz w:val="24"/>
              </w:rPr>
            </w:pPr>
            <w:r>
              <w:rPr>
                <w:sz w:val="24"/>
              </w:rPr>
              <w:t>建设单位联系人</w:t>
            </w:r>
          </w:p>
        </w:tc>
        <w:tc>
          <w:tcPr>
            <w:tcW w:w="2264" w:type="dxa"/>
            <w:noWrap w:val="0"/>
            <w:vAlign w:val="center"/>
          </w:tcPr>
          <w:p w14:paraId="5D133B30">
            <w:pPr>
              <w:adjustRightInd w:val="0"/>
              <w:snapToGrid w:val="0"/>
              <w:jc w:val="center"/>
              <w:rPr>
                <w:rFonts w:hint="default" w:eastAsia="宋体"/>
                <w:sz w:val="24"/>
                <w:lang w:val="en-US" w:eastAsia="zh-CN"/>
              </w:rPr>
            </w:pPr>
            <w:r>
              <w:rPr>
                <w:rFonts w:hint="eastAsia" w:eastAsia="宋体"/>
                <w:sz w:val="24"/>
                <w:lang w:val="en-US" w:eastAsia="zh-CN"/>
              </w:rPr>
              <w:t>郑凯</w:t>
            </w:r>
          </w:p>
        </w:tc>
        <w:tc>
          <w:tcPr>
            <w:tcW w:w="2066" w:type="dxa"/>
            <w:noWrap w:val="0"/>
            <w:vAlign w:val="center"/>
          </w:tcPr>
          <w:p w14:paraId="44EFAFBA">
            <w:pPr>
              <w:adjustRightInd w:val="0"/>
              <w:snapToGrid w:val="0"/>
              <w:jc w:val="center"/>
              <w:rPr>
                <w:sz w:val="24"/>
              </w:rPr>
            </w:pPr>
            <w:r>
              <w:rPr>
                <w:sz w:val="24"/>
              </w:rPr>
              <w:t>联系方式</w:t>
            </w:r>
          </w:p>
        </w:tc>
        <w:tc>
          <w:tcPr>
            <w:tcW w:w="2690" w:type="dxa"/>
            <w:noWrap w:val="0"/>
            <w:vAlign w:val="center"/>
          </w:tcPr>
          <w:p w14:paraId="7756D454">
            <w:pPr>
              <w:tabs>
                <w:tab w:val="center" w:pos="1400"/>
                <w:tab w:val="right" w:pos="2681"/>
              </w:tabs>
              <w:adjustRightInd w:val="0"/>
              <w:snapToGrid w:val="0"/>
              <w:jc w:val="left"/>
              <w:rPr>
                <w:rFonts w:hint="default" w:eastAsia="宋体"/>
                <w:sz w:val="24"/>
                <w:lang w:val="en-US" w:eastAsia="zh-CN"/>
              </w:rPr>
            </w:pPr>
            <w:r>
              <w:rPr>
                <w:rFonts w:hint="eastAsia"/>
                <w:sz w:val="24"/>
                <w:highlight w:val="none"/>
              </w:rPr>
              <w:tab/>
            </w:r>
            <w:r>
              <w:rPr>
                <w:rFonts w:hint="default"/>
                <w:sz w:val="24"/>
                <w:highlight w:val="none"/>
                <w:lang w:val="en-US" w:eastAsia="zh-CN"/>
              </w:rPr>
              <w:t>13966475543</w:t>
            </w:r>
          </w:p>
        </w:tc>
      </w:tr>
      <w:tr w14:paraId="2C03F08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2040" w:type="dxa"/>
            <w:noWrap w:val="0"/>
            <w:tcMar>
              <w:top w:w="16" w:type="dxa"/>
              <w:left w:w="16" w:type="dxa"/>
              <w:right w:w="16" w:type="dxa"/>
            </w:tcMar>
            <w:vAlign w:val="center"/>
          </w:tcPr>
          <w:p w14:paraId="6E68E720">
            <w:pPr>
              <w:adjustRightInd w:val="0"/>
              <w:snapToGrid w:val="0"/>
              <w:jc w:val="center"/>
              <w:rPr>
                <w:sz w:val="24"/>
              </w:rPr>
            </w:pPr>
            <w:r>
              <w:rPr>
                <w:sz w:val="24"/>
              </w:rPr>
              <w:t>建设地点</w:t>
            </w:r>
          </w:p>
        </w:tc>
        <w:tc>
          <w:tcPr>
            <w:tcW w:w="7020" w:type="dxa"/>
            <w:gridSpan w:val="3"/>
            <w:noWrap w:val="0"/>
            <w:vAlign w:val="center"/>
          </w:tcPr>
          <w:p w14:paraId="3B23069B">
            <w:pPr>
              <w:adjustRightInd w:val="0"/>
              <w:snapToGrid w:val="0"/>
              <w:jc w:val="center"/>
              <w:rPr>
                <w:rFonts w:hint="default" w:eastAsia="宋体"/>
                <w:sz w:val="24"/>
                <w:lang w:val="en-US" w:eastAsia="zh-CN"/>
              </w:rPr>
            </w:pPr>
            <w:r>
              <w:rPr>
                <w:rFonts w:hint="eastAsia" w:eastAsia="宋体"/>
                <w:sz w:val="24"/>
                <w:lang w:val="en-US" w:eastAsia="zh-CN"/>
              </w:rPr>
              <w:t>淮南市潘集区芦集镇潘三矿</w:t>
            </w:r>
          </w:p>
        </w:tc>
      </w:tr>
      <w:tr w14:paraId="386B024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2040" w:type="dxa"/>
            <w:noWrap w:val="0"/>
            <w:tcMar>
              <w:top w:w="16" w:type="dxa"/>
              <w:left w:w="16" w:type="dxa"/>
              <w:right w:w="16" w:type="dxa"/>
            </w:tcMar>
            <w:vAlign w:val="center"/>
          </w:tcPr>
          <w:p w14:paraId="797C4489">
            <w:pPr>
              <w:adjustRightInd w:val="0"/>
              <w:snapToGrid w:val="0"/>
              <w:jc w:val="center"/>
              <w:rPr>
                <w:sz w:val="24"/>
              </w:rPr>
            </w:pPr>
            <w:r>
              <w:rPr>
                <w:sz w:val="24"/>
              </w:rPr>
              <w:t>地理坐标</w:t>
            </w:r>
          </w:p>
        </w:tc>
        <w:tc>
          <w:tcPr>
            <w:tcW w:w="7020" w:type="dxa"/>
            <w:gridSpan w:val="3"/>
            <w:noWrap w:val="0"/>
            <w:vAlign w:val="center"/>
          </w:tcPr>
          <w:p w14:paraId="10B75BB8">
            <w:pPr>
              <w:jc w:val="center"/>
              <w:rPr>
                <w:sz w:val="24"/>
              </w:rPr>
            </w:pPr>
            <w:r>
              <w:rPr>
                <w:sz w:val="24"/>
              </w:rPr>
              <w:t>（</w:t>
            </w:r>
            <w:r>
              <w:rPr>
                <w:sz w:val="24"/>
                <w:u w:val="single"/>
              </w:rPr>
              <w:t xml:space="preserve"> 116 </w:t>
            </w:r>
            <w:r>
              <w:rPr>
                <w:sz w:val="24"/>
              </w:rPr>
              <w:t>度</w:t>
            </w:r>
            <w:r>
              <w:rPr>
                <w:sz w:val="24"/>
                <w:u w:val="single"/>
              </w:rPr>
              <w:t xml:space="preserve"> </w:t>
            </w:r>
            <w:r>
              <w:rPr>
                <w:rFonts w:hint="eastAsia"/>
                <w:sz w:val="24"/>
                <w:u w:val="single"/>
                <w:lang w:val="en-US" w:eastAsia="zh-CN"/>
              </w:rPr>
              <w:t>45</w:t>
            </w:r>
            <w:r>
              <w:rPr>
                <w:sz w:val="24"/>
              </w:rPr>
              <w:t>分</w:t>
            </w:r>
            <w:r>
              <w:rPr>
                <w:sz w:val="24"/>
                <w:u w:val="single"/>
              </w:rPr>
              <w:t xml:space="preserve"> </w:t>
            </w:r>
            <w:r>
              <w:rPr>
                <w:rFonts w:hint="eastAsia"/>
                <w:sz w:val="24"/>
                <w:u w:val="single"/>
                <w:lang w:val="en-US" w:eastAsia="zh-CN"/>
              </w:rPr>
              <w:t>55.112</w:t>
            </w:r>
            <w:r>
              <w:rPr>
                <w:sz w:val="24"/>
              </w:rPr>
              <w:t>秒，</w:t>
            </w:r>
            <w:r>
              <w:rPr>
                <w:sz w:val="24"/>
                <w:u w:val="single"/>
              </w:rPr>
              <w:t xml:space="preserve"> 3</w:t>
            </w:r>
            <w:r>
              <w:rPr>
                <w:rFonts w:hint="eastAsia"/>
                <w:sz w:val="24"/>
                <w:u w:val="single"/>
                <w:lang w:val="en-US" w:eastAsia="zh-CN"/>
              </w:rPr>
              <w:t>2</w:t>
            </w:r>
            <w:r>
              <w:rPr>
                <w:sz w:val="24"/>
                <w:u w:val="single"/>
              </w:rPr>
              <w:t xml:space="preserve"> </w:t>
            </w:r>
            <w:r>
              <w:rPr>
                <w:sz w:val="24"/>
              </w:rPr>
              <w:t>度</w:t>
            </w:r>
            <w:r>
              <w:rPr>
                <w:sz w:val="24"/>
                <w:u w:val="single"/>
              </w:rPr>
              <w:t xml:space="preserve"> </w:t>
            </w:r>
            <w:r>
              <w:rPr>
                <w:rFonts w:hint="eastAsia"/>
                <w:sz w:val="24"/>
                <w:u w:val="single"/>
                <w:lang w:val="en-US" w:eastAsia="zh-CN"/>
              </w:rPr>
              <w:t>34</w:t>
            </w:r>
            <w:r>
              <w:rPr>
                <w:sz w:val="24"/>
                <w:u w:val="single"/>
              </w:rPr>
              <w:t xml:space="preserve"> </w:t>
            </w:r>
            <w:r>
              <w:rPr>
                <w:color w:val="auto"/>
                <w:sz w:val="24"/>
              </w:rPr>
              <w:t>分</w:t>
            </w:r>
            <w:r>
              <w:rPr>
                <w:rFonts w:hint="eastAsia"/>
                <w:color w:val="auto"/>
                <w:sz w:val="24"/>
                <w:u w:val="single"/>
                <w:lang w:val="en-US" w:eastAsia="zh-CN"/>
              </w:rPr>
              <w:t>45.528</w:t>
            </w:r>
            <w:r>
              <w:rPr>
                <w:color w:val="auto"/>
                <w:sz w:val="24"/>
              </w:rPr>
              <w:t>秒）</w:t>
            </w:r>
          </w:p>
        </w:tc>
      </w:tr>
      <w:tr w14:paraId="6A39D07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561" w:hRule="atLeast"/>
          <w:jc w:val="center"/>
        </w:trPr>
        <w:tc>
          <w:tcPr>
            <w:tcW w:w="2040" w:type="dxa"/>
            <w:noWrap w:val="0"/>
            <w:tcMar>
              <w:top w:w="16" w:type="dxa"/>
              <w:left w:w="16" w:type="dxa"/>
              <w:right w:w="16" w:type="dxa"/>
            </w:tcMar>
            <w:vAlign w:val="center"/>
          </w:tcPr>
          <w:p w14:paraId="5FF71725">
            <w:pPr>
              <w:adjustRightInd w:val="0"/>
              <w:snapToGrid w:val="0"/>
              <w:jc w:val="center"/>
              <w:rPr>
                <w:sz w:val="24"/>
              </w:rPr>
            </w:pPr>
            <w:r>
              <w:rPr>
                <w:sz w:val="24"/>
              </w:rPr>
              <w:t>国民经济</w:t>
            </w:r>
          </w:p>
          <w:p w14:paraId="108E4EB0">
            <w:pPr>
              <w:adjustRightInd w:val="0"/>
              <w:snapToGrid w:val="0"/>
              <w:jc w:val="center"/>
              <w:rPr>
                <w:sz w:val="24"/>
              </w:rPr>
            </w:pPr>
            <w:r>
              <w:rPr>
                <w:sz w:val="24"/>
              </w:rPr>
              <w:t>行业类别</w:t>
            </w:r>
          </w:p>
        </w:tc>
        <w:tc>
          <w:tcPr>
            <w:tcW w:w="2264" w:type="dxa"/>
            <w:noWrap w:val="0"/>
            <w:vAlign w:val="center"/>
          </w:tcPr>
          <w:p w14:paraId="29E14E08">
            <w:pPr>
              <w:adjustRightInd w:val="0"/>
              <w:snapToGrid w:val="0"/>
              <w:jc w:val="center"/>
              <w:rPr>
                <w:rFonts w:hint="eastAsia"/>
                <w:sz w:val="24"/>
              </w:rPr>
            </w:pPr>
            <w:r>
              <w:rPr>
                <w:color w:val="000000"/>
                <w:sz w:val="24"/>
              </w:rPr>
              <w:t>Q8411 综合医院</w:t>
            </w:r>
          </w:p>
        </w:tc>
        <w:tc>
          <w:tcPr>
            <w:tcW w:w="2066" w:type="dxa"/>
            <w:noWrap w:val="0"/>
            <w:vAlign w:val="center"/>
          </w:tcPr>
          <w:p w14:paraId="2BBCDBC3">
            <w:pPr>
              <w:adjustRightInd w:val="0"/>
              <w:snapToGrid w:val="0"/>
              <w:jc w:val="center"/>
              <w:rPr>
                <w:sz w:val="24"/>
              </w:rPr>
            </w:pPr>
            <w:r>
              <w:rPr>
                <w:sz w:val="24"/>
              </w:rPr>
              <w:t>建设项目</w:t>
            </w:r>
          </w:p>
          <w:p w14:paraId="47993B7C">
            <w:pPr>
              <w:adjustRightInd w:val="0"/>
              <w:snapToGrid w:val="0"/>
              <w:jc w:val="center"/>
              <w:rPr>
                <w:sz w:val="24"/>
              </w:rPr>
            </w:pPr>
            <w:r>
              <w:rPr>
                <w:sz w:val="24"/>
              </w:rPr>
              <w:t>行业类别</w:t>
            </w:r>
          </w:p>
        </w:tc>
        <w:tc>
          <w:tcPr>
            <w:tcW w:w="2690" w:type="dxa"/>
            <w:noWrap w:val="0"/>
            <w:vAlign w:val="center"/>
          </w:tcPr>
          <w:p w14:paraId="56613091">
            <w:pPr>
              <w:adjustRightInd w:val="0"/>
              <w:snapToGrid w:val="0"/>
              <w:jc w:val="center"/>
              <w:rPr>
                <w:rFonts w:hint="eastAsia" w:eastAsia="宋体"/>
                <w:sz w:val="24"/>
                <w:lang w:eastAsia="zh-CN"/>
              </w:rPr>
            </w:pPr>
            <w:r>
              <w:rPr>
                <w:rFonts w:hint="eastAsia"/>
                <w:color w:val="auto"/>
                <w:sz w:val="24"/>
                <w:szCs w:val="32"/>
                <w:lang w:eastAsia="zh-CN"/>
              </w:rPr>
              <w:t>四十九、卫生-108医院-其他（住院床位20张以下的除外）</w:t>
            </w:r>
          </w:p>
        </w:tc>
      </w:tr>
      <w:tr w14:paraId="3A913D3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1219" w:hRule="atLeast"/>
          <w:jc w:val="center"/>
        </w:trPr>
        <w:tc>
          <w:tcPr>
            <w:tcW w:w="2040" w:type="dxa"/>
            <w:noWrap w:val="0"/>
            <w:tcMar>
              <w:top w:w="16" w:type="dxa"/>
              <w:left w:w="16" w:type="dxa"/>
              <w:right w:w="16" w:type="dxa"/>
            </w:tcMar>
            <w:vAlign w:val="center"/>
          </w:tcPr>
          <w:p w14:paraId="16CCFAF6">
            <w:pPr>
              <w:adjustRightInd w:val="0"/>
              <w:snapToGrid w:val="0"/>
              <w:jc w:val="center"/>
              <w:rPr>
                <w:sz w:val="24"/>
              </w:rPr>
            </w:pPr>
            <w:r>
              <w:rPr>
                <w:sz w:val="24"/>
              </w:rPr>
              <w:t>建设性质</w:t>
            </w:r>
          </w:p>
        </w:tc>
        <w:tc>
          <w:tcPr>
            <w:tcW w:w="2264" w:type="dxa"/>
            <w:noWrap w:val="0"/>
            <w:vAlign w:val="center"/>
          </w:tcPr>
          <w:p w14:paraId="31E03A21">
            <w:pPr>
              <w:jc w:val="left"/>
              <w:rPr>
                <w:sz w:val="24"/>
              </w:rPr>
            </w:pPr>
            <w:r>
              <w:rPr>
                <w:rFonts w:hint="eastAsia"/>
                <w:sz w:val="24"/>
                <w:lang w:eastAsia="zh-CN"/>
              </w:rPr>
              <w:t>□</w:t>
            </w:r>
            <w:r>
              <w:rPr>
                <w:sz w:val="24"/>
              </w:rPr>
              <w:t>新建（迁建）</w:t>
            </w:r>
          </w:p>
          <w:p w14:paraId="1E17D40B">
            <w:pPr>
              <w:jc w:val="left"/>
              <w:rPr>
                <w:sz w:val="24"/>
              </w:rPr>
            </w:pPr>
            <w:r>
              <w:rPr>
                <w:rFonts w:hint="eastAsia"/>
                <w:sz w:val="24"/>
                <w:lang w:eastAsia="zh-CN"/>
              </w:rPr>
              <w:t>☑</w:t>
            </w:r>
            <w:r>
              <w:rPr>
                <w:sz w:val="24"/>
              </w:rPr>
              <w:t>改建</w:t>
            </w:r>
          </w:p>
          <w:p w14:paraId="5D683806">
            <w:pPr>
              <w:jc w:val="left"/>
              <w:rPr>
                <w:sz w:val="24"/>
              </w:rPr>
            </w:pPr>
            <w:r>
              <w:rPr>
                <w:rFonts w:hint="eastAsia"/>
                <w:sz w:val="24"/>
              </w:rPr>
              <w:t>□</w:t>
            </w:r>
            <w:r>
              <w:rPr>
                <w:sz w:val="24"/>
              </w:rPr>
              <w:t>扩建</w:t>
            </w:r>
          </w:p>
          <w:p w14:paraId="76BA3581">
            <w:pPr>
              <w:jc w:val="left"/>
              <w:rPr>
                <w:sz w:val="24"/>
              </w:rPr>
            </w:pPr>
            <w:r>
              <w:rPr>
                <w:rFonts w:hint="eastAsia"/>
                <w:sz w:val="24"/>
              </w:rPr>
              <w:t>□</w:t>
            </w:r>
            <w:r>
              <w:rPr>
                <w:sz w:val="24"/>
              </w:rPr>
              <w:t>技术改造</w:t>
            </w:r>
          </w:p>
        </w:tc>
        <w:tc>
          <w:tcPr>
            <w:tcW w:w="2066" w:type="dxa"/>
            <w:noWrap w:val="0"/>
            <w:vAlign w:val="center"/>
          </w:tcPr>
          <w:p w14:paraId="0EAB3812">
            <w:pPr>
              <w:adjustRightInd w:val="0"/>
              <w:snapToGrid w:val="0"/>
              <w:jc w:val="center"/>
              <w:rPr>
                <w:sz w:val="24"/>
              </w:rPr>
            </w:pPr>
            <w:r>
              <w:rPr>
                <w:sz w:val="24"/>
              </w:rPr>
              <w:t>建设项目</w:t>
            </w:r>
          </w:p>
          <w:p w14:paraId="60E259F7">
            <w:pPr>
              <w:adjustRightInd w:val="0"/>
              <w:snapToGrid w:val="0"/>
              <w:jc w:val="center"/>
              <w:rPr>
                <w:sz w:val="24"/>
              </w:rPr>
            </w:pPr>
            <w:r>
              <w:rPr>
                <w:sz w:val="24"/>
              </w:rPr>
              <w:t>申报情形</w:t>
            </w:r>
          </w:p>
        </w:tc>
        <w:tc>
          <w:tcPr>
            <w:tcW w:w="2690" w:type="dxa"/>
            <w:noWrap w:val="0"/>
            <w:vAlign w:val="center"/>
          </w:tcPr>
          <w:p w14:paraId="071F97F3">
            <w:pPr>
              <w:jc w:val="left"/>
              <w:rPr>
                <w:rFonts w:ascii="宋体" w:hAnsi="宋体"/>
                <w:sz w:val="24"/>
              </w:rPr>
            </w:pPr>
            <w:r>
              <w:rPr>
                <w:rFonts w:hint="eastAsia" w:ascii="MS Gothic" w:hAnsi="MS Gothic" w:eastAsia="MS Gothic" w:cs="MS Gothic"/>
                <w:sz w:val="24"/>
              </w:rPr>
              <w:t>☑</w:t>
            </w:r>
            <w:r>
              <w:rPr>
                <w:rFonts w:ascii="宋体" w:hAnsi="宋体"/>
                <w:sz w:val="24"/>
              </w:rPr>
              <w:t>首次申报项目</w:t>
            </w:r>
          </w:p>
          <w:p w14:paraId="205722D9">
            <w:pPr>
              <w:jc w:val="left"/>
              <w:rPr>
                <w:rFonts w:ascii="宋体" w:hAnsi="宋体"/>
                <w:sz w:val="24"/>
              </w:rPr>
            </w:pPr>
            <w:r>
              <w:rPr>
                <w:rFonts w:ascii="宋体" w:hAnsi="宋体"/>
                <w:sz w:val="24"/>
              </w:rPr>
              <w:t>□不予批准后再次申报项目</w:t>
            </w:r>
          </w:p>
          <w:p w14:paraId="6C1EB7D7">
            <w:pPr>
              <w:jc w:val="left"/>
              <w:rPr>
                <w:rFonts w:ascii="宋体" w:hAnsi="宋体"/>
                <w:sz w:val="24"/>
              </w:rPr>
            </w:pPr>
            <w:r>
              <w:rPr>
                <w:rFonts w:ascii="宋体" w:hAnsi="宋体"/>
                <w:sz w:val="24"/>
              </w:rPr>
              <w:t>□超五年重新审核项目</w:t>
            </w:r>
          </w:p>
          <w:p w14:paraId="23614A7C">
            <w:pPr>
              <w:jc w:val="left"/>
              <w:rPr>
                <w:sz w:val="24"/>
              </w:rPr>
            </w:pPr>
            <w:r>
              <w:rPr>
                <w:rFonts w:hint="eastAsia" w:ascii="宋体" w:hAnsi="宋体"/>
                <w:sz w:val="24"/>
              </w:rPr>
              <w:t>□</w:t>
            </w:r>
            <w:r>
              <w:rPr>
                <w:rFonts w:ascii="宋体" w:hAnsi="宋体"/>
                <w:sz w:val="24"/>
              </w:rPr>
              <w:t>重大</w:t>
            </w:r>
            <w:r>
              <w:rPr>
                <w:sz w:val="24"/>
              </w:rPr>
              <w:t>变动重新报批项目</w:t>
            </w:r>
          </w:p>
        </w:tc>
      </w:tr>
      <w:tr w14:paraId="3CDD00B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851" w:hRule="atLeast"/>
          <w:jc w:val="center"/>
        </w:trPr>
        <w:tc>
          <w:tcPr>
            <w:tcW w:w="2040" w:type="dxa"/>
            <w:noWrap w:val="0"/>
            <w:tcMar>
              <w:top w:w="16" w:type="dxa"/>
              <w:left w:w="16" w:type="dxa"/>
              <w:right w:w="16" w:type="dxa"/>
            </w:tcMar>
            <w:vAlign w:val="center"/>
          </w:tcPr>
          <w:p w14:paraId="14CE1884">
            <w:pPr>
              <w:adjustRightInd w:val="0"/>
              <w:snapToGrid w:val="0"/>
              <w:jc w:val="center"/>
              <w:rPr>
                <w:sz w:val="24"/>
              </w:rPr>
            </w:pPr>
            <w:r>
              <w:rPr>
                <w:sz w:val="24"/>
              </w:rPr>
              <w:t>项目审批（核准/</w:t>
            </w:r>
          </w:p>
          <w:p w14:paraId="243C2A3A">
            <w:pPr>
              <w:adjustRightInd w:val="0"/>
              <w:snapToGrid w:val="0"/>
              <w:jc w:val="center"/>
              <w:rPr>
                <w:sz w:val="24"/>
              </w:rPr>
            </w:pPr>
            <w:r>
              <w:rPr>
                <w:sz w:val="24"/>
              </w:rPr>
              <w:t>备案）部门（选填）</w:t>
            </w:r>
          </w:p>
        </w:tc>
        <w:tc>
          <w:tcPr>
            <w:tcW w:w="2264" w:type="dxa"/>
            <w:noWrap w:val="0"/>
            <w:vAlign w:val="center"/>
          </w:tcPr>
          <w:p w14:paraId="3EED56AE">
            <w:pPr>
              <w:adjustRightInd w:val="0"/>
              <w:snapToGrid w:val="0"/>
              <w:jc w:val="center"/>
              <w:rPr>
                <w:rFonts w:hint="eastAsia" w:eastAsia="宋体"/>
                <w:sz w:val="24"/>
                <w:highlight w:val="none"/>
                <w:lang w:eastAsia="zh-CN"/>
              </w:rPr>
            </w:pPr>
            <w:r>
              <w:rPr>
                <w:rFonts w:hint="eastAsia"/>
                <w:sz w:val="24"/>
                <w:highlight w:val="none"/>
                <w:lang w:eastAsia="zh-CN"/>
              </w:rPr>
              <w:t>淮南市潘集区发展和改革委员会</w:t>
            </w:r>
          </w:p>
        </w:tc>
        <w:tc>
          <w:tcPr>
            <w:tcW w:w="2066" w:type="dxa"/>
            <w:noWrap w:val="0"/>
            <w:vAlign w:val="center"/>
          </w:tcPr>
          <w:p w14:paraId="109FE960">
            <w:pPr>
              <w:adjustRightInd w:val="0"/>
              <w:snapToGrid w:val="0"/>
              <w:jc w:val="center"/>
              <w:rPr>
                <w:sz w:val="24"/>
                <w:highlight w:val="none"/>
              </w:rPr>
            </w:pPr>
            <w:r>
              <w:rPr>
                <w:sz w:val="24"/>
                <w:highlight w:val="none"/>
              </w:rPr>
              <w:t>项目审批（核准/</w:t>
            </w:r>
          </w:p>
          <w:p w14:paraId="119595AC">
            <w:pPr>
              <w:adjustRightInd w:val="0"/>
              <w:snapToGrid w:val="0"/>
              <w:jc w:val="center"/>
              <w:rPr>
                <w:sz w:val="24"/>
                <w:highlight w:val="none"/>
              </w:rPr>
            </w:pPr>
            <w:r>
              <w:rPr>
                <w:sz w:val="24"/>
                <w:highlight w:val="none"/>
              </w:rPr>
              <w:t>备案）文号（选填）</w:t>
            </w:r>
          </w:p>
        </w:tc>
        <w:tc>
          <w:tcPr>
            <w:tcW w:w="2690" w:type="dxa"/>
            <w:noWrap w:val="0"/>
            <w:vAlign w:val="center"/>
          </w:tcPr>
          <w:p w14:paraId="7B0C48F2">
            <w:pPr>
              <w:adjustRightInd w:val="0"/>
              <w:snapToGrid w:val="0"/>
              <w:jc w:val="center"/>
              <w:rPr>
                <w:rFonts w:hint="eastAsia"/>
                <w:sz w:val="24"/>
                <w:highlight w:val="none"/>
              </w:rPr>
            </w:pPr>
            <w:r>
              <w:rPr>
                <w:rFonts w:hint="eastAsia"/>
                <w:sz w:val="24"/>
                <w:highlight w:val="none"/>
              </w:rPr>
              <w:t>/</w:t>
            </w:r>
          </w:p>
        </w:tc>
      </w:tr>
      <w:tr w14:paraId="612A93F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2040" w:type="dxa"/>
            <w:noWrap w:val="0"/>
            <w:tcMar>
              <w:top w:w="16" w:type="dxa"/>
              <w:left w:w="16" w:type="dxa"/>
              <w:right w:w="16" w:type="dxa"/>
            </w:tcMar>
            <w:vAlign w:val="center"/>
          </w:tcPr>
          <w:p w14:paraId="3B8AE42F">
            <w:pPr>
              <w:adjustRightInd w:val="0"/>
              <w:snapToGrid w:val="0"/>
              <w:jc w:val="center"/>
              <w:rPr>
                <w:sz w:val="24"/>
              </w:rPr>
            </w:pPr>
            <w:r>
              <w:rPr>
                <w:sz w:val="24"/>
              </w:rPr>
              <w:t>总投资（万元）</w:t>
            </w:r>
          </w:p>
        </w:tc>
        <w:tc>
          <w:tcPr>
            <w:tcW w:w="2264" w:type="dxa"/>
            <w:noWrap w:val="0"/>
            <w:vAlign w:val="center"/>
          </w:tcPr>
          <w:p w14:paraId="5F715703">
            <w:pPr>
              <w:adjustRightInd w:val="0"/>
              <w:snapToGrid w:val="0"/>
              <w:jc w:val="center"/>
              <w:rPr>
                <w:rFonts w:hint="default" w:eastAsia="宋体"/>
                <w:sz w:val="24"/>
                <w:highlight w:val="none"/>
                <w:lang w:val="en-US" w:eastAsia="zh-CN"/>
              </w:rPr>
            </w:pPr>
            <w:r>
              <w:rPr>
                <w:rFonts w:hint="eastAsia"/>
                <w:sz w:val="24"/>
                <w:highlight w:val="none"/>
                <w:lang w:val="en-US" w:eastAsia="zh-CN"/>
              </w:rPr>
              <w:t>550</w:t>
            </w:r>
          </w:p>
        </w:tc>
        <w:tc>
          <w:tcPr>
            <w:tcW w:w="2066" w:type="dxa"/>
            <w:noWrap w:val="0"/>
            <w:tcMar>
              <w:top w:w="16" w:type="dxa"/>
              <w:left w:w="16" w:type="dxa"/>
              <w:right w:w="16" w:type="dxa"/>
            </w:tcMar>
            <w:vAlign w:val="center"/>
          </w:tcPr>
          <w:p w14:paraId="569C47E6">
            <w:pPr>
              <w:adjustRightInd w:val="0"/>
              <w:snapToGrid w:val="0"/>
              <w:jc w:val="center"/>
              <w:rPr>
                <w:sz w:val="24"/>
                <w:highlight w:val="none"/>
              </w:rPr>
            </w:pPr>
            <w:r>
              <w:rPr>
                <w:sz w:val="24"/>
                <w:highlight w:val="none"/>
              </w:rPr>
              <w:t>环保投资（万元）</w:t>
            </w:r>
          </w:p>
        </w:tc>
        <w:tc>
          <w:tcPr>
            <w:tcW w:w="2690" w:type="dxa"/>
            <w:noWrap w:val="0"/>
            <w:vAlign w:val="center"/>
          </w:tcPr>
          <w:p w14:paraId="6548FA87">
            <w:pPr>
              <w:adjustRightInd w:val="0"/>
              <w:snapToGrid w:val="0"/>
              <w:jc w:val="center"/>
              <w:rPr>
                <w:rFonts w:hint="default" w:eastAsia="宋体"/>
                <w:sz w:val="24"/>
                <w:highlight w:val="none"/>
                <w:lang w:val="en-US" w:eastAsia="zh-CN"/>
              </w:rPr>
            </w:pPr>
            <w:r>
              <w:rPr>
                <w:rFonts w:hint="eastAsia"/>
                <w:sz w:val="24"/>
                <w:highlight w:val="none"/>
                <w:lang w:val="en-US" w:eastAsia="zh-CN"/>
              </w:rPr>
              <w:t>55</w:t>
            </w:r>
          </w:p>
        </w:tc>
      </w:tr>
      <w:tr w14:paraId="725FB5D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2040" w:type="dxa"/>
            <w:noWrap w:val="0"/>
            <w:tcMar>
              <w:top w:w="16" w:type="dxa"/>
              <w:left w:w="16" w:type="dxa"/>
              <w:right w:w="16" w:type="dxa"/>
            </w:tcMar>
            <w:vAlign w:val="center"/>
          </w:tcPr>
          <w:p w14:paraId="34DBDD41">
            <w:pPr>
              <w:adjustRightInd w:val="0"/>
              <w:snapToGrid w:val="0"/>
              <w:jc w:val="center"/>
              <w:rPr>
                <w:sz w:val="24"/>
              </w:rPr>
            </w:pPr>
            <w:r>
              <w:rPr>
                <w:sz w:val="24"/>
              </w:rPr>
              <w:t>环保投资占比（%）</w:t>
            </w:r>
          </w:p>
        </w:tc>
        <w:tc>
          <w:tcPr>
            <w:tcW w:w="2264" w:type="dxa"/>
            <w:noWrap w:val="0"/>
            <w:vAlign w:val="center"/>
          </w:tcPr>
          <w:p w14:paraId="1117A73E">
            <w:pPr>
              <w:adjustRightInd w:val="0"/>
              <w:snapToGrid w:val="0"/>
              <w:jc w:val="center"/>
              <w:rPr>
                <w:rFonts w:hint="default" w:eastAsia="宋体"/>
                <w:sz w:val="24"/>
                <w:highlight w:val="none"/>
                <w:lang w:val="en-US" w:eastAsia="zh-CN"/>
              </w:rPr>
            </w:pPr>
            <w:r>
              <w:rPr>
                <w:rFonts w:hint="eastAsia"/>
                <w:sz w:val="24"/>
                <w:highlight w:val="none"/>
                <w:lang w:val="en-US" w:eastAsia="zh-CN"/>
              </w:rPr>
              <w:t>10</w:t>
            </w:r>
          </w:p>
        </w:tc>
        <w:tc>
          <w:tcPr>
            <w:tcW w:w="2066" w:type="dxa"/>
            <w:noWrap w:val="0"/>
            <w:tcMar>
              <w:top w:w="16" w:type="dxa"/>
              <w:left w:w="16" w:type="dxa"/>
              <w:right w:w="16" w:type="dxa"/>
            </w:tcMar>
            <w:vAlign w:val="center"/>
          </w:tcPr>
          <w:p w14:paraId="722ED083">
            <w:pPr>
              <w:adjustRightInd w:val="0"/>
              <w:snapToGrid w:val="0"/>
              <w:jc w:val="center"/>
              <w:rPr>
                <w:sz w:val="24"/>
                <w:highlight w:val="none"/>
              </w:rPr>
            </w:pPr>
            <w:r>
              <w:rPr>
                <w:sz w:val="24"/>
                <w:highlight w:val="none"/>
              </w:rPr>
              <w:t>施工工期</w:t>
            </w:r>
          </w:p>
        </w:tc>
        <w:tc>
          <w:tcPr>
            <w:tcW w:w="2690" w:type="dxa"/>
            <w:noWrap w:val="0"/>
            <w:vAlign w:val="center"/>
          </w:tcPr>
          <w:p w14:paraId="32FE503A">
            <w:pPr>
              <w:adjustRightInd w:val="0"/>
              <w:snapToGrid w:val="0"/>
              <w:jc w:val="center"/>
              <w:rPr>
                <w:sz w:val="24"/>
                <w:highlight w:val="none"/>
              </w:rPr>
            </w:pPr>
            <w:r>
              <w:rPr>
                <w:rFonts w:hint="eastAsia"/>
                <w:sz w:val="24"/>
                <w:highlight w:val="none"/>
                <w:lang w:val="en-US" w:eastAsia="zh-CN"/>
              </w:rPr>
              <w:t>/</w:t>
            </w:r>
          </w:p>
        </w:tc>
      </w:tr>
      <w:tr w14:paraId="148A7AA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2040" w:type="dxa"/>
            <w:noWrap w:val="0"/>
            <w:tcMar>
              <w:top w:w="16" w:type="dxa"/>
              <w:left w:w="16" w:type="dxa"/>
              <w:right w:w="16" w:type="dxa"/>
            </w:tcMar>
            <w:vAlign w:val="center"/>
          </w:tcPr>
          <w:p w14:paraId="279DE89E">
            <w:pPr>
              <w:adjustRightInd w:val="0"/>
              <w:snapToGrid w:val="0"/>
              <w:jc w:val="center"/>
              <w:rPr>
                <w:sz w:val="24"/>
              </w:rPr>
            </w:pPr>
            <w:r>
              <w:rPr>
                <w:sz w:val="24"/>
              </w:rPr>
              <w:t>是否开工建设</w:t>
            </w:r>
          </w:p>
        </w:tc>
        <w:tc>
          <w:tcPr>
            <w:tcW w:w="2264" w:type="dxa"/>
            <w:noWrap w:val="0"/>
            <w:vAlign w:val="center"/>
          </w:tcPr>
          <w:p w14:paraId="56CC3C76">
            <w:pPr>
              <w:jc w:val="left"/>
              <w:rPr>
                <w:rFonts w:ascii="宋体" w:hAnsi="宋体"/>
                <w:sz w:val="24"/>
              </w:rPr>
            </w:pPr>
            <w:r>
              <w:rPr>
                <w:rFonts w:hint="eastAsia" w:ascii="宋体" w:hAnsi="宋体"/>
                <w:sz w:val="24"/>
                <w:lang w:eastAsia="zh-CN"/>
              </w:rPr>
              <w:t>☑</w:t>
            </w:r>
            <w:r>
              <w:rPr>
                <w:rFonts w:ascii="宋体" w:hAnsi="宋体"/>
                <w:sz w:val="24"/>
              </w:rPr>
              <w:t>否</w:t>
            </w:r>
          </w:p>
          <w:p w14:paraId="67B16A80">
            <w:pPr>
              <w:jc w:val="left"/>
              <w:rPr>
                <w:rFonts w:hint="default" w:eastAsia="宋体"/>
                <w:sz w:val="24"/>
                <w:lang w:val="en-US" w:eastAsia="zh-CN"/>
              </w:rPr>
            </w:pPr>
            <w:r>
              <w:rPr>
                <w:rFonts w:hint="eastAsia" w:ascii="宋体" w:hAnsi="宋体"/>
                <w:sz w:val="24"/>
                <w:lang w:eastAsia="zh-CN"/>
              </w:rPr>
              <w:t>□</w:t>
            </w:r>
            <w:r>
              <w:rPr>
                <w:rFonts w:ascii="宋体" w:hAnsi="宋体"/>
                <w:sz w:val="24"/>
              </w:rPr>
              <w:t>是</w:t>
            </w:r>
          </w:p>
        </w:tc>
        <w:tc>
          <w:tcPr>
            <w:tcW w:w="2066" w:type="dxa"/>
            <w:noWrap w:val="0"/>
            <w:tcMar>
              <w:top w:w="16" w:type="dxa"/>
              <w:left w:w="16" w:type="dxa"/>
              <w:right w:w="16" w:type="dxa"/>
            </w:tcMar>
            <w:vAlign w:val="center"/>
          </w:tcPr>
          <w:p w14:paraId="1E179F39">
            <w:pPr>
              <w:adjustRightInd w:val="0"/>
              <w:snapToGrid w:val="0"/>
              <w:jc w:val="center"/>
              <w:rPr>
                <w:spacing w:val="-6"/>
                <w:sz w:val="24"/>
              </w:rPr>
            </w:pPr>
            <w:r>
              <w:rPr>
                <w:spacing w:val="-6"/>
                <w:sz w:val="24"/>
              </w:rPr>
              <w:t>用地（用海）</w:t>
            </w:r>
          </w:p>
          <w:p w14:paraId="2E1EE5FF">
            <w:pPr>
              <w:adjustRightInd w:val="0"/>
              <w:snapToGrid w:val="0"/>
              <w:jc w:val="center"/>
              <w:rPr>
                <w:sz w:val="24"/>
              </w:rPr>
            </w:pPr>
            <w:r>
              <w:rPr>
                <w:spacing w:val="-6"/>
                <w:sz w:val="24"/>
              </w:rPr>
              <w:t>面积（m</w:t>
            </w:r>
            <w:r>
              <w:rPr>
                <w:spacing w:val="-6"/>
                <w:sz w:val="24"/>
                <w:vertAlign w:val="superscript"/>
              </w:rPr>
              <w:t>2</w:t>
            </w:r>
            <w:r>
              <w:rPr>
                <w:spacing w:val="-6"/>
                <w:sz w:val="24"/>
              </w:rPr>
              <w:t>）</w:t>
            </w:r>
          </w:p>
        </w:tc>
        <w:tc>
          <w:tcPr>
            <w:tcW w:w="2690" w:type="dxa"/>
            <w:noWrap w:val="0"/>
            <w:vAlign w:val="center"/>
          </w:tcPr>
          <w:p w14:paraId="72D553ED">
            <w:pPr>
              <w:adjustRightInd w:val="0"/>
              <w:snapToGrid w:val="0"/>
              <w:jc w:val="center"/>
              <w:rPr>
                <w:rFonts w:hint="default" w:eastAsia="宋体"/>
                <w:sz w:val="24"/>
                <w:highlight w:val="yellow"/>
                <w:lang w:val="en-US" w:eastAsia="zh-CN"/>
              </w:rPr>
            </w:pPr>
            <w:r>
              <w:rPr>
                <w:rStyle w:val="18"/>
                <w:rFonts w:hint="eastAsia"/>
                <w:kern w:val="0"/>
                <w:sz w:val="24"/>
                <w:szCs w:val="24"/>
                <w:highlight w:val="none"/>
                <w:lang w:val="en-US" w:eastAsia="zh-CN"/>
              </w:rPr>
              <w:t>17290.22</w:t>
            </w:r>
          </w:p>
        </w:tc>
      </w:tr>
      <w:tr w14:paraId="486EA55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96" w:hRule="atLeast"/>
          <w:jc w:val="center"/>
        </w:trPr>
        <w:tc>
          <w:tcPr>
            <w:tcW w:w="2040" w:type="dxa"/>
            <w:noWrap w:val="0"/>
            <w:vAlign w:val="center"/>
          </w:tcPr>
          <w:p w14:paraId="45A7D1FD">
            <w:pPr>
              <w:autoSpaceDE w:val="0"/>
              <w:autoSpaceDN w:val="0"/>
              <w:adjustRightInd w:val="0"/>
              <w:snapToGrid w:val="0"/>
              <w:jc w:val="center"/>
              <w:rPr>
                <w:kern w:val="0"/>
                <w:sz w:val="24"/>
              </w:rPr>
            </w:pPr>
            <w:r>
              <w:rPr>
                <w:kern w:val="0"/>
                <w:sz w:val="24"/>
              </w:rPr>
              <w:t>专项评价设置情况</w:t>
            </w:r>
          </w:p>
        </w:tc>
        <w:tc>
          <w:tcPr>
            <w:tcW w:w="7020" w:type="dxa"/>
            <w:gridSpan w:val="3"/>
            <w:noWrap w:val="0"/>
            <w:vAlign w:val="center"/>
          </w:tcPr>
          <w:p w14:paraId="34B07F3A">
            <w:pPr>
              <w:autoSpaceDE w:val="0"/>
              <w:autoSpaceDN w:val="0"/>
              <w:adjustRightInd w:val="0"/>
              <w:snapToGrid w:val="0"/>
              <w:jc w:val="center"/>
              <w:rPr>
                <w:kern w:val="0"/>
                <w:sz w:val="24"/>
                <w:highlight w:val="yellow"/>
              </w:rPr>
            </w:pPr>
            <w:bookmarkStart w:id="1" w:name="OLE_LINK11"/>
            <w:r>
              <w:rPr>
                <w:kern w:val="0"/>
                <w:sz w:val="24"/>
                <w:highlight w:val="none"/>
              </w:rPr>
              <w:t>无</w:t>
            </w:r>
            <w:bookmarkEnd w:id="1"/>
          </w:p>
        </w:tc>
      </w:tr>
      <w:tr w14:paraId="1BAF985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51" w:hRule="atLeast"/>
          <w:jc w:val="center"/>
        </w:trPr>
        <w:tc>
          <w:tcPr>
            <w:tcW w:w="2040" w:type="dxa"/>
            <w:noWrap w:val="0"/>
            <w:vAlign w:val="center"/>
          </w:tcPr>
          <w:p w14:paraId="603ECC9F">
            <w:pPr>
              <w:autoSpaceDE w:val="0"/>
              <w:autoSpaceDN w:val="0"/>
              <w:adjustRightInd w:val="0"/>
              <w:snapToGrid w:val="0"/>
              <w:jc w:val="center"/>
              <w:rPr>
                <w:kern w:val="0"/>
                <w:sz w:val="24"/>
              </w:rPr>
            </w:pPr>
            <w:r>
              <w:rPr>
                <w:sz w:val="24"/>
              </w:rPr>
              <w:t>规划情况</w:t>
            </w:r>
          </w:p>
        </w:tc>
        <w:tc>
          <w:tcPr>
            <w:tcW w:w="7020" w:type="dxa"/>
            <w:gridSpan w:val="3"/>
            <w:noWrap w:val="0"/>
            <w:vAlign w:val="center"/>
          </w:tcPr>
          <w:p w14:paraId="1C084B1C">
            <w:pPr>
              <w:widowControl/>
              <w:spacing w:line="360" w:lineRule="auto"/>
              <w:jc w:val="left"/>
              <w:rPr>
                <w:rFonts w:hint="eastAsia"/>
                <w:kern w:val="0"/>
                <w:sz w:val="24"/>
                <w:highlight w:val="none"/>
              </w:rPr>
            </w:pPr>
            <w:r>
              <w:rPr>
                <w:sz w:val="24"/>
                <w:szCs w:val="24"/>
                <w:highlight w:val="none"/>
              </w:rPr>
              <w:t>《</w:t>
            </w:r>
            <w:r>
              <w:rPr>
                <w:rFonts w:hint="eastAsia"/>
                <w:sz w:val="24"/>
                <w:szCs w:val="24"/>
                <w:highlight w:val="none"/>
              </w:rPr>
              <w:t>淮南市国土空间规划</w:t>
            </w:r>
            <w:r>
              <w:rPr>
                <w:sz w:val="24"/>
                <w:szCs w:val="24"/>
                <w:highlight w:val="none"/>
              </w:rPr>
              <w:t>（20</w:t>
            </w:r>
            <w:r>
              <w:rPr>
                <w:rFonts w:hint="eastAsia"/>
                <w:sz w:val="24"/>
                <w:szCs w:val="24"/>
                <w:highlight w:val="none"/>
              </w:rPr>
              <w:t>21</w:t>
            </w:r>
            <w:r>
              <w:rPr>
                <w:sz w:val="24"/>
                <w:szCs w:val="24"/>
                <w:highlight w:val="none"/>
              </w:rPr>
              <w:t>-203</w:t>
            </w:r>
            <w:r>
              <w:rPr>
                <w:rFonts w:hint="eastAsia"/>
                <w:sz w:val="24"/>
                <w:szCs w:val="24"/>
                <w:highlight w:val="none"/>
              </w:rPr>
              <w:t>5</w:t>
            </w:r>
            <w:r>
              <w:rPr>
                <w:sz w:val="24"/>
                <w:szCs w:val="24"/>
                <w:highlight w:val="none"/>
              </w:rPr>
              <w:t>年）》</w:t>
            </w:r>
          </w:p>
          <w:p w14:paraId="54425EA9">
            <w:pPr>
              <w:widowControl/>
              <w:spacing w:line="360" w:lineRule="auto"/>
              <w:jc w:val="left"/>
              <w:rPr>
                <w:color w:val="000000"/>
                <w:kern w:val="0"/>
                <w:sz w:val="24"/>
                <w:highlight w:val="yellow"/>
                <w:lang w:bidi="ar"/>
              </w:rPr>
            </w:pPr>
            <w:r>
              <w:rPr>
                <w:color w:val="000000"/>
                <w:sz w:val="24"/>
                <w:szCs w:val="24"/>
                <w:highlight w:val="none"/>
              </w:rPr>
              <w:t>《淮南市</w:t>
            </w:r>
            <w:r>
              <w:rPr>
                <w:rFonts w:hint="eastAsia"/>
                <w:color w:val="000000"/>
                <w:sz w:val="24"/>
                <w:szCs w:val="24"/>
                <w:highlight w:val="none"/>
                <w:lang w:eastAsia="zh-CN"/>
              </w:rPr>
              <w:t>“</w:t>
            </w:r>
            <w:r>
              <w:rPr>
                <w:color w:val="000000"/>
                <w:sz w:val="24"/>
                <w:szCs w:val="24"/>
                <w:highlight w:val="none"/>
              </w:rPr>
              <w:t>十四五</w:t>
            </w:r>
            <w:r>
              <w:rPr>
                <w:rFonts w:hint="eastAsia"/>
                <w:color w:val="000000"/>
                <w:sz w:val="24"/>
                <w:szCs w:val="24"/>
                <w:highlight w:val="none"/>
                <w:lang w:eastAsia="zh-CN"/>
              </w:rPr>
              <w:t>”</w:t>
            </w:r>
            <w:r>
              <w:rPr>
                <w:color w:val="000000"/>
                <w:sz w:val="24"/>
                <w:szCs w:val="24"/>
                <w:highlight w:val="none"/>
              </w:rPr>
              <w:t>卫生健康规划》</w:t>
            </w:r>
          </w:p>
        </w:tc>
      </w:tr>
      <w:tr w14:paraId="4559A3F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21" w:hRule="atLeast"/>
          <w:jc w:val="center"/>
        </w:trPr>
        <w:tc>
          <w:tcPr>
            <w:tcW w:w="2040" w:type="dxa"/>
            <w:noWrap w:val="0"/>
            <w:vAlign w:val="center"/>
          </w:tcPr>
          <w:p w14:paraId="096AB631">
            <w:pPr>
              <w:adjustRightInd w:val="0"/>
              <w:snapToGrid w:val="0"/>
              <w:jc w:val="center"/>
              <w:rPr>
                <w:sz w:val="24"/>
              </w:rPr>
            </w:pPr>
            <w:r>
              <w:rPr>
                <w:sz w:val="24"/>
              </w:rPr>
              <w:t>规划环境影响</w:t>
            </w:r>
          </w:p>
          <w:p w14:paraId="7281C93D">
            <w:pPr>
              <w:adjustRightInd w:val="0"/>
              <w:snapToGrid w:val="0"/>
              <w:jc w:val="center"/>
              <w:rPr>
                <w:kern w:val="0"/>
                <w:sz w:val="24"/>
                <w:highlight w:val="yellow"/>
              </w:rPr>
            </w:pPr>
            <w:r>
              <w:rPr>
                <w:sz w:val="24"/>
              </w:rPr>
              <w:t>评价情况</w:t>
            </w:r>
          </w:p>
        </w:tc>
        <w:tc>
          <w:tcPr>
            <w:tcW w:w="7020" w:type="dxa"/>
            <w:gridSpan w:val="3"/>
            <w:noWrap w:val="0"/>
            <w:vAlign w:val="center"/>
          </w:tcPr>
          <w:p w14:paraId="6B0D2942">
            <w:pPr>
              <w:spacing w:line="360" w:lineRule="auto"/>
              <w:jc w:val="center"/>
              <w:rPr>
                <w:sz w:val="24"/>
                <w:highlight w:val="yellow"/>
              </w:rPr>
            </w:pPr>
            <w:bookmarkStart w:id="2" w:name="OLE_LINK20"/>
            <w:r>
              <w:rPr>
                <w:kern w:val="0"/>
                <w:sz w:val="24"/>
                <w:highlight w:val="none"/>
              </w:rPr>
              <w:t>无</w:t>
            </w:r>
            <w:bookmarkEnd w:id="2"/>
          </w:p>
        </w:tc>
      </w:tr>
      <w:tr w14:paraId="41AF37C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76" w:hRule="atLeast"/>
          <w:jc w:val="center"/>
        </w:trPr>
        <w:tc>
          <w:tcPr>
            <w:tcW w:w="2040" w:type="dxa"/>
            <w:noWrap w:val="0"/>
            <w:vAlign w:val="center"/>
          </w:tcPr>
          <w:p w14:paraId="34A17968">
            <w:pPr>
              <w:adjustRightInd w:val="0"/>
              <w:snapToGrid w:val="0"/>
              <w:jc w:val="center"/>
              <w:rPr>
                <w:sz w:val="24"/>
              </w:rPr>
            </w:pPr>
            <w:r>
              <w:rPr>
                <w:kern w:val="0"/>
                <w:sz w:val="24"/>
              </w:rPr>
              <w:t>规划及规划环境影响评价符合性分析</w:t>
            </w:r>
          </w:p>
        </w:tc>
        <w:tc>
          <w:tcPr>
            <w:tcW w:w="7020" w:type="dxa"/>
            <w:gridSpan w:val="3"/>
            <w:noWrap w:val="0"/>
            <w:vAlign w:val="center"/>
          </w:tcPr>
          <w:p w14:paraId="1C4BFCA3">
            <w:pPr>
              <w:pStyle w:val="19"/>
              <w:tabs>
                <w:tab w:val="left" w:pos="439"/>
              </w:tabs>
              <w:spacing w:line="360" w:lineRule="auto"/>
              <w:ind w:firstLine="480" w:firstLineChars="200"/>
              <w:jc w:val="left"/>
              <w:rPr>
                <w:rFonts w:hint="default" w:ascii="Times New Roman" w:hAnsi="Times New Roman" w:cs="Times New Roman"/>
                <w:b w:val="0"/>
                <w:bCs w:val="0"/>
                <w:kern w:val="0"/>
                <w:sz w:val="24"/>
                <w:highlight w:val="none"/>
                <w:lang w:eastAsia="zh-CN"/>
              </w:rPr>
            </w:pPr>
            <w:r>
              <w:rPr>
                <w:rFonts w:hint="default" w:ascii="Times New Roman" w:hAnsi="Times New Roman" w:cs="Times New Roman"/>
                <w:b w:val="0"/>
                <w:bCs w:val="0"/>
                <w:kern w:val="0"/>
                <w:sz w:val="24"/>
                <w:highlight w:val="none"/>
                <w:lang w:val="en-US" w:eastAsia="zh-CN"/>
              </w:rPr>
              <w:t xml:space="preserve"> </w:t>
            </w:r>
            <w:r>
              <w:rPr>
                <w:rFonts w:hint="default" w:ascii="Times New Roman" w:hAnsi="Times New Roman" w:cs="Times New Roman"/>
                <w:b w:val="0"/>
                <w:bCs w:val="0"/>
                <w:kern w:val="0"/>
                <w:sz w:val="24"/>
                <w:highlight w:val="none"/>
                <w:lang w:eastAsia="zh-CN"/>
              </w:rPr>
              <w:t>1.与《</w:t>
            </w:r>
            <w:r>
              <w:rPr>
                <w:rFonts w:hint="default" w:ascii="Times New Roman" w:hAnsi="Times New Roman" w:cs="Times New Roman"/>
                <w:sz w:val="24"/>
                <w:szCs w:val="24"/>
                <w:highlight w:val="none"/>
              </w:rPr>
              <w:t>淮南市国土空间规划（2021-2035年）</w:t>
            </w:r>
            <w:r>
              <w:rPr>
                <w:rFonts w:hint="default" w:ascii="Times New Roman" w:hAnsi="Times New Roman" w:cs="Times New Roman"/>
                <w:b w:val="0"/>
                <w:bCs w:val="0"/>
                <w:kern w:val="0"/>
                <w:sz w:val="24"/>
                <w:highlight w:val="none"/>
                <w:lang w:eastAsia="zh-CN"/>
              </w:rPr>
              <w:t>》符合性分析</w:t>
            </w:r>
          </w:p>
          <w:p w14:paraId="5FA4C09B">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sz w:val="24"/>
                <w:szCs w:val="24"/>
                <w:highlight w:val="none"/>
              </w:rPr>
            </w:pPr>
            <w:r>
              <w:rPr>
                <w:rFonts w:hint="default" w:ascii="Times New Roman" w:hAnsi="Times New Roman" w:cs="Times New Roman"/>
                <w:sz w:val="24"/>
                <w:szCs w:val="24"/>
                <w:highlight w:val="none"/>
              </w:rPr>
              <w:t>《淮南市国土空间规划（20</w:t>
            </w:r>
            <w:r>
              <w:rPr>
                <w:rFonts w:hint="eastAsia"/>
                <w:sz w:val="24"/>
                <w:szCs w:val="24"/>
                <w:highlight w:val="none"/>
              </w:rPr>
              <w:t>21</w:t>
            </w:r>
            <w:r>
              <w:rPr>
                <w:sz w:val="24"/>
                <w:szCs w:val="24"/>
                <w:highlight w:val="none"/>
              </w:rPr>
              <w:t>-203</w:t>
            </w:r>
            <w:r>
              <w:rPr>
                <w:rFonts w:hint="eastAsia"/>
                <w:sz w:val="24"/>
                <w:szCs w:val="24"/>
                <w:highlight w:val="none"/>
              </w:rPr>
              <w:t>5</w:t>
            </w:r>
            <w:r>
              <w:rPr>
                <w:sz w:val="24"/>
                <w:szCs w:val="24"/>
                <w:highlight w:val="none"/>
              </w:rPr>
              <w:t>年）》</w:t>
            </w:r>
            <w:r>
              <w:rPr>
                <w:rFonts w:hint="eastAsia"/>
                <w:sz w:val="24"/>
                <w:szCs w:val="24"/>
                <w:highlight w:val="none"/>
              </w:rPr>
              <w:t>规划范围：淮南市行政辖区范围，包括五区两县。即田家庵区、大通区、谢家集区、八公山区、潘集区、寿县、凤台县（含毛集实验区）。市域开发保护总体格局一轴、两带、四板块。</w:t>
            </w:r>
          </w:p>
          <w:p w14:paraId="41B8D171">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sz w:val="24"/>
                <w:szCs w:val="24"/>
                <w:highlight w:val="none"/>
              </w:rPr>
            </w:pPr>
            <w:r>
              <w:rPr>
                <w:rFonts w:hint="eastAsia"/>
                <w:sz w:val="24"/>
                <w:szCs w:val="24"/>
                <w:highlight w:val="none"/>
              </w:rPr>
              <w:t>一轴：合淮蚌发展轴；两带：沿淮绿色发展带、江淮运河生态复合廊带；四板块：北部粮煤复合功能板块、中部城镇集中建设板块、南部现代农业与特色旅游功能板块、新桥临空板块。</w:t>
            </w:r>
          </w:p>
          <w:p w14:paraId="74E8A72B">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eastAsia="宋体"/>
                <w:sz w:val="24"/>
                <w:szCs w:val="24"/>
                <w:highlight w:val="none"/>
                <w:lang w:eastAsia="zh-CN"/>
              </w:rPr>
            </w:pPr>
            <w:r>
              <w:rPr>
                <w:rFonts w:hint="eastAsia"/>
                <w:kern w:val="0"/>
                <w:sz w:val="24"/>
                <w:highlight w:val="none"/>
                <w:lang w:eastAsia="zh-CN"/>
              </w:rPr>
              <w:t>对照不</w:t>
            </w:r>
            <w:r>
              <w:rPr>
                <w:rFonts w:hint="default" w:ascii="Times New Roman" w:hAnsi="Times New Roman" w:cs="Times New Roman"/>
                <w:kern w:val="0"/>
                <w:sz w:val="24"/>
                <w:highlight w:val="none"/>
                <w:lang w:eastAsia="zh-CN"/>
              </w:rPr>
              <w:t>动产证，本项目属于</w:t>
            </w:r>
            <w:r>
              <w:rPr>
                <w:rFonts w:hint="eastAsia" w:cs="Times New Roman"/>
                <w:kern w:val="0"/>
                <w:sz w:val="24"/>
                <w:highlight w:val="none"/>
                <w:lang w:val="en-US" w:eastAsia="zh-CN"/>
              </w:rPr>
              <w:t>医卫慈善</w:t>
            </w:r>
            <w:r>
              <w:rPr>
                <w:rFonts w:hint="default" w:ascii="Times New Roman" w:hAnsi="Times New Roman" w:cs="Times New Roman"/>
                <w:kern w:val="0"/>
                <w:sz w:val="24"/>
                <w:highlight w:val="none"/>
                <w:lang w:eastAsia="zh-CN"/>
              </w:rPr>
              <w:t>用地</w:t>
            </w:r>
            <w:r>
              <w:rPr>
                <w:rFonts w:hint="eastAsia" w:ascii="Times New Roman" w:hAnsi="Times New Roman" w:cs="Times New Roman"/>
                <w:kern w:val="0"/>
                <w:sz w:val="24"/>
                <w:highlight w:val="none"/>
                <w:lang w:eastAsia="zh-CN"/>
              </w:rPr>
              <w:t>，</w:t>
            </w:r>
            <w:r>
              <w:rPr>
                <w:rFonts w:hint="eastAsia"/>
                <w:sz w:val="24"/>
                <w:szCs w:val="24"/>
                <w:highlight w:val="none"/>
              </w:rPr>
              <w:t>不占用耕地，符合</w:t>
            </w:r>
            <w:r>
              <w:rPr>
                <w:sz w:val="24"/>
                <w:szCs w:val="24"/>
                <w:highlight w:val="none"/>
              </w:rPr>
              <w:t>《</w:t>
            </w:r>
            <w:r>
              <w:rPr>
                <w:rFonts w:hint="eastAsia"/>
                <w:sz w:val="24"/>
                <w:szCs w:val="24"/>
                <w:highlight w:val="none"/>
              </w:rPr>
              <w:t>淮南市国土空间规划</w:t>
            </w:r>
            <w:r>
              <w:rPr>
                <w:sz w:val="24"/>
                <w:szCs w:val="24"/>
                <w:highlight w:val="none"/>
              </w:rPr>
              <w:t>（20</w:t>
            </w:r>
            <w:r>
              <w:rPr>
                <w:rFonts w:hint="eastAsia"/>
                <w:sz w:val="24"/>
                <w:szCs w:val="24"/>
                <w:highlight w:val="none"/>
              </w:rPr>
              <w:t>21</w:t>
            </w:r>
            <w:r>
              <w:rPr>
                <w:sz w:val="24"/>
                <w:szCs w:val="24"/>
                <w:highlight w:val="none"/>
              </w:rPr>
              <w:t>-203</w:t>
            </w:r>
            <w:r>
              <w:rPr>
                <w:rFonts w:hint="eastAsia"/>
                <w:sz w:val="24"/>
                <w:szCs w:val="24"/>
                <w:highlight w:val="none"/>
              </w:rPr>
              <w:t>5</w:t>
            </w:r>
            <w:r>
              <w:rPr>
                <w:sz w:val="24"/>
                <w:szCs w:val="24"/>
                <w:highlight w:val="none"/>
              </w:rPr>
              <w:t>年）》</w:t>
            </w:r>
            <w:r>
              <w:rPr>
                <w:rFonts w:hint="eastAsia"/>
                <w:sz w:val="24"/>
                <w:szCs w:val="24"/>
                <w:highlight w:val="none"/>
              </w:rPr>
              <w:t>。</w:t>
            </w:r>
            <w:r>
              <w:rPr>
                <w:rFonts w:hint="eastAsia"/>
                <w:sz w:val="24"/>
                <w:szCs w:val="24"/>
                <w:highlight w:val="none"/>
                <w:lang w:eastAsia="zh-CN"/>
              </w:rPr>
              <w:t>本项目与</w:t>
            </w:r>
            <w:r>
              <w:rPr>
                <w:sz w:val="24"/>
                <w:szCs w:val="24"/>
                <w:highlight w:val="none"/>
              </w:rPr>
              <w:t>《</w:t>
            </w:r>
            <w:r>
              <w:rPr>
                <w:rFonts w:hint="eastAsia"/>
                <w:sz w:val="24"/>
                <w:szCs w:val="24"/>
                <w:highlight w:val="none"/>
              </w:rPr>
              <w:t>淮南市国土空间规划</w:t>
            </w:r>
            <w:r>
              <w:rPr>
                <w:sz w:val="24"/>
                <w:szCs w:val="24"/>
                <w:highlight w:val="none"/>
              </w:rPr>
              <w:t>（20</w:t>
            </w:r>
            <w:r>
              <w:rPr>
                <w:rFonts w:hint="eastAsia"/>
                <w:sz w:val="24"/>
                <w:szCs w:val="24"/>
                <w:highlight w:val="none"/>
              </w:rPr>
              <w:t>21</w:t>
            </w:r>
            <w:r>
              <w:rPr>
                <w:sz w:val="24"/>
                <w:szCs w:val="24"/>
                <w:highlight w:val="none"/>
              </w:rPr>
              <w:t>-203</w:t>
            </w:r>
            <w:r>
              <w:rPr>
                <w:rFonts w:hint="eastAsia"/>
                <w:sz w:val="24"/>
                <w:szCs w:val="24"/>
                <w:highlight w:val="none"/>
              </w:rPr>
              <w:t>5</w:t>
            </w:r>
            <w:r>
              <w:rPr>
                <w:sz w:val="24"/>
                <w:szCs w:val="24"/>
                <w:highlight w:val="none"/>
              </w:rPr>
              <w:t>年）》</w:t>
            </w:r>
            <w:r>
              <w:rPr>
                <w:rFonts w:hint="eastAsia"/>
                <w:sz w:val="24"/>
                <w:szCs w:val="24"/>
                <w:highlight w:val="none"/>
                <w:lang w:eastAsia="zh-CN"/>
              </w:rPr>
              <w:t>关系图见附图</w:t>
            </w:r>
          </w:p>
          <w:p w14:paraId="56A4A740">
            <w:pPr>
              <w:pStyle w:val="19"/>
              <w:tabs>
                <w:tab w:val="left" w:pos="439"/>
              </w:tabs>
              <w:spacing w:line="360" w:lineRule="auto"/>
              <w:ind w:firstLine="480" w:firstLineChars="200"/>
              <w:jc w:val="left"/>
              <w:rPr>
                <w:rFonts w:hint="default" w:ascii="Times New Roman" w:hAnsi="Times New Roman" w:cs="Times New Roman"/>
                <w:kern w:val="0"/>
                <w:sz w:val="24"/>
                <w:highlight w:val="none"/>
                <w:lang w:eastAsia="zh-CN"/>
              </w:rPr>
            </w:pPr>
            <w:r>
              <w:rPr>
                <w:rFonts w:hint="eastAsia" w:ascii="Times New Roman" w:cs="Times New Roman"/>
                <w:kern w:val="0"/>
                <w:sz w:val="24"/>
                <w:highlight w:val="none"/>
                <w:lang w:val="en-US" w:eastAsia="zh-CN"/>
              </w:rPr>
              <w:t>2.</w:t>
            </w:r>
            <w:r>
              <w:rPr>
                <w:rFonts w:hint="default" w:ascii="Times New Roman" w:hAnsi="Times New Roman" w:cs="Times New Roman"/>
                <w:kern w:val="0"/>
                <w:sz w:val="24"/>
                <w:highlight w:val="none"/>
                <w:lang w:eastAsia="zh-CN"/>
              </w:rPr>
              <w:t>与《淮南市</w:t>
            </w:r>
            <w:r>
              <w:rPr>
                <w:rFonts w:hint="eastAsia" w:ascii="Times New Roman" w:hAnsi="Times New Roman" w:cs="Times New Roman"/>
                <w:kern w:val="0"/>
                <w:sz w:val="24"/>
                <w:highlight w:val="none"/>
                <w:lang w:eastAsia="zh-CN"/>
              </w:rPr>
              <w:t>“</w:t>
            </w:r>
            <w:r>
              <w:rPr>
                <w:rFonts w:hint="default" w:ascii="Times New Roman" w:hAnsi="Times New Roman" w:cs="Times New Roman"/>
                <w:kern w:val="0"/>
                <w:sz w:val="24"/>
                <w:highlight w:val="none"/>
                <w:lang w:eastAsia="zh-CN"/>
              </w:rPr>
              <w:t>十四五</w:t>
            </w:r>
            <w:r>
              <w:rPr>
                <w:rFonts w:hint="eastAsia" w:ascii="Times New Roman" w:hAnsi="Times New Roman" w:cs="Times New Roman"/>
                <w:kern w:val="0"/>
                <w:sz w:val="24"/>
                <w:highlight w:val="none"/>
                <w:lang w:eastAsia="zh-CN"/>
              </w:rPr>
              <w:t>”</w:t>
            </w:r>
            <w:r>
              <w:rPr>
                <w:rFonts w:hint="default" w:ascii="Times New Roman" w:hAnsi="Times New Roman" w:cs="Times New Roman"/>
                <w:kern w:val="0"/>
                <w:sz w:val="24"/>
                <w:highlight w:val="none"/>
                <w:lang w:eastAsia="zh-CN"/>
              </w:rPr>
              <w:t>卫生健康规划》符合性分析</w:t>
            </w:r>
          </w:p>
          <w:p w14:paraId="21A5AE9B">
            <w:pPr>
              <w:pStyle w:val="19"/>
              <w:tabs>
                <w:tab w:val="left" w:pos="439"/>
              </w:tabs>
              <w:spacing w:line="360" w:lineRule="auto"/>
              <w:ind w:firstLine="480" w:firstLineChars="200"/>
              <w:jc w:val="left"/>
              <w:rPr>
                <w:rFonts w:hint="default" w:ascii="Times New Roman" w:hAnsi="Times New Roman" w:cs="Times New Roman"/>
                <w:kern w:val="0"/>
                <w:sz w:val="24"/>
                <w:highlight w:val="none"/>
                <w:lang w:eastAsia="zh-CN"/>
              </w:rPr>
            </w:pPr>
            <w:r>
              <w:rPr>
                <w:rFonts w:hint="default" w:ascii="Times New Roman" w:hAnsi="Times New Roman" w:cs="Times New Roman"/>
                <w:kern w:val="0"/>
                <w:sz w:val="24"/>
                <w:highlight w:val="none"/>
                <w:lang w:eastAsia="zh-CN"/>
              </w:rPr>
              <w:t>《淮南市</w:t>
            </w:r>
            <w:r>
              <w:rPr>
                <w:rFonts w:hint="eastAsia" w:ascii="Times New Roman" w:hAnsi="Times New Roman" w:cs="Times New Roman"/>
                <w:kern w:val="0"/>
                <w:sz w:val="24"/>
                <w:highlight w:val="none"/>
                <w:lang w:eastAsia="zh-CN"/>
              </w:rPr>
              <w:t>“</w:t>
            </w:r>
            <w:r>
              <w:rPr>
                <w:rFonts w:hint="default" w:ascii="Times New Roman" w:hAnsi="Times New Roman" w:cs="Times New Roman"/>
                <w:kern w:val="0"/>
                <w:sz w:val="24"/>
                <w:highlight w:val="none"/>
                <w:lang w:eastAsia="zh-CN"/>
              </w:rPr>
              <w:t>十四五</w:t>
            </w:r>
            <w:r>
              <w:rPr>
                <w:rFonts w:hint="eastAsia" w:ascii="Times New Roman" w:hAnsi="Times New Roman" w:cs="Times New Roman"/>
                <w:kern w:val="0"/>
                <w:sz w:val="24"/>
                <w:highlight w:val="none"/>
                <w:lang w:eastAsia="zh-CN"/>
              </w:rPr>
              <w:t>”</w:t>
            </w:r>
            <w:r>
              <w:rPr>
                <w:rFonts w:hint="default" w:ascii="Times New Roman" w:hAnsi="Times New Roman" w:cs="Times New Roman"/>
                <w:kern w:val="0"/>
                <w:sz w:val="24"/>
                <w:highlight w:val="none"/>
                <w:lang w:eastAsia="zh-CN"/>
              </w:rPr>
              <w:t>卫生健康规划》中：</w:t>
            </w:r>
          </w:p>
          <w:p w14:paraId="399A5539">
            <w:pPr>
              <w:pStyle w:val="19"/>
              <w:tabs>
                <w:tab w:val="left" w:pos="439"/>
              </w:tabs>
              <w:spacing w:line="360" w:lineRule="auto"/>
              <w:ind w:firstLine="480" w:firstLineChars="200"/>
              <w:jc w:val="left"/>
              <w:rPr>
                <w:rFonts w:hint="default" w:ascii="Times New Roman" w:hAnsi="Times New Roman" w:cs="Times New Roman"/>
                <w:kern w:val="0"/>
                <w:sz w:val="24"/>
                <w:highlight w:val="none"/>
                <w:lang w:eastAsia="zh-CN"/>
              </w:rPr>
            </w:pPr>
            <w:r>
              <w:rPr>
                <w:rFonts w:hint="default" w:ascii="Times New Roman" w:hAnsi="Times New Roman" w:cs="Times New Roman"/>
                <w:kern w:val="0"/>
                <w:sz w:val="24"/>
                <w:highlight w:val="none"/>
                <w:lang w:eastAsia="zh-CN"/>
              </w:rPr>
              <w:t>六、完善整合型医疗卫生服务体系</w:t>
            </w:r>
          </w:p>
          <w:p w14:paraId="7FAE537F">
            <w:pPr>
              <w:pStyle w:val="19"/>
              <w:tabs>
                <w:tab w:val="left" w:pos="439"/>
              </w:tabs>
              <w:spacing w:line="360" w:lineRule="auto"/>
              <w:ind w:firstLine="480" w:firstLineChars="200"/>
              <w:jc w:val="left"/>
              <w:rPr>
                <w:rFonts w:hint="default" w:ascii="Times New Roman" w:hAnsi="Times New Roman" w:cs="Times New Roman"/>
                <w:kern w:val="0"/>
                <w:sz w:val="24"/>
                <w:highlight w:val="none"/>
                <w:lang w:eastAsia="zh-CN"/>
              </w:rPr>
            </w:pPr>
            <w:r>
              <w:rPr>
                <w:rFonts w:hint="default" w:ascii="Times New Roman" w:hAnsi="Times New Roman" w:cs="Times New Roman"/>
                <w:kern w:val="0"/>
                <w:sz w:val="24"/>
                <w:highlight w:val="none"/>
                <w:lang w:eastAsia="zh-CN"/>
              </w:rPr>
              <w:t>（十）推动医疗卫生资源均衡布局</w:t>
            </w:r>
          </w:p>
          <w:p w14:paraId="3E158BCE">
            <w:pPr>
              <w:pStyle w:val="19"/>
              <w:tabs>
                <w:tab w:val="left" w:pos="439"/>
              </w:tabs>
              <w:spacing w:line="360" w:lineRule="auto"/>
              <w:ind w:firstLine="480" w:firstLineChars="200"/>
              <w:jc w:val="left"/>
              <w:rPr>
                <w:rFonts w:hint="default" w:ascii="Times New Roman" w:hAnsi="Times New Roman" w:cs="Times New Roman"/>
                <w:kern w:val="0"/>
                <w:sz w:val="24"/>
                <w:highlight w:val="none"/>
                <w:lang w:eastAsia="zh-CN"/>
              </w:rPr>
            </w:pPr>
            <w:r>
              <w:rPr>
                <w:rFonts w:hint="default" w:ascii="Times New Roman" w:hAnsi="Times New Roman" w:cs="Times New Roman"/>
                <w:kern w:val="0"/>
                <w:sz w:val="24"/>
                <w:highlight w:val="none"/>
                <w:lang w:eastAsia="zh-CN"/>
              </w:rPr>
              <w:t>以居民健康需求和存在问题为导向，以</w:t>
            </w:r>
            <w:r>
              <w:rPr>
                <w:rFonts w:hint="eastAsia" w:ascii="Times New Roman" w:hAnsi="Times New Roman" w:cs="Times New Roman"/>
                <w:kern w:val="0"/>
                <w:sz w:val="24"/>
                <w:highlight w:val="none"/>
                <w:lang w:eastAsia="zh-CN"/>
              </w:rPr>
              <w:t>“</w:t>
            </w:r>
            <w:r>
              <w:rPr>
                <w:rFonts w:hint="default" w:ascii="Times New Roman" w:hAnsi="Times New Roman" w:cs="Times New Roman"/>
                <w:kern w:val="0"/>
                <w:sz w:val="24"/>
                <w:highlight w:val="none"/>
                <w:lang w:eastAsia="zh-CN"/>
              </w:rPr>
              <w:t>调结构，补短板，促均衡，提能力</w:t>
            </w:r>
            <w:r>
              <w:rPr>
                <w:rFonts w:hint="eastAsia" w:ascii="Times New Roman" w:hAnsi="Times New Roman" w:cs="Times New Roman"/>
                <w:kern w:val="0"/>
                <w:sz w:val="24"/>
                <w:highlight w:val="none"/>
                <w:lang w:eastAsia="zh-CN"/>
              </w:rPr>
              <w:t>”</w:t>
            </w:r>
            <w:r>
              <w:rPr>
                <w:rFonts w:hint="default" w:ascii="Times New Roman" w:hAnsi="Times New Roman" w:cs="Times New Roman"/>
                <w:kern w:val="0"/>
                <w:sz w:val="24"/>
                <w:highlight w:val="none"/>
                <w:lang w:eastAsia="zh-CN"/>
              </w:rPr>
              <w:t>为主线，明确各级各类医疗卫生机构功能定位，引导民营医院适度发展，优化公立医院布局。围绕公平可及和群众受益目标，推动优质医疗资源向县乡、基层流动和辐射，缩小区域间基本医疗卫生服务差距。加快健全覆盖城乡居民的高效可持续的基本医疗卫生制度，构建高水平的15分钟基本医疗卫生服务圈，基本实现</w:t>
            </w:r>
            <w:r>
              <w:rPr>
                <w:rFonts w:hint="eastAsia" w:ascii="Times New Roman" w:hAnsi="Times New Roman" w:cs="Times New Roman"/>
                <w:kern w:val="0"/>
                <w:sz w:val="24"/>
                <w:highlight w:val="none"/>
                <w:lang w:eastAsia="zh-CN"/>
              </w:rPr>
              <w:t>“</w:t>
            </w:r>
            <w:r>
              <w:rPr>
                <w:rFonts w:hint="default" w:ascii="Times New Roman" w:hAnsi="Times New Roman" w:cs="Times New Roman"/>
                <w:kern w:val="0"/>
                <w:sz w:val="24"/>
                <w:highlight w:val="none"/>
                <w:lang w:eastAsia="zh-CN"/>
              </w:rPr>
              <w:t>小病不出乡、大病不出县、重病不出市</w:t>
            </w:r>
            <w:r>
              <w:rPr>
                <w:rFonts w:hint="eastAsia" w:ascii="Times New Roman" w:hAnsi="Times New Roman" w:cs="Times New Roman"/>
                <w:kern w:val="0"/>
                <w:sz w:val="24"/>
                <w:highlight w:val="none"/>
                <w:lang w:eastAsia="zh-CN"/>
              </w:rPr>
              <w:t>”</w:t>
            </w:r>
            <w:r>
              <w:rPr>
                <w:rFonts w:hint="default" w:ascii="Times New Roman" w:hAnsi="Times New Roman" w:cs="Times New Roman"/>
                <w:kern w:val="0"/>
                <w:sz w:val="24"/>
                <w:highlight w:val="none"/>
                <w:lang w:eastAsia="zh-CN"/>
              </w:rPr>
              <w:t>。</w:t>
            </w:r>
          </w:p>
          <w:p w14:paraId="1CBBFD85">
            <w:pPr>
              <w:pStyle w:val="19"/>
              <w:tabs>
                <w:tab w:val="left" w:pos="439"/>
              </w:tabs>
              <w:spacing w:line="360" w:lineRule="auto"/>
              <w:ind w:firstLine="480" w:firstLineChars="200"/>
              <w:jc w:val="left"/>
              <w:rPr>
                <w:rFonts w:hint="default" w:ascii="Times New Roman" w:hAnsi="Times New Roman" w:cs="Times New Roman"/>
                <w:kern w:val="0"/>
                <w:sz w:val="24"/>
                <w:highlight w:val="none"/>
                <w:lang w:eastAsia="zh-CN"/>
              </w:rPr>
            </w:pPr>
            <w:r>
              <w:rPr>
                <w:rFonts w:hint="default" w:ascii="Times New Roman" w:hAnsi="Times New Roman" w:cs="Times New Roman"/>
                <w:kern w:val="0"/>
                <w:sz w:val="24"/>
                <w:highlight w:val="none"/>
                <w:lang w:eastAsia="zh-CN"/>
              </w:rPr>
              <w:t>（十三）促进社会办医持续规范发展</w:t>
            </w:r>
          </w:p>
          <w:p w14:paraId="1DF01C33">
            <w:pPr>
              <w:pStyle w:val="19"/>
              <w:tabs>
                <w:tab w:val="left" w:pos="439"/>
              </w:tabs>
              <w:spacing w:line="360" w:lineRule="auto"/>
              <w:ind w:firstLine="480" w:firstLineChars="200"/>
              <w:jc w:val="left"/>
              <w:rPr>
                <w:rFonts w:hint="default" w:ascii="Times New Roman" w:hAnsi="Times New Roman" w:cs="Times New Roman"/>
                <w:kern w:val="0"/>
                <w:sz w:val="24"/>
                <w:highlight w:val="none"/>
                <w:lang w:eastAsia="zh-CN"/>
              </w:rPr>
            </w:pPr>
            <w:r>
              <w:rPr>
                <w:rFonts w:hint="default" w:ascii="Times New Roman" w:hAnsi="Times New Roman" w:cs="Times New Roman"/>
                <w:kern w:val="0"/>
                <w:sz w:val="24"/>
                <w:highlight w:val="none"/>
                <w:lang w:eastAsia="zh-CN"/>
              </w:rPr>
              <w:t>按照</w:t>
            </w:r>
            <w:r>
              <w:rPr>
                <w:rFonts w:hint="eastAsia" w:ascii="Times New Roman" w:hAnsi="Times New Roman" w:cs="Times New Roman"/>
                <w:kern w:val="0"/>
                <w:sz w:val="24"/>
                <w:highlight w:val="none"/>
                <w:lang w:eastAsia="zh-CN"/>
              </w:rPr>
              <w:t>“</w:t>
            </w:r>
            <w:r>
              <w:rPr>
                <w:rFonts w:hint="default" w:ascii="Times New Roman" w:hAnsi="Times New Roman" w:cs="Times New Roman"/>
                <w:kern w:val="0"/>
                <w:sz w:val="24"/>
                <w:highlight w:val="none"/>
                <w:lang w:eastAsia="zh-CN"/>
              </w:rPr>
              <w:t>非禁即入</w:t>
            </w:r>
            <w:r>
              <w:rPr>
                <w:rFonts w:hint="eastAsia" w:ascii="Times New Roman" w:hAnsi="Times New Roman" w:cs="Times New Roman"/>
                <w:kern w:val="0"/>
                <w:sz w:val="24"/>
                <w:highlight w:val="none"/>
                <w:lang w:eastAsia="zh-CN"/>
              </w:rPr>
              <w:t>”</w:t>
            </w:r>
            <w:r>
              <w:rPr>
                <w:rFonts w:hint="default" w:ascii="Times New Roman" w:hAnsi="Times New Roman" w:cs="Times New Roman"/>
                <w:kern w:val="0"/>
                <w:sz w:val="24"/>
                <w:highlight w:val="none"/>
                <w:lang w:eastAsia="zh-CN"/>
              </w:rPr>
              <w:t>的原则，允许社会资本进入各类医疗和卫生服务领域。积极鼓励社会资本举办，高技术含量、高水平床位在500张以上的综合性医院，兴建设置血液透析中心、医疗消毒供应中心、健康体检中心、安宁疗护中心、康复医疗中心、护理中心、病理诊断中心、医学检验实验室、医学影像诊断中心等独立医疗机构，大力发展护理院、护理站、老年病和慢性病医院等特色中间性医疗机构。对社会办医区域总量和空间布局不作规划限制，同步预留诊疗科目设置和大型医用设备配置空间，积极为社会资本办医营造良好环境。将社会办医疗机构的质量管理</w:t>
            </w:r>
            <w:r>
              <w:rPr>
                <w:rFonts w:hint="eastAsia" w:ascii="Times New Roman" w:cs="Times New Roman"/>
                <w:kern w:val="0"/>
                <w:sz w:val="24"/>
                <w:highlight w:val="none"/>
                <w:lang w:eastAsia="zh-CN"/>
              </w:rPr>
              <w:t>纳入</w:t>
            </w:r>
            <w:r>
              <w:rPr>
                <w:rFonts w:hint="default" w:ascii="Times New Roman" w:hAnsi="Times New Roman" w:cs="Times New Roman"/>
                <w:kern w:val="0"/>
                <w:sz w:val="24"/>
                <w:highlight w:val="none"/>
                <w:lang w:eastAsia="zh-CN"/>
              </w:rPr>
              <w:t>整体医疗质控体系，对社会办医院和公立医院实行同质化管理。</w:t>
            </w:r>
          </w:p>
          <w:p w14:paraId="767ECEFC">
            <w:pPr>
              <w:pStyle w:val="19"/>
              <w:tabs>
                <w:tab w:val="left" w:pos="439"/>
              </w:tabs>
              <w:spacing w:line="360" w:lineRule="auto"/>
              <w:ind w:firstLine="480" w:firstLineChars="200"/>
              <w:jc w:val="left"/>
              <w:rPr>
                <w:rFonts w:hint="default" w:ascii="Times New Roman" w:hAnsi="Times New Roman" w:cs="Times New Roman"/>
                <w:kern w:val="0"/>
                <w:sz w:val="24"/>
                <w:highlight w:val="none"/>
                <w:lang w:eastAsia="zh-CN"/>
              </w:rPr>
            </w:pPr>
            <w:r>
              <w:rPr>
                <w:rFonts w:hint="default" w:ascii="Times New Roman" w:hAnsi="Times New Roman" w:cs="Times New Roman"/>
                <w:kern w:val="0"/>
                <w:sz w:val="24"/>
                <w:highlight w:val="none"/>
                <w:lang w:eastAsia="zh-CN"/>
              </w:rPr>
              <w:t>（二十三）建设区域老年医疗中心，加强老年医院建设。加强二级以上综合性医院（中医医院）老年医学科建设。组织落实老年医疗优待政策。开展老年友善医疗卫生机构创建活动。实施基本公共卫生服务老年健康与医养结合服务项目。推进二级及以上综合性医院和三级中医医院设置康复科。积极申报开展安宁疗护试点工作。支持医疗机构设立养老机构和养老机构设立医疗机构，增加医养结合机构存量。规范医疗机构和养老机构的签约服务。开展医养结合机构质量提升行动，全面提高医养结合机构医疗服务的规范化水平，开展医养结合示范创建。广泛宣传老年健康知识，提高老年人健康素养。</w:t>
            </w:r>
          </w:p>
          <w:p w14:paraId="5610BEFD">
            <w:pPr>
              <w:pStyle w:val="19"/>
              <w:tabs>
                <w:tab w:val="left" w:pos="439"/>
              </w:tabs>
              <w:spacing w:line="360" w:lineRule="auto"/>
              <w:ind w:firstLine="480" w:firstLineChars="200"/>
              <w:jc w:val="left"/>
              <w:rPr>
                <w:rFonts w:hint="eastAsia"/>
                <w:kern w:val="0"/>
                <w:sz w:val="24"/>
                <w:highlight w:val="yellow"/>
                <w:lang w:eastAsia="zh-CN"/>
              </w:rPr>
            </w:pPr>
            <w:r>
              <w:rPr>
                <w:rFonts w:hint="default" w:ascii="Times New Roman" w:hAnsi="Times New Roman" w:cs="Times New Roman"/>
                <w:kern w:val="0"/>
                <w:sz w:val="24"/>
                <w:highlight w:val="none"/>
                <w:lang w:eastAsia="zh-CN"/>
              </w:rPr>
              <w:t>符合性分析</w:t>
            </w:r>
            <w:r>
              <w:rPr>
                <w:rFonts w:hint="default" w:ascii="Times New Roman" w:hAnsi="Times New Roman" w:cs="Times New Roman"/>
                <w:color w:val="auto"/>
                <w:kern w:val="0"/>
                <w:sz w:val="24"/>
                <w:highlight w:val="none"/>
                <w:lang w:eastAsia="zh-CN"/>
              </w:rPr>
              <w:t>：</w:t>
            </w:r>
            <w:r>
              <w:rPr>
                <w:rFonts w:hint="eastAsia" w:ascii="Times New Roman" w:cs="Times New Roman"/>
                <w:color w:val="auto"/>
                <w:kern w:val="0"/>
                <w:sz w:val="24"/>
                <w:highlight w:val="none"/>
                <w:lang w:val="en-US" w:eastAsia="zh-CN"/>
              </w:rPr>
              <w:t>建设</w:t>
            </w:r>
            <w:r>
              <w:rPr>
                <w:rFonts w:hint="default" w:ascii="Times New Roman" w:hAnsi="Times New Roman" w:cs="Times New Roman"/>
                <w:color w:val="auto"/>
                <w:kern w:val="0"/>
                <w:sz w:val="24"/>
                <w:highlight w:val="none"/>
                <w:lang w:eastAsia="zh-CN"/>
              </w:rPr>
              <w:t>医院为民营综合医院，</w:t>
            </w:r>
            <w:r>
              <w:rPr>
                <w:rFonts w:hint="default" w:ascii="Times New Roman" w:hAnsi="Times New Roman" w:cs="Times New Roman"/>
                <w:kern w:val="0"/>
                <w:sz w:val="24"/>
                <w:highlight w:val="none"/>
                <w:lang w:eastAsia="zh-CN"/>
              </w:rPr>
              <w:t>位于</w:t>
            </w:r>
            <w:r>
              <w:rPr>
                <w:rFonts w:hint="eastAsia" w:eastAsia="宋体"/>
                <w:sz w:val="24"/>
                <w:highlight w:val="none"/>
                <w:lang w:eastAsia="zh-CN"/>
              </w:rPr>
              <w:t>安徽省</w:t>
            </w:r>
            <w:r>
              <w:rPr>
                <w:rFonts w:hint="eastAsia" w:eastAsia="宋体"/>
                <w:sz w:val="24"/>
                <w:highlight w:val="none"/>
                <w:lang w:val="en-US" w:eastAsia="zh-CN"/>
              </w:rPr>
              <w:t>淮南市潘集区芦集镇</w:t>
            </w:r>
            <w:r>
              <w:rPr>
                <w:rFonts w:hint="eastAsia" w:eastAsia="宋体"/>
                <w:sz w:val="24"/>
                <w:highlight w:val="none"/>
                <w:lang w:eastAsia="zh-CN"/>
              </w:rPr>
              <w:t>，</w:t>
            </w:r>
            <w:r>
              <w:rPr>
                <w:rFonts w:hint="eastAsia" w:ascii="Times New Roman" w:hAnsi="Times New Roman" w:cs="Times New Roman"/>
                <w:kern w:val="0"/>
                <w:sz w:val="24"/>
                <w:highlight w:val="none"/>
                <w:lang w:eastAsia="zh-CN"/>
              </w:rPr>
              <w:t>让周边</w:t>
            </w:r>
            <w:r>
              <w:rPr>
                <w:rFonts w:hint="default" w:ascii="Times New Roman" w:hAnsi="Times New Roman" w:cs="Times New Roman"/>
                <w:kern w:val="0"/>
                <w:sz w:val="24"/>
                <w:highlight w:val="none"/>
                <w:lang w:eastAsia="zh-CN"/>
              </w:rPr>
              <w:t>群众得以方便就医，就近就医，有利于构建功能互补、密切协作的整合型医疗卫生服务体系，符合《淮南市</w:t>
            </w:r>
            <w:r>
              <w:rPr>
                <w:rFonts w:hint="eastAsia" w:ascii="Times New Roman" w:hAnsi="Times New Roman" w:cs="Times New Roman"/>
                <w:kern w:val="0"/>
                <w:sz w:val="24"/>
                <w:highlight w:val="none"/>
                <w:lang w:eastAsia="zh-CN"/>
              </w:rPr>
              <w:t>“</w:t>
            </w:r>
            <w:r>
              <w:rPr>
                <w:rFonts w:hint="default" w:ascii="Times New Roman" w:hAnsi="Times New Roman" w:cs="Times New Roman"/>
                <w:kern w:val="0"/>
                <w:sz w:val="24"/>
                <w:highlight w:val="none"/>
                <w:lang w:eastAsia="zh-CN"/>
              </w:rPr>
              <w:t>十四五</w:t>
            </w:r>
            <w:r>
              <w:rPr>
                <w:rFonts w:hint="eastAsia" w:ascii="Times New Roman" w:hAnsi="Times New Roman" w:cs="Times New Roman"/>
                <w:kern w:val="0"/>
                <w:sz w:val="24"/>
                <w:highlight w:val="none"/>
                <w:lang w:eastAsia="zh-CN"/>
              </w:rPr>
              <w:t>”</w:t>
            </w:r>
            <w:r>
              <w:rPr>
                <w:rFonts w:hint="default" w:ascii="Times New Roman" w:hAnsi="Times New Roman" w:cs="Times New Roman"/>
                <w:kern w:val="0"/>
                <w:sz w:val="24"/>
                <w:highlight w:val="none"/>
                <w:lang w:eastAsia="zh-CN"/>
              </w:rPr>
              <w:t>卫生健康规划》。</w:t>
            </w:r>
          </w:p>
        </w:tc>
      </w:tr>
      <w:tr w14:paraId="30A317E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040" w:type="dxa"/>
            <w:noWrap w:val="0"/>
            <w:vAlign w:val="center"/>
          </w:tcPr>
          <w:p w14:paraId="290F8603">
            <w:pPr>
              <w:spacing w:line="360" w:lineRule="auto"/>
              <w:jc w:val="center"/>
              <w:outlineLvl w:val="0"/>
              <w:rPr>
                <w:rFonts w:hint="eastAsia" w:ascii="宋体" w:hAnsi="宋体" w:cs="宋体"/>
                <w:kern w:val="0"/>
                <w:sz w:val="24"/>
              </w:rPr>
            </w:pPr>
            <w:r>
              <w:rPr>
                <w:rFonts w:hint="eastAsia" w:ascii="宋体" w:hAnsi="宋体" w:cs="宋体"/>
                <w:kern w:val="0"/>
                <w:sz w:val="24"/>
              </w:rPr>
              <w:t>其他符合性分析</w:t>
            </w:r>
          </w:p>
          <w:p w14:paraId="633313B8">
            <w:pPr>
              <w:pStyle w:val="19"/>
              <w:rPr>
                <w:rFonts w:hint="eastAsia"/>
              </w:rPr>
            </w:pPr>
          </w:p>
        </w:tc>
        <w:tc>
          <w:tcPr>
            <w:tcW w:w="7020" w:type="dxa"/>
            <w:gridSpan w:val="3"/>
            <w:noWrap w:val="0"/>
            <w:vAlign w:val="center"/>
          </w:tcPr>
          <w:p w14:paraId="108EB94D">
            <w:pPr>
              <w:spacing w:line="360" w:lineRule="auto"/>
              <w:ind w:firstLine="482" w:firstLineChars="200"/>
              <w:jc w:val="left"/>
              <w:outlineLvl w:val="0"/>
              <w:rPr>
                <w:rFonts w:hint="eastAsia"/>
                <w:b/>
                <w:bCs/>
                <w:color w:val="auto"/>
                <w:sz w:val="24"/>
                <w:highlight w:val="none"/>
              </w:rPr>
            </w:pPr>
            <w:r>
              <w:rPr>
                <w:rFonts w:hint="eastAsia"/>
                <w:b/>
                <w:bCs/>
                <w:color w:val="auto"/>
                <w:sz w:val="24"/>
                <w:highlight w:val="none"/>
                <w:lang w:eastAsia="zh-CN"/>
              </w:rPr>
              <w:t>1.</w:t>
            </w:r>
            <w:r>
              <w:rPr>
                <w:rFonts w:hint="eastAsia"/>
                <w:b/>
                <w:bCs/>
                <w:color w:val="auto"/>
                <w:sz w:val="24"/>
                <w:highlight w:val="none"/>
              </w:rPr>
              <w:t>产业政策符合性分析</w:t>
            </w:r>
          </w:p>
          <w:p w14:paraId="2EE0F626">
            <w:pPr>
              <w:adjustRightInd w:val="0"/>
              <w:snapToGrid w:val="0"/>
              <w:spacing w:line="360" w:lineRule="auto"/>
              <w:jc w:val="both"/>
              <w:rPr>
                <w:color w:val="auto"/>
                <w:sz w:val="24"/>
                <w:highlight w:val="none"/>
              </w:rPr>
            </w:pPr>
            <w:r>
              <w:rPr>
                <w:rFonts w:hint="eastAsia"/>
                <w:color w:val="auto"/>
                <w:sz w:val="24"/>
                <w:highlight w:val="none"/>
              </w:rPr>
              <w:t xml:space="preserve">    </w:t>
            </w:r>
            <w:r>
              <w:rPr>
                <w:color w:val="auto"/>
                <w:sz w:val="24"/>
                <w:highlight w:val="none"/>
              </w:rPr>
              <w:t>本项目</w:t>
            </w:r>
            <w:r>
              <w:rPr>
                <w:rFonts w:hint="eastAsia"/>
                <w:color w:val="auto"/>
                <w:sz w:val="24"/>
                <w:highlight w:val="none"/>
                <w:lang w:eastAsia="zh-CN"/>
              </w:rPr>
              <w:t>属于</w:t>
            </w:r>
            <w:r>
              <w:rPr>
                <w:color w:val="000000"/>
                <w:sz w:val="24"/>
                <w:highlight w:val="none"/>
              </w:rPr>
              <w:t>Q8411 综合医院</w:t>
            </w:r>
            <w:r>
              <w:rPr>
                <w:color w:val="auto"/>
                <w:sz w:val="24"/>
                <w:highlight w:val="none"/>
              </w:rPr>
              <w:t>，</w:t>
            </w:r>
            <w:r>
              <w:rPr>
                <w:rFonts w:hint="eastAsia"/>
                <w:color w:val="auto"/>
                <w:sz w:val="24"/>
                <w:highlight w:val="none"/>
              </w:rPr>
              <w:t>根据</w:t>
            </w:r>
            <w:r>
              <w:rPr>
                <w:color w:val="auto"/>
                <w:sz w:val="24"/>
                <w:highlight w:val="none"/>
              </w:rPr>
              <w:t>《产业结构调整指导目录（20</w:t>
            </w:r>
            <w:r>
              <w:rPr>
                <w:rFonts w:hint="eastAsia"/>
                <w:color w:val="auto"/>
                <w:sz w:val="24"/>
                <w:highlight w:val="none"/>
              </w:rPr>
              <w:t>24</w:t>
            </w:r>
            <w:r>
              <w:rPr>
                <w:color w:val="auto"/>
                <w:sz w:val="24"/>
                <w:highlight w:val="none"/>
              </w:rPr>
              <w:t>年本）》，</w:t>
            </w:r>
            <w:r>
              <w:rPr>
                <w:rFonts w:hint="default" w:ascii="Times New Roman" w:hAnsi="Times New Roman" w:cs="Times New Roman"/>
                <w:color w:val="auto"/>
                <w:sz w:val="24"/>
                <w:highlight w:val="none"/>
              </w:rPr>
              <w:t>本项目属于《产业结构调整指导目录（2024年本）》（国家发展和改革委员会令第7号）第一类鼓励类中第三十七项“卫生健康”：第1条医疗卫生服务设施建设</w:t>
            </w:r>
            <w:r>
              <w:rPr>
                <w:color w:val="auto"/>
                <w:sz w:val="24"/>
                <w:highlight w:val="none"/>
              </w:rPr>
              <w:t>，</w:t>
            </w:r>
            <w:r>
              <w:rPr>
                <w:rFonts w:hint="eastAsia"/>
                <w:color w:val="auto"/>
                <w:sz w:val="24"/>
                <w:highlight w:val="none"/>
              </w:rPr>
              <w:t>且本项目已取得</w:t>
            </w:r>
            <w:r>
              <w:rPr>
                <w:rFonts w:hint="eastAsia"/>
                <w:color w:val="auto"/>
                <w:sz w:val="24"/>
                <w:highlight w:val="none"/>
                <w:lang w:eastAsia="zh-CN"/>
              </w:rPr>
              <w:t>淮南市潘集区发展和改革委员会</w:t>
            </w:r>
            <w:r>
              <w:rPr>
                <w:rFonts w:hint="eastAsia"/>
                <w:color w:val="auto"/>
                <w:sz w:val="24"/>
                <w:highlight w:val="none"/>
              </w:rPr>
              <w:t>备案文件，项目代码为</w:t>
            </w:r>
            <w:r>
              <w:rPr>
                <w:rFonts w:hint="eastAsia"/>
                <w:color w:val="auto"/>
                <w:sz w:val="24"/>
                <w:highlight w:val="none"/>
                <w:lang w:eastAsia="zh-CN"/>
              </w:rPr>
              <w:t>2610-340406-04-01-944855</w:t>
            </w:r>
            <w:r>
              <w:rPr>
                <w:rFonts w:hint="eastAsia"/>
                <w:color w:val="auto"/>
                <w:sz w:val="24"/>
                <w:highlight w:val="none"/>
              </w:rPr>
              <w:t>，</w:t>
            </w:r>
            <w:r>
              <w:rPr>
                <w:color w:val="auto"/>
                <w:sz w:val="24"/>
                <w:highlight w:val="none"/>
              </w:rPr>
              <w:t>因此项目建设符合国家产业政策。</w:t>
            </w:r>
          </w:p>
          <w:p w14:paraId="63650F67">
            <w:pPr>
              <w:autoSpaceDE w:val="0"/>
              <w:autoSpaceDN w:val="0"/>
              <w:adjustRightInd w:val="0"/>
              <w:snapToGrid w:val="0"/>
              <w:spacing w:line="360" w:lineRule="auto"/>
              <w:ind w:firstLine="482" w:firstLineChars="200"/>
              <w:jc w:val="left"/>
              <w:rPr>
                <w:b/>
                <w:bCs/>
                <w:color w:val="auto"/>
                <w:kern w:val="0"/>
                <w:sz w:val="24"/>
                <w:highlight w:val="none"/>
              </w:rPr>
            </w:pPr>
            <w:r>
              <w:rPr>
                <w:rFonts w:hint="eastAsia"/>
                <w:b/>
                <w:bCs/>
                <w:color w:val="auto"/>
                <w:kern w:val="0"/>
                <w:sz w:val="24"/>
                <w:highlight w:val="none"/>
                <w:lang w:eastAsia="zh-CN"/>
              </w:rPr>
              <w:t>2.</w:t>
            </w:r>
            <w:r>
              <w:rPr>
                <w:rFonts w:hint="eastAsia"/>
                <w:b/>
                <w:bCs/>
                <w:color w:val="auto"/>
                <w:kern w:val="0"/>
                <w:sz w:val="24"/>
                <w:highlight w:val="none"/>
              </w:rPr>
              <w:t>选址合理性分析</w:t>
            </w:r>
          </w:p>
          <w:p w14:paraId="6BA0355D">
            <w:pPr>
              <w:autoSpaceDE w:val="0"/>
              <w:autoSpaceDN w:val="0"/>
              <w:adjustRightInd w:val="0"/>
              <w:snapToGrid w:val="0"/>
              <w:spacing w:line="360" w:lineRule="auto"/>
              <w:ind w:firstLine="480" w:firstLineChars="200"/>
              <w:jc w:val="left"/>
              <w:rPr>
                <w:rFonts w:hint="eastAsia"/>
                <w:kern w:val="0"/>
                <w:sz w:val="24"/>
                <w:highlight w:val="none"/>
              </w:rPr>
            </w:pPr>
            <w:r>
              <w:rPr>
                <w:rFonts w:hint="eastAsia"/>
                <w:color w:val="auto"/>
                <w:kern w:val="0"/>
                <w:sz w:val="24"/>
                <w:highlight w:val="none"/>
                <w:lang w:eastAsia="zh-CN"/>
              </w:rPr>
              <w:t>（</w:t>
            </w:r>
            <w:r>
              <w:rPr>
                <w:rFonts w:hint="eastAsia"/>
                <w:color w:val="auto"/>
                <w:kern w:val="0"/>
                <w:sz w:val="24"/>
                <w:highlight w:val="none"/>
                <w:lang w:val="en-US" w:eastAsia="zh-CN"/>
              </w:rPr>
              <w:t>1</w:t>
            </w:r>
            <w:r>
              <w:rPr>
                <w:rFonts w:hint="eastAsia"/>
                <w:color w:val="auto"/>
                <w:kern w:val="0"/>
                <w:sz w:val="24"/>
                <w:highlight w:val="none"/>
                <w:lang w:eastAsia="zh-CN"/>
              </w:rPr>
              <w:t>）</w:t>
            </w:r>
            <w:r>
              <w:rPr>
                <w:rFonts w:hint="eastAsia"/>
                <w:kern w:val="0"/>
                <w:sz w:val="24"/>
                <w:highlight w:val="none"/>
              </w:rPr>
              <w:t>与</w:t>
            </w:r>
            <w:r>
              <w:rPr>
                <w:rFonts w:hint="eastAsia"/>
                <w:color w:val="auto"/>
                <w:kern w:val="0"/>
                <w:sz w:val="24"/>
                <w:highlight w:val="none"/>
              </w:rPr>
              <w:t>用地规划</w:t>
            </w:r>
            <w:r>
              <w:rPr>
                <w:rFonts w:hint="eastAsia"/>
                <w:kern w:val="0"/>
                <w:sz w:val="24"/>
                <w:highlight w:val="none"/>
              </w:rPr>
              <w:t>相符性分析</w:t>
            </w:r>
          </w:p>
          <w:p w14:paraId="2EEFCFE9">
            <w:pPr>
              <w:spacing w:line="360" w:lineRule="auto"/>
              <w:ind w:firstLine="480" w:firstLineChars="200"/>
              <w:rPr>
                <w:rFonts w:hint="eastAsia"/>
                <w:kern w:val="0"/>
                <w:highlight w:val="none"/>
              </w:rPr>
            </w:pPr>
            <w:r>
              <w:rPr>
                <w:rFonts w:hint="eastAsia"/>
                <w:sz w:val="24"/>
                <w:highlight w:val="none"/>
              </w:rPr>
              <w:t>本项目位于</w:t>
            </w:r>
            <w:r>
              <w:rPr>
                <w:rFonts w:hint="eastAsia"/>
                <w:sz w:val="24"/>
                <w:highlight w:val="none"/>
                <w:lang w:eastAsia="zh-CN"/>
              </w:rPr>
              <w:t>淮南市潘集区芦集镇</w:t>
            </w:r>
            <w:r>
              <w:rPr>
                <w:rFonts w:hint="eastAsia" w:eastAsia="宋体"/>
                <w:sz w:val="24"/>
                <w:highlight w:val="none"/>
                <w:lang w:eastAsia="zh-CN"/>
              </w:rPr>
              <w:t>，</w:t>
            </w:r>
            <w:r>
              <w:rPr>
                <w:rFonts w:hint="eastAsia"/>
                <w:sz w:val="24"/>
                <w:highlight w:val="none"/>
                <w:lang w:eastAsia="zh-CN"/>
              </w:rPr>
              <w:t>对照</w:t>
            </w:r>
            <w:r>
              <w:rPr>
                <w:sz w:val="24"/>
                <w:szCs w:val="24"/>
                <w:highlight w:val="none"/>
              </w:rPr>
              <w:t>《</w:t>
            </w:r>
            <w:r>
              <w:rPr>
                <w:rFonts w:hint="eastAsia"/>
                <w:sz w:val="24"/>
                <w:szCs w:val="24"/>
                <w:highlight w:val="none"/>
              </w:rPr>
              <w:t>淮南市国土空间规划</w:t>
            </w:r>
            <w:r>
              <w:rPr>
                <w:sz w:val="24"/>
                <w:szCs w:val="24"/>
                <w:highlight w:val="none"/>
              </w:rPr>
              <w:t>（20</w:t>
            </w:r>
            <w:r>
              <w:rPr>
                <w:rFonts w:hint="eastAsia"/>
                <w:sz w:val="24"/>
                <w:szCs w:val="24"/>
                <w:highlight w:val="none"/>
              </w:rPr>
              <w:t>21</w:t>
            </w:r>
            <w:r>
              <w:rPr>
                <w:sz w:val="24"/>
                <w:szCs w:val="24"/>
                <w:highlight w:val="none"/>
              </w:rPr>
              <w:t>-203</w:t>
            </w:r>
            <w:r>
              <w:rPr>
                <w:rFonts w:hint="eastAsia"/>
                <w:sz w:val="24"/>
                <w:szCs w:val="24"/>
                <w:highlight w:val="none"/>
              </w:rPr>
              <w:t>5</w:t>
            </w:r>
            <w:r>
              <w:rPr>
                <w:sz w:val="24"/>
                <w:szCs w:val="24"/>
                <w:highlight w:val="none"/>
              </w:rPr>
              <w:t>年）》</w:t>
            </w:r>
            <w:r>
              <w:rPr>
                <w:rFonts w:hint="eastAsia"/>
                <w:sz w:val="24"/>
                <w:szCs w:val="24"/>
                <w:highlight w:val="none"/>
                <w:lang w:eastAsia="zh-CN"/>
              </w:rPr>
              <w:t>，</w:t>
            </w:r>
            <w:r>
              <w:rPr>
                <w:rFonts w:hint="eastAsia"/>
                <w:color w:val="auto"/>
                <w:sz w:val="24"/>
                <w:szCs w:val="24"/>
                <w:highlight w:val="none"/>
                <w:lang w:eastAsia="zh-CN"/>
              </w:rPr>
              <w:t>本项目规划地段位于城镇开发边界之内。</w:t>
            </w:r>
            <w:r>
              <w:rPr>
                <w:rFonts w:hint="eastAsia"/>
                <w:sz w:val="24"/>
                <w:highlight w:val="none"/>
              </w:rPr>
              <w:t>根据</w:t>
            </w:r>
            <w:r>
              <w:rPr>
                <w:rFonts w:hint="eastAsia"/>
                <w:color w:val="auto"/>
                <w:sz w:val="24"/>
                <w:highlight w:val="none"/>
                <w:lang w:val="en-US" w:eastAsia="zh-CN"/>
              </w:rPr>
              <w:t>院方</w:t>
            </w:r>
            <w:r>
              <w:rPr>
                <w:rFonts w:hint="eastAsia" w:eastAsia="宋体"/>
                <w:color w:val="auto"/>
                <w:sz w:val="24"/>
                <w:highlight w:val="none"/>
                <w:lang w:eastAsia="zh-CN"/>
              </w:rPr>
              <w:t>提供的</w:t>
            </w:r>
            <w:r>
              <w:rPr>
                <w:rFonts w:hint="eastAsia" w:eastAsia="宋体"/>
                <w:sz w:val="24"/>
                <w:highlight w:val="none"/>
                <w:lang w:eastAsia="zh-CN"/>
              </w:rPr>
              <w:t>产权证明（附件</w:t>
            </w:r>
            <w:r>
              <w:rPr>
                <w:rFonts w:hint="eastAsia" w:eastAsia="宋体"/>
                <w:sz w:val="24"/>
                <w:highlight w:val="none"/>
                <w:lang w:val="en-US" w:eastAsia="zh-CN"/>
              </w:rPr>
              <w:t>4</w:t>
            </w:r>
            <w:r>
              <w:rPr>
                <w:rFonts w:hint="eastAsia"/>
                <w:sz w:val="24"/>
                <w:highlight w:val="none"/>
                <w:lang w:val="en-US" w:eastAsia="zh-CN"/>
              </w:rPr>
              <w:t>、附件5</w:t>
            </w:r>
            <w:r>
              <w:rPr>
                <w:rFonts w:hint="eastAsia" w:eastAsia="宋体"/>
                <w:sz w:val="24"/>
                <w:highlight w:val="none"/>
                <w:lang w:eastAsia="zh-CN"/>
              </w:rPr>
              <w:t>）</w:t>
            </w:r>
            <w:r>
              <w:rPr>
                <w:sz w:val="24"/>
                <w:highlight w:val="none"/>
              </w:rPr>
              <w:t>，项目所在地块属</w:t>
            </w:r>
            <w:r>
              <w:rPr>
                <w:color w:val="auto"/>
                <w:sz w:val="24"/>
                <w:highlight w:val="none"/>
              </w:rPr>
              <w:t>于</w:t>
            </w:r>
            <w:r>
              <w:rPr>
                <w:rFonts w:hint="eastAsia"/>
                <w:color w:val="auto"/>
                <w:sz w:val="24"/>
                <w:highlight w:val="none"/>
                <w:lang w:eastAsia="zh-CN"/>
              </w:rPr>
              <w:t>医卫慈善用地</w:t>
            </w:r>
            <w:r>
              <w:rPr>
                <w:rFonts w:hint="eastAsia"/>
                <w:color w:val="auto"/>
                <w:sz w:val="24"/>
                <w:highlight w:val="none"/>
                <w:lang w:val="en-US" w:eastAsia="zh-CN"/>
              </w:rPr>
              <w:t>/医疗卫生</w:t>
            </w:r>
            <w:r>
              <w:rPr>
                <w:sz w:val="24"/>
                <w:highlight w:val="none"/>
              </w:rPr>
              <w:t>，用地性质与规划相符。</w:t>
            </w:r>
          </w:p>
          <w:p w14:paraId="68C69B8C">
            <w:pPr>
              <w:autoSpaceDE w:val="0"/>
              <w:autoSpaceDN w:val="0"/>
              <w:adjustRightInd w:val="0"/>
              <w:snapToGrid w:val="0"/>
              <w:spacing w:line="360" w:lineRule="auto"/>
              <w:ind w:firstLine="480" w:firstLineChars="200"/>
              <w:jc w:val="left"/>
              <w:rPr>
                <w:rFonts w:hint="eastAsia"/>
                <w:color w:val="auto"/>
                <w:kern w:val="0"/>
                <w:sz w:val="24"/>
                <w:highlight w:val="none"/>
              </w:rPr>
            </w:pPr>
            <w:r>
              <w:rPr>
                <w:rFonts w:hint="eastAsia"/>
                <w:color w:val="auto"/>
                <w:kern w:val="0"/>
                <w:sz w:val="24"/>
                <w:highlight w:val="none"/>
              </w:rPr>
              <w:t>（</w:t>
            </w:r>
            <w:r>
              <w:rPr>
                <w:rFonts w:hint="eastAsia"/>
                <w:color w:val="auto"/>
                <w:kern w:val="0"/>
                <w:sz w:val="24"/>
                <w:highlight w:val="none"/>
                <w:lang w:val="en-US" w:eastAsia="zh-CN"/>
              </w:rPr>
              <w:t>2</w:t>
            </w:r>
            <w:r>
              <w:rPr>
                <w:rFonts w:hint="eastAsia"/>
                <w:color w:val="auto"/>
                <w:kern w:val="0"/>
                <w:sz w:val="24"/>
                <w:highlight w:val="none"/>
              </w:rPr>
              <w:t>）与周边环境相容性分析</w:t>
            </w:r>
          </w:p>
          <w:p w14:paraId="42F40A98">
            <w:pPr>
              <w:pStyle w:val="7"/>
              <w:widowControl/>
              <w:snapToGrid w:val="0"/>
              <w:spacing w:line="360" w:lineRule="auto"/>
              <w:ind w:firstLine="480" w:firstLineChars="200"/>
              <w:rPr>
                <w:color w:val="auto"/>
                <w:kern w:val="0"/>
                <w:sz w:val="24"/>
                <w:highlight w:val="none"/>
              </w:rPr>
            </w:pPr>
            <w:r>
              <w:rPr>
                <w:rFonts w:ascii="Arial" w:hAnsi="Arial" w:eastAsia="宋体" w:cs="Arial"/>
                <w:i w:val="0"/>
                <w:iCs w:val="0"/>
                <w:caps w:val="0"/>
                <w:color w:val="auto"/>
                <w:spacing w:val="0"/>
                <w:sz w:val="24"/>
                <w:szCs w:val="24"/>
                <w:highlight w:val="none"/>
                <w:shd w:val="clear" w:color="auto" w:fill="FFFFFF"/>
              </w:rPr>
              <w:t>项目位于</w:t>
            </w:r>
            <w:r>
              <w:rPr>
                <w:rFonts w:hint="eastAsia" w:ascii="Arial" w:hAnsi="Arial" w:cs="Arial"/>
                <w:i w:val="0"/>
                <w:iCs w:val="0"/>
                <w:caps w:val="0"/>
                <w:color w:val="auto"/>
                <w:spacing w:val="0"/>
                <w:sz w:val="24"/>
                <w:szCs w:val="24"/>
                <w:highlight w:val="none"/>
                <w:shd w:val="clear" w:color="auto" w:fill="FFFFFF"/>
                <w:lang w:eastAsia="zh-CN"/>
              </w:rPr>
              <w:t>淮南市潘集区芦集镇</w:t>
            </w:r>
            <w:r>
              <w:rPr>
                <w:rFonts w:ascii="Arial" w:hAnsi="Arial" w:eastAsia="宋体" w:cs="Arial"/>
                <w:i w:val="0"/>
                <w:iCs w:val="0"/>
                <w:caps w:val="0"/>
                <w:color w:val="auto"/>
                <w:spacing w:val="0"/>
                <w:sz w:val="24"/>
                <w:szCs w:val="24"/>
                <w:highlight w:val="none"/>
                <w:shd w:val="clear" w:color="auto" w:fill="FFFFFF"/>
              </w:rPr>
              <w:t>。本项目西侧</w:t>
            </w:r>
            <w:r>
              <w:rPr>
                <w:rFonts w:hint="eastAsia" w:ascii="Arial" w:hAnsi="Arial" w:eastAsia="宋体" w:cs="Arial"/>
                <w:i w:val="0"/>
                <w:iCs w:val="0"/>
                <w:caps w:val="0"/>
                <w:color w:val="auto"/>
                <w:spacing w:val="0"/>
                <w:sz w:val="24"/>
                <w:szCs w:val="24"/>
                <w:highlight w:val="none"/>
                <w:shd w:val="clear" w:color="auto" w:fill="FFFFFF"/>
                <w:lang w:eastAsia="zh-CN"/>
              </w:rPr>
              <w:t>为康馨苑小区、北侧为</w:t>
            </w:r>
            <w:r>
              <w:rPr>
                <w:rFonts w:hint="eastAsia" w:ascii="Arial" w:hAnsi="Arial" w:cs="Arial"/>
                <w:i w:val="0"/>
                <w:iCs w:val="0"/>
                <w:caps w:val="0"/>
                <w:color w:val="auto"/>
                <w:spacing w:val="0"/>
                <w:sz w:val="24"/>
                <w:szCs w:val="24"/>
                <w:highlight w:val="none"/>
                <w:shd w:val="clear" w:color="auto" w:fill="FFFFFF"/>
                <w:lang w:val="en-US" w:eastAsia="zh-CN"/>
              </w:rPr>
              <w:t>潘集区</w:t>
            </w:r>
            <w:r>
              <w:rPr>
                <w:rFonts w:hint="eastAsia" w:ascii="Arial" w:hAnsi="Arial" w:cs="Arial"/>
                <w:i w:val="0"/>
                <w:iCs w:val="0"/>
                <w:caps w:val="0"/>
                <w:color w:val="auto"/>
                <w:spacing w:val="0"/>
                <w:sz w:val="24"/>
                <w:szCs w:val="24"/>
                <w:highlight w:val="none"/>
                <w:shd w:val="clear" w:color="auto" w:fill="FFFFFF"/>
                <w:lang w:eastAsia="zh-CN"/>
              </w:rPr>
              <w:t>芦集镇</w:t>
            </w:r>
            <w:r>
              <w:rPr>
                <w:rFonts w:hint="eastAsia" w:ascii="Arial" w:hAnsi="Arial" w:cs="Arial"/>
                <w:i w:val="0"/>
                <w:iCs w:val="0"/>
                <w:caps w:val="0"/>
                <w:color w:val="auto"/>
                <w:spacing w:val="0"/>
                <w:sz w:val="24"/>
                <w:szCs w:val="24"/>
                <w:highlight w:val="none"/>
                <w:shd w:val="clear" w:color="auto" w:fill="FFFFFF"/>
                <w:lang w:val="en-US" w:eastAsia="zh-CN"/>
              </w:rPr>
              <w:t>再生水厂</w:t>
            </w:r>
            <w:r>
              <w:rPr>
                <w:rFonts w:hint="eastAsia" w:ascii="Arial" w:hAnsi="Arial" w:eastAsia="宋体" w:cs="Arial"/>
                <w:i w:val="0"/>
                <w:iCs w:val="0"/>
                <w:caps w:val="0"/>
                <w:color w:val="auto"/>
                <w:spacing w:val="0"/>
                <w:sz w:val="24"/>
                <w:szCs w:val="24"/>
                <w:highlight w:val="none"/>
                <w:shd w:val="clear" w:color="auto" w:fill="FFFFFF"/>
                <w:lang w:eastAsia="zh-CN"/>
              </w:rPr>
              <w:t>，东侧为</w:t>
            </w:r>
            <w:r>
              <w:rPr>
                <w:rFonts w:hint="eastAsia" w:ascii="Arial" w:hAnsi="Arial" w:cs="Arial"/>
                <w:i w:val="0"/>
                <w:iCs w:val="0"/>
                <w:caps w:val="0"/>
                <w:color w:val="auto"/>
                <w:spacing w:val="0"/>
                <w:sz w:val="24"/>
                <w:szCs w:val="24"/>
                <w:highlight w:val="none"/>
                <w:shd w:val="clear" w:color="auto" w:fill="FFFFFF"/>
                <w:lang w:val="en-US" w:eastAsia="zh-CN"/>
              </w:rPr>
              <w:t>商铺</w:t>
            </w:r>
            <w:r>
              <w:rPr>
                <w:rFonts w:hint="eastAsia"/>
                <w:color w:val="auto"/>
                <w:highlight w:val="none"/>
                <w:lang w:eastAsia="zh-CN"/>
              </w:rPr>
              <w:t>，</w:t>
            </w:r>
            <w:r>
              <w:rPr>
                <w:rFonts w:hint="eastAsia"/>
                <w:color w:val="auto"/>
                <w:sz w:val="24"/>
                <w:szCs w:val="24"/>
                <w:highlight w:val="none"/>
                <w:lang w:eastAsia="zh-CN"/>
              </w:rPr>
              <w:t>南侧为潘三新村小区</w:t>
            </w:r>
            <w:r>
              <w:rPr>
                <w:rFonts w:hint="eastAsia" w:ascii="Arial" w:hAnsi="Arial" w:eastAsia="宋体" w:cs="Arial"/>
                <w:i w:val="0"/>
                <w:iCs w:val="0"/>
                <w:caps w:val="0"/>
                <w:color w:val="auto"/>
                <w:spacing w:val="0"/>
                <w:sz w:val="24"/>
                <w:szCs w:val="24"/>
                <w:highlight w:val="none"/>
                <w:shd w:val="clear" w:color="auto" w:fill="FFFFFF"/>
                <w:lang w:eastAsia="zh-CN"/>
              </w:rPr>
              <w:t>。</w:t>
            </w:r>
            <w:r>
              <w:rPr>
                <w:rFonts w:ascii="宋体" w:hAnsi="宋体" w:cs="宋体"/>
                <w:color w:val="auto"/>
                <w:sz w:val="24"/>
                <w:highlight w:val="none"/>
              </w:rPr>
              <w:t>根据现场勘查，本项目评价区域内无生态保护区、自然保护区、风景旅游区、文化遗产保护区及</w:t>
            </w:r>
            <w:r>
              <w:rPr>
                <w:rFonts w:hint="eastAsia" w:ascii="宋体" w:hAnsi="宋体" w:cs="宋体"/>
                <w:color w:val="auto"/>
                <w:sz w:val="24"/>
                <w:highlight w:val="none"/>
                <w:lang w:eastAsia="zh-CN"/>
              </w:rPr>
              <w:t>饮用水水源保护区</w:t>
            </w:r>
            <w:r>
              <w:rPr>
                <w:rFonts w:ascii="宋体" w:hAnsi="宋体" w:cs="宋体"/>
                <w:color w:val="auto"/>
                <w:sz w:val="24"/>
                <w:highlight w:val="none"/>
              </w:rPr>
              <w:t>等环境敏感目标，项目选址地块周边以</w:t>
            </w:r>
            <w:r>
              <w:rPr>
                <w:rFonts w:hint="eastAsia" w:ascii="宋体" w:hAnsi="宋体" w:cs="宋体"/>
                <w:color w:val="auto"/>
                <w:sz w:val="24"/>
                <w:highlight w:val="none"/>
                <w:lang w:eastAsia="zh-CN"/>
              </w:rPr>
              <w:t>居住、</w:t>
            </w:r>
            <w:r>
              <w:rPr>
                <w:rFonts w:hint="eastAsia" w:ascii="宋体" w:hAnsi="宋体" w:cs="宋体"/>
                <w:color w:val="auto"/>
                <w:sz w:val="24"/>
                <w:highlight w:val="none"/>
                <w:lang w:val="en-US" w:eastAsia="zh-CN"/>
              </w:rPr>
              <w:t>商业、再生水厂为</w:t>
            </w:r>
            <w:r>
              <w:rPr>
                <w:rFonts w:ascii="宋体" w:hAnsi="宋体" w:cs="宋体"/>
                <w:color w:val="auto"/>
                <w:sz w:val="24"/>
                <w:highlight w:val="none"/>
              </w:rPr>
              <w:t>主。外环境制约因素小，因此本项目建设与周边环境是相容的。</w:t>
            </w:r>
          </w:p>
          <w:p w14:paraId="6D6A9150">
            <w:pPr>
              <w:autoSpaceDE w:val="0"/>
              <w:autoSpaceDN w:val="0"/>
              <w:adjustRightInd w:val="0"/>
              <w:snapToGrid w:val="0"/>
              <w:spacing w:line="360" w:lineRule="auto"/>
              <w:ind w:firstLine="480" w:firstLineChars="200"/>
              <w:jc w:val="left"/>
              <w:rPr>
                <w:color w:val="auto"/>
                <w:kern w:val="0"/>
                <w:sz w:val="24"/>
                <w:highlight w:val="none"/>
              </w:rPr>
            </w:pPr>
            <w:r>
              <w:rPr>
                <w:rFonts w:hint="eastAsia"/>
                <w:color w:val="auto"/>
                <w:kern w:val="0"/>
                <w:sz w:val="24"/>
                <w:highlight w:val="none"/>
              </w:rPr>
              <w:t>（3）对外环境的影响</w:t>
            </w:r>
          </w:p>
          <w:p w14:paraId="5AB853FE">
            <w:pPr>
              <w:autoSpaceDE w:val="0"/>
              <w:autoSpaceDN w:val="0"/>
              <w:adjustRightInd w:val="0"/>
              <w:snapToGrid w:val="0"/>
              <w:spacing w:line="360" w:lineRule="auto"/>
              <w:ind w:firstLine="480" w:firstLineChars="200"/>
              <w:jc w:val="left"/>
              <w:rPr>
                <w:color w:val="auto"/>
                <w:kern w:val="0"/>
                <w:sz w:val="24"/>
                <w:highlight w:val="none"/>
              </w:rPr>
            </w:pPr>
            <w:r>
              <w:rPr>
                <w:rFonts w:hint="eastAsia"/>
                <w:color w:val="auto"/>
                <w:kern w:val="0"/>
                <w:sz w:val="24"/>
                <w:highlight w:val="none"/>
              </w:rPr>
              <w:t>本项目生产过程中产生的废水主要是生活污水</w:t>
            </w:r>
            <w:r>
              <w:rPr>
                <w:rFonts w:hint="eastAsia"/>
                <w:color w:val="auto"/>
                <w:kern w:val="0"/>
                <w:sz w:val="24"/>
                <w:highlight w:val="none"/>
                <w:lang w:eastAsia="zh-CN"/>
              </w:rPr>
              <w:t>、</w:t>
            </w:r>
            <w:r>
              <w:rPr>
                <w:rFonts w:hint="eastAsia" w:cs="Times New Roman"/>
                <w:color w:val="000000"/>
                <w:kern w:val="2"/>
                <w:sz w:val="24"/>
                <w:szCs w:val="24"/>
                <w:highlight w:val="none"/>
                <w:lang w:val="en-US" w:eastAsia="zh-CN" w:bidi="ar-SA"/>
              </w:rPr>
              <w:t>普通</w:t>
            </w:r>
            <w:r>
              <w:rPr>
                <w:rFonts w:hint="eastAsia" w:ascii="Times New Roman" w:hAnsi="Times New Roman" w:eastAsia="宋体" w:cs="Times New Roman"/>
                <w:color w:val="000000"/>
                <w:kern w:val="2"/>
                <w:sz w:val="24"/>
                <w:szCs w:val="24"/>
                <w:highlight w:val="none"/>
                <w:lang w:val="en-US" w:eastAsia="zh-CN" w:bidi="ar-SA"/>
              </w:rPr>
              <w:t>门诊废水、</w:t>
            </w:r>
            <w:r>
              <w:rPr>
                <w:rFonts w:hint="eastAsia" w:cs="Times New Roman"/>
                <w:color w:val="000000"/>
                <w:kern w:val="2"/>
                <w:sz w:val="24"/>
                <w:szCs w:val="24"/>
                <w:highlight w:val="none"/>
                <w:lang w:val="en-US" w:eastAsia="zh-CN" w:bidi="ar-SA"/>
              </w:rPr>
              <w:t>口腔科废水、</w:t>
            </w:r>
            <w:r>
              <w:rPr>
                <w:rFonts w:hint="eastAsia" w:ascii="Times New Roman" w:hAnsi="Times New Roman" w:eastAsia="宋体" w:cs="Times New Roman"/>
                <w:color w:val="000000"/>
                <w:kern w:val="2"/>
                <w:sz w:val="24"/>
                <w:szCs w:val="24"/>
                <w:highlight w:val="none"/>
                <w:lang w:val="en-US" w:eastAsia="zh-CN" w:bidi="ar-SA"/>
              </w:rPr>
              <w:t>病房废水、检验废水</w:t>
            </w:r>
            <w:r>
              <w:rPr>
                <w:rFonts w:hint="eastAsia" w:cs="Times New Roman"/>
                <w:color w:val="000000"/>
                <w:kern w:val="2"/>
                <w:sz w:val="24"/>
                <w:szCs w:val="24"/>
                <w:highlight w:val="none"/>
                <w:lang w:val="en-US" w:eastAsia="zh-CN" w:bidi="ar-SA"/>
              </w:rPr>
              <w:t>、浓水</w:t>
            </w:r>
            <w:r>
              <w:rPr>
                <w:rFonts w:hint="eastAsia" w:ascii="Times New Roman" w:hAnsi="Times New Roman" w:eastAsia="宋体" w:cs="Times New Roman"/>
                <w:color w:val="000000"/>
                <w:kern w:val="2"/>
                <w:sz w:val="24"/>
                <w:szCs w:val="24"/>
                <w:highlight w:val="none"/>
                <w:lang w:val="en-US" w:eastAsia="zh-CN" w:bidi="ar-SA"/>
              </w:rPr>
              <w:t>和保洁废水。生活污水、普通门诊废水、口腔科废水、病房废水、检验废水经化粪池预处理后，与浓水、保洁废水一同进入医院自建污水处理站处理达标后，接管进入潘集区芦集镇再生水厂进一步处理</w:t>
            </w:r>
            <w:r>
              <w:rPr>
                <w:rFonts w:hint="eastAsia" w:cs="Times New Roman"/>
                <w:color w:val="000000"/>
                <w:kern w:val="2"/>
                <w:sz w:val="24"/>
                <w:szCs w:val="24"/>
                <w:highlight w:val="none"/>
                <w:lang w:val="en-US" w:eastAsia="zh-CN" w:bidi="ar-SA"/>
              </w:rPr>
              <w:t>。</w:t>
            </w:r>
            <w:r>
              <w:rPr>
                <w:rFonts w:hint="eastAsia"/>
                <w:color w:val="auto"/>
                <w:kern w:val="0"/>
                <w:sz w:val="24"/>
                <w:highlight w:val="none"/>
              </w:rPr>
              <w:t>产生的废气、噪声通过设置相应的处理措施，可实现达标排放，</w:t>
            </w:r>
            <w:r>
              <w:rPr>
                <w:rFonts w:hint="eastAsia"/>
                <w:color w:val="auto"/>
                <w:kern w:val="0"/>
                <w:sz w:val="24"/>
                <w:highlight w:val="none"/>
                <w:lang w:eastAsia="zh-CN"/>
              </w:rPr>
              <w:t>固废能得到合理地处置，</w:t>
            </w:r>
            <w:r>
              <w:rPr>
                <w:rFonts w:hint="eastAsia"/>
                <w:color w:val="auto"/>
                <w:kern w:val="0"/>
                <w:sz w:val="24"/>
                <w:highlight w:val="none"/>
              </w:rPr>
              <w:t>对周围环境影响较小。且不会降低评价区域原有</w:t>
            </w:r>
            <w:r>
              <w:rPr>
                <w:rFonts w:hint="eastAsia"/>
                <w:color w:val="auto"/>
                <w:kern w:val="0"/>
                <w:sz w:val="24"/>
                <w:highlight w:val="none"/>
                <w:lang w:eastAsia="zh-CN"/>
              </w:rPr>
              <w:t>环境</w:t>
            </w:r>
            <w:r>
              <w:rPr>
                <w:rFonts w:hint="eastAsia"/>
                <w:color w:val="auto"/>
                <w:kern w:val="0"/>
                <w:sz w:val="24"/>
                <w:highlight w:val="none"/>
              </w:rPr>
              <w:t>功能级别，</w:t>
            </w:r>
            <w:r>
              <w:rPr>
                <w:rFonts w:hint="eastAsia"/>
                <w:color w:val="auto"/>
                <w:kern w:val="0"/>
                <w:sz w:val="24"/>
                <w:highlight w:val="none"/>
                <w:lang w:eastAsia="zh-CN"/>
              </w:rPr>
              <w:t>项目</w:t>
            </w:r>
            <w:r>
              <w:rPr>
                <w:rFonts w:hint="eastAsia"/>
                <w:color w:val="auto"/>
                <w:kern w:val="0"/>
                <w:sz w:val="24"/>
                <w:highlight w:val="none"/>
              </w:rPr>
              <w:t>对区域环境影响是可接受的。</w:t>
            </w:r>
          </w:p>
          <w:p w14:paraId="5EA1E4FE">
            <w:pPr>
              <w:autoSpaceDE w:val="0"/>
              <w:autoSpaceDN w:val="0"/>
              <w:adjustRightInd w:val="0"/>
              <w:snapToGrid w:val="0"/>
              <w:spacing w:line="360" w:lineRule="auto"/>
              <w:ind w:firstLine="480" w:firstLineChars="200"/>
              <w:jc w:val="left"/>
              <w:rPr>
                <w:color w:val="auto"/>
                <w:highlight w:val="none"/>
              </w:rPr>
            </w:pPr>
            <w:r>
              <w:rPr>
                <w:rFonts w:hint="eastAsia"/>
                <w:color w:val="auto"/>
                <w:kern w:val="0"/>
                <w:sz w:val="24"/>
                <w:highlight w:val="none"/>
              </w:rPr>
              <w:t>综上，本项目选址合理。</w:t>
            </w:r>
          </w:p>
          <w:p w14:paraId="76FD59C4">
            <w:pPr>
              <w:spacing w:line="360" w:lineRule="auto"/>
              <w:ind w:firstLine="482" w:firstLineChars="200"/>
              <w:jc w:val="left"/>
              <w:outlineLvl w:val="0"/>
              <w:rPr>
                <w:rFonts w:hint="eastAsia"/>
                <w:b/>
                <w:bCs/>
                <w:color w:val="auto"/>
                <w:sz w:val="24"/>
              </w:rPr>
            </w:pPr>
            <w:r>
              <w:rPr>
                <w:rFonts w:hint="eastAsia"/>
                <w:b/>
                <w:bCs/>
                <w:color w:val="auto"/>
                <w:sz w:val="24"/>
                <w:highlight w:val="none"/>
                <w:lang w:eastAsia="zh-CN"/>
              </w:rPr>
              <w:t>3.</w:t>
            </w:r>
            <w:r>
              <w:rPr>
                <w:b/>
                <w:bCs/>
                <w:color w:val="auto"/>
                <w:sz w:val="24"/>
              </w:rPr>
              <w:t>项目</w:t>
            </w:r>
            <w:r>
              <w:rPr>
                <w:rFonts w:hint="eastAsia"/>
                <w:b/>
                <w:bCs/>
                <w:color w:val="auto"/>
                <w:sz w:val="24"/>
              </w:rPr>
              <w:t>与淮南市生态环境分区管控要求</w:t>
            </w:r>
            <w:r>
              <w:rPr>
                <w:b/>
                <w:bCs/>
                <w:color w:val="auto"/>
                <w:sz w:val="24"/>
              </w:rPr>
              <w:t>符合性分析</w:t>
            </w:r>
          </w:p>
          <w:p w14:paraId="6845E018">
            <w:pPr>
              <w:widowControl/>
              <w:spacing w:line="360" w:lineRule="auto"/>
              <w:ind w:firstLine="480" w:firstLineChars="200"/>
              <w:jc w:val="left"/>
              <w:rPr>
                <w:rFonts w:hint="eastAsia"/>
                <w:b/>
                <w:color w:val="auto"/>
                <w:sz w:val="24"/>
                <w:highlight w:val="none"/>
              </w:rPr>
            </w:pPr>
            <w:r>
              <w:rPr>
                <w:rFonts w:hint="eastAsia" w:ascii="宋体" w:hAnsi="宋体" w:eastAsia="宋体" w:cs="宋体"/>
                <w:color w:val="000000"/>
                <w:kern w:val="0"/>
                <w:sz w:val="24"/>
                <w:szCs w:val="24"/>
                <w:lang w:val="en-US" w:eastAsia="zh-CN" w:bidi="ar"/>
              </w:rPr>
              <w:t>根据原环境保护部</w:t>
            </w:r>
            <w:r>
              <w:rPr>
                <w:rFonts w:hint="default" w:ascii="Times New Roman" w:hAnsi="Times New Roman" w:eastAsia="宋体" w:cs="Times New Roman"/>
                <w:color w:val="000000"/>
                <w:kern w:val="0"/>
                <w:sz w:val="24"/>
                <w:szCs w:val="24"/>
                <w:lang w:val="en-US" w:eastAsia="zh-CN" w:bidi="ar"/>
              </w:rPr>
              <w:t>《关于以改善环境质量为核心加强环境影响评价管理的通知》（环环评</w:t>
            </w:r>
            <w:r>
              <w:rPr>
                <w:rFonts w:hint="default" w:ascii="Times New Roman" w:hAnsi="Times New Roman" w:cs="Times New Roman"/>
                <w:color w:val="000000"/>
                <w:kern w:val="0"/>
                <w:sz w:val="24"/>
                <w:szCs w:val="24"/>
                <w:lang w:val="en-US" w:eastAsia="zh-CN" w:bidi="ar"/>
              </w:rPr>
              <w:t>〔2016〕150号</w:t>
            </w:r>
            <w:r>
              <w:rPr>
                <w:rFonts w:hint="default" w:ascii="Times New Roman" w:hAnsi="Times New Roman" w:eastAsia="宋体" w:cs="Times New Roman"/>
                <w:color w:val="000000"/>
                <w:kern w:val="0"/>
                <w:sz w:val="24"/>
                <w:szCs w:val="24"/>
                <w:lang w:val="en-US" w:eastAsia="zh-CN" w:bidi="ar"/>
              </w:rPr>
              <w:t>）、《安徽省人民政府关于加快实施“三线一单”生态环境分区管控的通知》</w:t>
            </w:r>
            <w:r>
              <w:rPr>
                <w:rFonts w:hint="eastAsia" w:ascii="Times New Roman" w:hAnsi="Times New Roman" w:cs="Times New Roman"/>
                <w:color w:val="000000"/>
                <w:kern w:val="0"/>
                <w:sz w:val="24"/>
                <w:szCs w:val="24"/>
                <w:lang w:val="en-US" w:eastAsia="zh-CN" w:bidi="ar"/>
              </w:rPr>
              <w:t>等</w:t>
            </w:r>
            <w:r>
              <w:rPr>
                <w:rFonts w:hint="default" w:ascii="Times New Roman" w:hAnsi="Times New Roman" w:eastAsia="宋体" w:cs="Times New Roman"/>
                <w:color w:val="000000"/>
                <w:kern w:val="0"/>
                <w:sz w:val="24"/>
                <w:szCs w:val="24"/>
                <w:lang w:val="en-US" w:eastAsia="zh-CN" w:bidi="ar"/>
              </w:rPr>
              <w:t>要求，建设项目选址选线、规模、性质和工艺路线等应</w:t>
            </w:r>
            <w:r>
              <w:rPr>
                <w:rFonts w:hint="eastAsia" w:ascii="宋体" w:hAnsi="宋体" w:eastAsia="宋体" w:cs="宋体"/>
                <w:color w:val="000000"/>
                <w:kern w:val="0"/>
                <w:sz w:val="24"/>
                <w:szCs w:val="24"/>
                <w:lang w:val="en-US" w:eastAsia="zh-CN" w:bidi="ar"/>
              </w:rPr>
              <w:t>与“生态保护红线、环境质量底线、资源利用上线和生态环境准入清单”（以下简称“三线一单”）进行对照，更好地发挥环评制度从源头防范环境污染和生态破坏的作用，加快推进改善环境质量。</w:t>
            </w:r>
          </w:p>
          <w:p w14:paraId="460EE2B8">
            <w:pPr>
              <w:spacing w:line="360" w:lineRule="auto"/>
              <w:ind w:firstLine="482" w:firstLineChars="200"/>
              <w:jc w:val="left"/>
              <w:rPr>
                <w:rFonts w:hint="eastAsia"/>
                <w:b/>
                <w:color w:val="auto"/>
                <w:sz w:val="24"/>
                <w:highlight w:val="none"/>
              </w:rPr>
            </w:pPr>
            <w:r>
              <w:rPr>
                <w:rFonts w:hint="eastAsia"/>
                <w:b/>
                <w:color w:val="auto"/>
                <w:sz w:val="24"/>
                <w:highlight w:val="none"/>
              </w:rPr>
              <w:t>（1）</w:t>
            </w:r>
            <w:r>
              <w:rPr>
                <w:rFonts w:hint="eastAsia"/>
                <w:b/>
                <w:color w:val="auto"/>
                <w:sz w:val="24"/>
                <w:highlight w:val="none"/>
                <w:lang w:eastAsia="zh-CN"/>
              </w:rPr>
              <w:t>生态保护红线</w:t>
            </w:r>
          </w:p>
          <w:p w14:paraId="3E68A595">
            <w:pPr>
              <w:spacing w:line="360" w:lineRule="auto"/>
              <w:ind w:firstLine="480" w:firstLineChars="200"/>
              <w:jc w:val="left"/>
              <w:rPr>
                <w:rFonts w:hint="eastAsia"/>
                <w:bCs/>
                <w:sz w:val="24"/>
              </w:rPr>
            </w:pPr>
            <w:r>
              <w:rPr>
                <w:rFonts w:hint="eastAsia" w:ascii="宋体" w:hAnsi="宋体" w:eastAsia="宋体" w:cs="宋体"/>
                <w:color w:val="000000"/>
                <w:kern w:val="0"/>
                <w:sz w:val="24"/>
                <w:szCs w:val="24"/>
                <w:lang w:val="en-US" w:eastAsia="zh-CN" w:bidi="ar"/>
              </w:rPr>
              <w:t>项目位于</w:t>
            </w:r>
            <w:r>
              <w:rPr>
                <w:rFonts w:hint="eastAsia"/>
                <w:sz w:val="24"/>
                <w:lang w:eastAsia="zh-CN"/>
              </w:rPr>
              <w:t>淮南市潘集区芦集镇</w:t>
            </w:r>
            <w:r>
              <w:rPr>
                <w:rFonts w:hint="eastAsia" w:ascii="宋体" w:hAnsi="宋体" w:eastAsia="宋体" w:cs="宋体"/>
                <w:color w:val="000000"/>
                <w:kern w:val="0"/>
                <w:sz w:val="24"/>
                <w:szCs w:val="24"/>
                <w:lang w:val="en-US" w:eastAsia="zh-CN" w:bidi="ar"/>
              </w:rPr>
              <w:t>，</w:t>
            </w:r>
            <w:r>
              <w:rPr>
                <w:rFonts w:hint="eastAsia"/>
                <w:bCs/>
                <w:sz w:val="24"/>
              </w:rPr>
              <w:t>评价范围内不涉及自然保护区、风景名胜区、世界文化和自然遗产地、</w:t>
            </w:r>
            <w:r>
              <w:rPr>
                <w:rFonts w:hint="eastAsia"/>
                <w:bCs/>
                <w:sz w:val="24"/>
                <w:lang w:eastAsia="zh-CN"/>
              </w:rPr>
              <w:t>饮用水水源保护区</w:t>
            </w:r>
            <w:r>
              <w:rPr>
                <w:rFonts w:hint="eastAsia"/>
                <w:bCs/>
                <w:sz w:val="24"/>
              </w:rPr>
              <w:t>等生态保护目标。对照</w:t>
            </w:r>
            <w:r>
              <w:rPr>
                <w:rFonts w:hint="eastAsia"/>
                <w:bCs/>
                <w:sz w:val="24"/>
                <w:lang w:eastAsia="zh-CN"/>
              </w:rPr>
              <w:t>淮南市</w:t>
            </w:r>
            <w:r>
              <w:rPr>
                <w:rFonts w:hint="eastAsia"/>
                <w:bCs/>
                <w:sz w:val="24"/>
              </w:rPr>
              <w:t>生态保护红</w:t>
            </w:r>
            <w:r>
              <w:rPr>
                <w:rFonts w:hint="eastAsia"/>
                <w:bCs/>
                <w:sz w:val="24"/>
                <w:highlight w:val="none"/>
              </w:rPr>
              <w:t>线图（附图</w:t>
            </w:r>
            <w:r>
              <w:rPr>
                <w:rFonts w:hint="eastAsia"/>
                <w:bCs/>
                <w:sz w:val="24"/>
                <w:highlight w:val="none"/>
                <w:lang w:val="en-US" w:eastAsia="zh-CN"/>
              </w:rPr>
              <w:t>6</w:t>
            </w:r>
            <w:r>
              <w:rPr>
                <w:rFonts w:hint="eastAsia"/>
                <w:bCs/>
                <w:sz w:val="24"/>
                <w:highlight w:val="none"/>
              </w:rPr>
              <w:t>），本</w:t>
            </w:r>
            <w:r>
              <w:rPr>
                <w:rFonts w:hint="eastAsia"/>
                <w:bCs/>
                <w:sz w:val="24"/>
              </w:rPr>
              <w:t>项目不位于</w:t>
            </w:r>
            <w:r>
              <w:rPr>
                <w:rFonts w:hint="eastAsia"/>
                <w:bCs/>
                <w:sz w:val="24"/>
                <w:lang w:eastAsia="zh-CN"/>
              </w:rPr>
              <w:t>生态保护红线</w:t>
            </w:r>
            <w:r>
              <w:rPr>
                <w:rFonts w:hint="eastAsia"/>
                <w:bCs/>
                <w:sz w:val="24"/>
              </w:rPr>
              <w:t>范围内，符合</w:t>
            </w:r>
            <w:r>
              <w:rPr>
                <w:rFonts w:hint="eastAsia"/>
                <w:bCs/>
                <w:sz w:val="24"/>
                <w:lang w:eastAsia="zh-CN"/>
              </w:rPr>
              <w:t>生态保护红线</w:t>
            </w:r>
            <w:r>
              <w:rPr>
                <w:rFonts w:hint="eastAsia"/>
                <w:bCs/>
                <w:sz w:val="24"/>
              </w:rPr>
              <w:t>要求。</w:t>
            </w:r>
          </w:p>
          <w:p w14:paraId="529DE8FC">
            <w:pPr>
              <w:spacing w:line="360" w:lineRule="auto"/>
              <w:ind w:firstLine="482" w:firstLineChars="200"/>
              <w:rPr>
                <w:b/>
                <w:bCs/>
                <w:color w:val="auto"/>
                <w:sz w:val="24"/>
              </w:rPr>
            </w:pPr>
            <w:r>
              <w:rPr>
                <w:b/>
                <w:bCs/>
                <w:color w:val="auto"/>
                <w:sz w:val="24"/>
              </w:rPr>
              <w:t>（2）环境质量底线</w:t>
            </w:r>
          </w:p>
          <w:p w14:paraId="7907C3E9">
            <w:pPr>
              <w:spacing w:line="360" w:lineRule="auto"/>
              <w:ind w:firstLine="480" w:firstLineChars="200"/>
              <w:rPr>
                <w:color w:val="auto"/>
                <w:sz w:val="24"/>
              </w:rPr>
            </w:pPr>
            <w:r>
              <w:rPr>
                <w:color w:val="auto"/>
                <w:sz w:val="24"/>
              </w:rPr>
              <w:t>①环境空气：根据淮南市生态环境局发布的《202</w:t>
            </w:r>
            <w:r>
              <w:rPr>
                <w:rFonts w:hint="eastAsia"/>
                <w:color w:val="auto"/>
                <w:sz w:val="24"/>
              </w:rPr>
              <w:t>5</w:t>
            </w:r>
            <w:r>
              <w:rPr>
                <w:color w:val="auto"/>
                <w:sz w:val="24"/>
              </w:rPr>
              <w:t>年淮南市环境质量状况公报》，区域 PM</w:t>
            </w:r>
            <w:r>
              <w:rPr>
                <w:color w:val="auto"/>
                <w:sz w:val="24"/>
                <w:vertAlign w:val="subscript"/>
              </w:rPr>
              <w:t>2.5</w:t>
            </w:r>
            <w:r>
              <w:rPr>
                <w:rFonts w:hint="eastAsia"/>
                <w:color w:val="auto"/>
                <w:sz w:val="24"/>
              </w:rPr>
              <w:t>、</w:t>
            </w:r>
            <w:r>
              <w:rPr>
                <w:color w:val="auto"/>
                <w:sz w:val="24"/>
              </w:rPr>
              <w:t>PM</w:t>
            </w:r>
            <w:r>
              <w:rPr>
                <w:color w:val="auto"/>
                <w:sz w:val="24"/>
                <w:vertAlign w:val="subscript"/>
              </w:rPr>
              <w:t>10</w:t>
            </w:r>
            <w:r>
              <w:rPr>
                <w:color w:val="auto"/>
                <w:sz w:val="24"/>
              </w:rPr>
              <w:t>超过《环境空气质量标准》（GB3095-2026）表 1 中过渡阶段二级浓度限值要求，区域大气环境质量不达标，按照《淮南市大气污染防治补短板攻坚行动实施方案》确定的各项工作任务，积极主动落实，项目区域大气环境质量将得到改善；本项目运营后，污染物均可达标排放。</w:t>
            </w:r>
          </w:p>
          <w:p w14:paraId="72C8FCEC">
            <w:pPr>
              <w:autoSpaceDE w:val="0"/>
              <w:autoSpaceDN w:val="0"/>
              <w:spacing w:line="360" w:lineRule="auto"/>
              <w:ind w:firstLine="480" w:firstLineChars="200"/>
              <w:rPr>
                <w:rFonts w:hint="eastAsia"/>
                <w:color w:val="auto"/>
                <w:sz w:val="24"/>
              </w:rPr>
            </w:pPr>
            <w:r>
              <w:rPr>
                <w:rFonts w:ascii="Times New Roman" w:hAnsi="Times New Roman" w:cs="Times New Roman"/>
                <w:color w:val="auto"/>
                <w:sz w:val="24"/>
              </w:rPr>
              <w:t>②地表水：</w:t>
            </w:r>
            <w:r>
              <w:rPr>
                <w:rFonts w:ascii="Times New Roman" w:hAnsi="Times New Roman" w:cs="Times New Roman"/>
                <w:color w:val="auto"/>
                <w:sz w:val="24"/>
                <w:highlight w:val="none"/>
              </w:rPr>
              <w:t>项目区域地表水水体为</w:t>
            </w:r>
            <w:r>
              <w:rPr>
                <w:rFonts w:hint="eastAsia" w:cs="Times New Roman"/>
                <w:color w:val="auto"/>
                <w:sz w:val="24"/>
                <w:highlight w:val="none"/>
                <w:lang w:val="en-US" w:eastAsia="zh-CN"/>
              </w:rPr>
              <w:t>泥河</w:t>
            </w:r>
            <w:r>
              <w:rPr>
                <w:rFonts w:ascii="Times New Roman" w:hAnsi="Times New Roman" w:cs="Times New Roman"/>
                <w:color w:val="auto"/>
                <w:sz w:val="24"/>
                <w:highlight w:val="none"/>
              </w:rPr>
              <w:t>，</w:t>
            </w:r>
            <w:r>
              <w:rPr>
                <w:color w:val="auto"/>
                <w:kern w:val="0"/>
                <w:sz w:val="24"/>
                <w:lang w:bidi="ar"/>
              </w:rPr>
              <w:t>根据淮南市人民政府发布的《2025 年淮南市环境质量状况公报》</w:t>
            </w:r>
            <w:r>
              <w:rPr>
                <w:rFonts w:hint="eastAsia"/>
                <w:color w:val="auto"/>
                <w:kern w:val="0"/>
                <w:sz w:val="24"/>
                <w:lang w:bidi="ar"/>
              </w:rPr>
              <w:t>：</w:t>
            </w:r>
            <w:r>
              <w:rPr>
                <w:rFonts w:hint="eastAsia"/>
                <w:color w:val="auto"/>
                <w:sz w:val="24"/>
              </w:rPr>
              <w:t>2025年，全市地表水24个监测断面中优良水质比例为95.8%，Ⅳ类水质比例4.2%，总体水质状况优，比上年上升了4.1个百分点。</w:t>
            </w:r>
          </w:p>
          <w:p w14:paraId="63D08153">
            <w:pPr>
              <w:autoSpaceDE w:val="0"/>
              <w:autoSpaceDN w:val="0"/>
              <w:spacing w:line="360" w:lineRule="auto"/>
              <w:ind w:firstLine="480" w:firstLineChars="200"/>
              <w:rPr>
                <w:rFonts w:hint="eastAsia"/>
                <w:color w:val="auto"/>
                <w:sz w:val="24"/>
              </w:rPr>
            </w:pPr>
            <w:r>
              <w:rPr>
                <w:rFonts w:hint="eastAsia"/>
                <w:color w:val="auto"/>
                <w:sz w:val="24"/>
              </w:rPr>
              <w:t>考核我市的8个国控断面中优良水质比例为87.5%，Ⅳ类水质比例12.5%，总体水质状况良好；考核我市的11个省控断面中优良水质比例为100%，总体水质状况优。</w:t>
            </w:r>
          </w:p>
          <w:p w14:paraId="339B4655">
            <w:pPr>
              <w:autoSpaceDE w:val="0"/>
              <w:autoSpaceDN w:val="0"/>
              <w:spacing w:line="360" w:lineRule="auto"/>
              <w:ind w:firstLine="480" w:firstLineChars="200"/>
              <w:rPr>
                <w:rFonts w:hint="eastAsia"/>
                <w:color w:val="auto"/>
                <w:sz w:val="24"/>
              </w:rPr>
            </w:pPr>
            <w:r>
              <w:rPr>
                <w:rFonts w:hint="eastAsia"/>
                <w:color w:val="auto"/>
                <w:sz w:val="24"/>
              </w:rPr>
              <w:t>河流：淮河干流水</w:t>
            </w:r>
            <w:r>
              <w:rPr>
                <w:rFonts w:hint="default" w:ascii="Times New Roman" w:hAnsi="Times New Roman" w:cs="Times New Roman"/>
                <w:color w:val="auto"/>
                <w:sz w:val="24"/>
              </w:rPr>
              <w:t>质状况为优，</w:t>
            </w:r>
            <w:r>
              <w:rPr>
                <w:rFonts w:hint="default" w:ascii="Times New Roman" w:hAnsi="Times New Roman" w:cs="Times New Roman"/>
                <w:b w:val="0"/>
                <w:bCs w:val="0"/>
                <w:color w:val="auto"/>
                <w:sz w:val="24"/>
              </w:rPr>
              <w:t>东淝河、</w:t>
            </w:r>
            <w:r>
              <w:rPr>
                <w:rFonts w:hint="default" w:ascii="Times New Roman" w:hAnsi="Times New Roman" w:cs="Times New Roman"/>
                <w:color w:val="auto"/>
                <w:sz w:val="24"/>
              </w:rPr>
              <w:t>西淝河、永幸河、陡涧河水质状况为优，架河</w:t>
            </w:r>
            <w:r>
              <w:rPr>
                <w:rFonts w:hint="default" w:ascii="Times New Roman" w:hAnsi="Times New Roman" w:cs="Times New Roman"/>
                <w:b/>
                <w:bCs/>
                <w:color w:val="auto"/>
                <w:sz w:val="24"/>
              </w:rPr>
              <w:t>、泥河</w:t>
            </w:r>
            <w:r>
              <w:rPr>
                <w:rFonts w:hint="default" w:ascii="Times New Roman" w:hAnsi="Times New Roman" w:cs="Times New Roman"/>
                <w:color w:val="auto"/>
                <w:sz w:val="24"/>
              </w:rPr>
              <w:t>、万小河、瓦西干渠、丁家沟和便民沟水质状况为良好。20个监测断面中优良水质比例为100%，与去年持平。袁庄水厂、东部城区水源地、西淝河闸下、窑口大桥和白洋淀渡口断面水质均有所好转（Ⅲ类→Ⅱ类），其</w:t>
            </w:r>
            <w:r>
              <w:rPr>
                <w:rFonts w:hint="eastAsia"/>
                <w:color w:val="auto"/>
                <w:sz w:val="24"/>
              </w:rPr>
              <w:t>他断面水质保持稳定。</w:t>
            </w:r>
          </w:p>
          <w:p w14:paraId="0CC83C0F">
            <w:pPr>
              <w:widowControl/>
              <w:spacing w:line="360" w:lineRule="auto"/>
              <w:ind w:firstLine="480" w:firstLineChars="200"/>
              <w:jc w:val="left"/>
              <w:rPr>
                <w:rFonts w:hint="default" w:ascii="Times New Roman" w:hAnsi="Times New Roman" w:eastAsia="宋体" w:cs="Times New Roman"/>
                <w:color w:val="auto"/>
                <w:sz w:val="24"/>
                <w:highlight w:val="none"/>
              </w:rPr>
            </w:pPr>
            <w:r>
              <w:rPr>
                <w:color w:val="auto"/>
                <w:sz w:val="24"/>
              </w:rPr>
              <w:t>③声环境：</w:t>
            </w:r>
            <w:r>
              <w:rPr>
                <w:rFonts w:hint="eastAsia"/>
                <w:color w:val="auto"/>
                <w:sz w:val="24"/>
                <w:lang w:eastAsia="zh-CN"/>
              </w:rPr>
              <w:t>根据检测报告，</w:t>
            </w:r>
            <w:r>
              <w:rPr>
                <w:rFonts w:hint="default" w:ascii="Times New Roman" w:hAnsi="Times New Roman" w:eastAsia="宋体" w:cs="Times New Roman"/>
                <w:color w:val="auto"/>
                <w:kern w:val="0"/>
                <w:sz w:val="24"/>
                <w:highlight w:val="none"/>
                <w:lang w:bidi="ar"/>
              </w:rPr>
              <w:t>各声环境功能区均满足《声环境质量标准》（GB3096-2008）中</w:t>
            </w:r>
            <w:r>
              <w:rPr>
                <w:rFonts w:hint="eastAsia" w:cs="Times New Roman"/>
                <w:color w:val="auto"/>
                <w:kern w:val="0"/>
                <w:sz w:val="24"/>
                <w:highlight w:val="none"/>
                <w:lang w:val="en-US" w:eastAsia="zh-CN" w:bidi="ar"/>
              </w:rPr>
              <w:t>1</w:t>
            </w:r>
            <w:r>
              <w:rPr>
                <w:rFonts w:hint="default" w:ascii="Times New Roman" w:hAnsi="Times New Roman" w:eastAsia="宋体" w:cs="Times New Roman"/>
                <w:color w:val="auto"/>
                <w:kern w:val="0"/>
                <w:sz w:val="24"/>
                <w:highlight w:val="none"/>
                <w:lang w:bidi="ar"/>
              </w:rPr>
              <w:t>类标准，声环境质量现状较好。</w:t>
            </w:r>
          </w:p>
          <w:p w14:paraId="5709A1D5">
            <w:pPr>
              <w:spacing w:line="360" w:lineRule="auto"/>
              <w:ind w:firstLine="482" w:firstLineChars="200"/>
              <w:rPr>
                <w:b/>
                <w:bCs/>
                <w:color w:val="auto"/>
                <w:sz w:val="24"/>
              </w:rPr>
            </w:pPr>
            <w:r>
              <w:rPr>
                <w:b/>
                <w:bCs/>
                <w:color w:val="auto"/>
                <w:sz w:val="24"/>
              </w:rPr>
              <w:t>（3）资源利用上线</w:t>
            </w:r>
          </w:p>
          <w:p w14:paraId="322BD35A">
            <w:pPr>
              <w:pStyle w:val="20"/>
              <w:ind w:firstLine="480"/>
              <w:rPr>
                <w:rFonts w:ascii="Times New Roman" w:hAnsi="Times New Roman"/>
                <w:kern w:val="0"/>
              </w:rPr>
            </w:pPr>
            <w:r>
              <w:rPr>
                <w:rFonts w:ascii="Times New Roman" w:hAnsi="Times New Roman"/>
                <w:kern w:val="0"/>
              </w:rPr>
              <w:t>项目营运过程中消耗一定量的电能、水等资源，但项目不属于高耗能企业，生产资源能源消耗较少。项目利用现有建筑进行建设，不额外占用土地资源，</w:t>
            </w:r>
            <w:r>
              <w:rPr>
                <w:rFonts w:ascii="Times New Roman" w:hAnsi="Times New Roman"/>
              </w:rPr>
              <w:t>项目通过内部管理、设备选择、原辅材料的选用和管理、废物回收利用、污染治理等多方面措施，有效地控制污染，符合资源利用上线要求。</w:t>
            </w:r>
          </w:p>
          <w:p w14:paraId="6712CD92">
            <w:pPr>
              <w:spacing w:line="360" w:lineRule="auto"/>
              <w:ind w:firstLine="482" w:firstLineChars="200"/>
              <w:rPr>
                <w:b/>
                <w:bCs/>
                <w:color w:val="auto"/>
                <w:sz w:val="24"/>
                <w:highlight w:val="none"/>
              </w:rPr>
            </w:pPr>
            <w:r>
              <w:rPr>
                <w:b/>
                <w:bCs/>
                <w:color w:val="auto"/>
                <w:sz w:val="24"/>
                <w:highlight w:val="none"/>
              </w:rPr>
              <w:t>（4）环境准入清单</w:t>
            </w:r>
          </w:p>
          <w:p w14:paraId="79B59C0D">
            <w:pPr>
              <w:widowControl/>
              <w:spacing w:line="360" w:lineRule="auto"/>
              <w:ind w:firstLine="480" w:firstLineChars="200"/>
              <w:rPr>
                <w:rFonts w:hint="eastAsia" w:ascii="宋体" w:hAnsi="宋体" w:cs="宋体"/>
                <w:color w:val="auto"/>
                <w:kern w:val="0"/>
                <w:sz w:val="24"/>
                <w:lang w:bidi="ar"/>
              </w:rPr>
            </w:pPr>
            <w:r>
              <w:rPr>
                <w:rFonts w:hint="eastAsia" w:ascii="宋体" w:hAnsi="宋体" w:cs="宋体"/>
                <w:color w:val="auto"/>
                <w:kern w:val="0"/>
                <w:sz w:val="24"/>
                <w:lang w:bidi="ar"/>
              </w:rPr>
              <w:t>对照安徽省生态环境厅发布的安徽省“三线一单”公众服务平台（</w:t>
            </w:r>
            <w:r>
              <w:rPr>
                <w:color w:val="auto"/>
                <w:kern w:val="0"/>
                <w:sz w:val="24"/>
                <w:lang w:bidi="ar"/>
              </w:rPr>
              <w:t>http://39.145.8.156:1</w:t>
            </w:r>
            <w:r>
              <w:rPr>
                <w:rFonts w:hint="default" w:ascii="Times New Roman" w:hAnsi="Times New Roman" w:cs="Times New Roman"/>
                <w:color w:val="auto"/>
                <w:kern w:val="0"/>
                <w:sz w:val="24"/>
                <w:lang w:bidi="ar"/>
              </w:rPr>
              <w:t>509/ah/public/#/home），经与“三线一单”成果数据分析，本项目与1个环境管控单元存在交叠，其中优先保护类0个，重点管控类1个（环境管控单元编码</w:t>
            </w:r>
            <w:r>
              <w:rPr>
                <w:rFonts w:hint="default" w:ascii="Times New Roman" w:hAnsi="Times New Roman" w:eastAsia="宋体" w:cs="Times New Roman"/>
                <w:color w:val="auto"/>
                <w:kern w:val="0"/>
                <w:sz w:val="24"/>
                <w:szCs w:val="24"/>
                <w:highlight w:val="none"/>
                <w:lang w:val="en-US" w:eastAsia="zh-CN" w:bidi="ar"/>
              </w:rPr>
              <w:t>ZH3404</w:t>
            </w:r>
            <w:r>
              <w:rPr>
                <w:rFonts w:hint="default" w:ascii="Times New Roman" w:hAnsi="Times New Roman" w:cs="Times New Roman"/>
                <w:color w:val="auto"/>
                <w:kern w:val="0"/>
                <w:sz w:val="24"/>
                <w:szCs w:val="24"/>
                <w:highlight w:val="none"/>
                <w:lang w:val="en-US" w:eastAsia="zh-CN" w:bidi="ar"/>
              </w:rPr>
              <w:t>0620018</w:t>
            </w:r>
            <w:r>
              <w:rPr>
                <w:rFonts w:hint="default" w:ascii="Times New Roman" w:hAnsi="Times New Roman" w:cs="Times New Roman"/>
                <w:color w:val="auto"/>
                <w:kern w:val="0"/>
                <w:sz w:val="24"/>
                <w:lang w:bidi="ar"/>
              </w:rPr>
              <w:t>），一般管控类0个，属于重点管控单元</w:t>
            </w:r>
            <w:r>
              <w:rPr>
                <w:rFonts w:hint="default" w:ascii="Times New Roman" w:hAnsi="Times New Roman" w:cs="Times New Roman"/>
                <w:color w:val="auto"/>
                <w:kern w:val="0"/>
                <w:sz w:val="24"/>
                <w:lang w:val="en-US" w:eastAsia="zh-CN" w:bidi="ar"/>
              </w:rPr>
              <w:t>16</w:t>
            </w:r>
            <w:r>
              <w:rPr>
                <w:rFonts w:hint="eastAsia" w:ascii="宋体" w:hAnsi="宋体" w:cs="宋体"/>
                <w:color w:val="auto"/>
                <w:kern w:val="0"/>
                <w:sz w:val="24"/>
                <w:lang w:bidi="ar"/>
              </w:rPr>
              <w:t>。因此，符合生态环境准入管理要求。</w:t>
            </w:r>
          </w:p>
          <w:p w14:paraId="5E807F97">
            <w:pPr>
              <w:keepNext w:val="0"/>
              <w:keepLines w:val="0"/>
              <w:widowControl/>
              <w:suppressLineNumbers w:val="0"/>
              <w:spacing w:line="360" w:lineRule="auto"/>
              <w:ind w:firstLine="2160" w:firstLineChars="900"/>
              <w:jc w:val="left"/>
              <w:rPr>
                <w:rFonts w:hint="eastAsia" w:ascii="Times New Roman"/>
                <w:b/>
                <w:bCs/>
                <w:color w:val="auto"/>
                <w:sz w:val="21"/>
                <w:szCs w:val="21"/>
              </w:rPr>
            </w:pPr>
            <w:r>
              <w:rPr>
                <w:color w:val="auto"/>
                <w:sz w:val="24"/>
              </w:rPr>
              <mc:AlternateContent>
                <mc:Choice Requires="wps">
                  <w:drawing>
                    <wp:anchor distT="0" distB="0" distL="114300" distR="114300" simplePos="0" relativeHeight="251663360" behindDoc="0" locked="0" layoutInCell="1" allowOverlap="1">
                      <wp:simplePos x="0" y="0"/>
                      <wp:positionH relativeFrom="column">
                        <wp:posOffset>1537335</wp:posOffset>
                      </wp:positionH>
                      <wp:positionV relativeFrom="paragraph">
                        <wp:posOffset>377825</wp:posOffset>
                      </wp:positionV>
                      <wp:extent cx="989330" cy="311785"/>
                      <wp:effectExtent l="698500" t="4445" r="7620" b="579120"/>
                      <wp:wrapNone/>
                      <wp:docPr id="3" name="圆角矩形标注 3"/>
                      <wp:cNvGraphicFramePr/>
                      <a:graphic xmlns:a="http://schemas.openxmlformats.org/drawingml/2006/main">
                        <a:graphicData uri="http://schemas.microsoft.com/office/word/2010/wordprocessingShape">
                          <wps:wsp>
                            <wps:cNvSpPr/>
                            <wps:spPr>
                              <a:xfrm>
                                <a:off x="0" y="0"/>
                                <a:ext cx="989330" cy="311785"/>
                              </a:xfrm>
                              <a:prstGeom prst="wedgeRoundRectCallout">
                                <a:avLst>
                                  <a:gd name="adj1" fmla="val -117137"/>
                                  <a:gd name="adj2" fmla="val 224949"/>
                                  <a:gd name="adj3" fmla="val 16667"/>
                                </a:avLst>
                              </a:prstGeom>
                              <a:solidFill>
                                <a:srgbClr val="FFFFFF"/>
                              </a:solidFill>
                              <a:ln w="9525" cap="flat" cmpd="sng">
                                <a:solidFill>
                                  <a:srgbClr val="000000"/>
                                </a:solidFill>
                                <a:prstDash val="solid"/>
                                <a:miter/>
                                <a:headEnd type="none" w="med" len="med"/>
                                <a:tailEnd type="none" w="med" len="med"/>
                              </a:ln>
                            </wps:spPr>
                            <wps:txbx>
                              <w:txbxContent>
                                <w:p w14:paraId="3E37BEC3">
                                  <w:pPr>
                                    <w:rPr>
                                      <w:rFonts w:hint="eastAsia"/>
                                    </w:rPr>
                                  </w:pPr>
                                  <w:r>
                                    <w:rPr>
                                      <w:rFonts w:hint="eastAsia"/>
                                    </w:rPr>
                                    <w:t>本项目位置</w:t>
                                  </w:r>
                                </w:p>
                              </w:txbxContent>
                            </wps:txbx>
                            <wps:bodyPr upright="1"/>
                          </wps:wsp>
                        </a:graphicData>
                      </a:graphic>
                    </wp:anchor>
                  </w:drawing>
                </mc:Choice>
                <mc:Fallback>
                  <w:pict>
                    <v:shape id="_x0000_s1026" o:spid="_x0000_s1026" o:spt="62" type="#_x0000_t62" style="position:absolute;left:0pt;margin-left:121.05pt;margin-top:29.75pt;height:24.55pt;width:77.9pt;z-index:251663360;mso-width-relative:page;mso-height-relative:page;" fillcolor="#FFFFFF" filled="t" stroked="t" coordsize="21600,21600" o:gfxdata="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" adj="-14502,59389,14400">
                      <v:fill on="t" focussize="0,0"/>
                      <v:stroke color="#000000" joinstyle="miter"/>
                      <v:imagedata o:title=""/>
                      <o:lock v:ext="edit" aspectratio="f"/>
                      <v:textbox>
                        <w:txbxContent>
                          <w:p w14:paraId="3E37BEC3">
                            <w:pPr>
                              <w:rPr>
                                <w:rFonts w:hint="eastAsia"/>
                              </w:rPr>
                            </w:pPr>
                            <w:r>
                              <w:rPr>
                                <w:rFonts w:hint="eastAsia"/>
                              </w:rPr>
                              <w:t>本项目位置</w:t>
                            </w:r>
                          </w:p>
                        </w:txbxContent>
                      </v:textbox>
                    </v:shape>
                  </w:pict>
                </mc:Fallback>
              </mc:AlternateContent>
            </w:r>
            <w:r>
              <w:drawing>
                <wp:anchor distT="0" distB="0" distL="114300" distR="114300" simplePos="0" relativeHeight="251662336" behindDoc="0" locked="0" layoutInCell="1" allowOverlap="1">
                  <wp:simplePos x="0" y="0"/>
                  <wp:positionH relativeFrom="column">
                    <wp:posOffset>-59055</wp:posOffset>
                  </wp:positionH>
                  <wp:positionV relativeFrom="paragraph">
                    <wp:posOffset>66040</wp:posOffset>
                  </wp:positionV>
                  <wp:extent cx="4316730" cy="2094865"/>
                  <wp:effectExtent l="0" t="0" r="7620" b="635"/>
                  <wp:wrapTopAndBottom/>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9"/>
                          <a:stretch>
                            <a:fillRect/>
                          </a:stretch>
                        </pic:blipFill>
                        <pic:spPr>
                          <a:xfrm>
                            <a:off x="0" y="0"/>
                            <a:ext cx="4316730" cy="2094865"/>
                          </a:xfrm>
                          <a:prstGeom prst="rect">
                            <a:avLst/>
                          </a:prstGeom>
                          <a:noFill/>
                          <a:ln>
                            <a:noFill/>
                          </a:ln>
                        </pic:spPr>
                      </pic:pic>
                    </a:graphicData>
                  </a:graphic>
                </wp:anchor>
              </w:drawing>
            </w:r>
            <w:r>
              <w:rPr>
                <w:b/>
                <w:bCs/>
                <w:color w:val="auto"/>
                <w:sz w:val="21"/>
                <w:szCs w:val="21"/>
              </w:rPr>
              <w:t>图1-</w:t>
            </w:r>
            <w:r>
              <w:rPr>
                <w:rFonts w:hint="eastAsia"/>
                <w:b/>
                <w:bCs/>
                <w:color w:val="auto"/>
                <w:sz w:val="21"/>
                <w:szCs w:val="21"/>
              </w:rPr>
              <w:t>1</w:t>
            </w:r>
            <w:r>
              <w:rPr>
                <w:b/>
                <w:bCs/>
                <w:color w:val="auto"/>
                <w:sz w:val="21"/>
                <w:szCs w:val="21"/>
              </w:rPr>
              <w:t xml:space="preserve">  环境管控单元</w:t>
            </w:r>
          </w:p>
          <w:p w14:paraId="0E0048D2">
            <w:pPr>
              <w:pStyle w:val="19"/>
              <w:ind w:firstLine="0"/>
              <w:jc w:val="center"/>
              <w:rPr>
                <w:rFonts w:hint="eastAsia" w:ascii="Times New Roman"/>
                <w:b/>
                <w:bCs/>
                <w:color w:val="auto"/>
                <w:sz w:val="21"/>
                <w:szCs w:val="21"/>
              </w:rPr>
            </w:pPr>
            <w:r>
              <w:rPr>
                <w:rFonts w:hint="eastAsia" w:ascii="Times New Roman"/>
                <w:b/>
                <w:bCs/>
                <w:color w:val="auto"/>
                <w:sz w:val="21"/>
                <w:szCs w:val="21"/>
              </w:rPr>
              <w:t>表1-</w:t>
            </w:r>
            <w:r>
              <w:rPr>
                <w:rFonts w:hint="eastAsia" w:ascii="Times New Roman"/>
                <w:b/>
                <w:bCs/>
                <w:color w:val="auto"/>
                <w:sz w:val="21"/>
                <w:szCs w:val="21"/>
                <w:lang w:val="en-US" w:eastAsia="zh-CN"/>
              </w:rPr>
              <w:t>1</w:t>
            </w:r>
            <w:r>
              <w:rPr>
                <w:rFonts w:hint="eastAsia" w:ascii="Times New Roman"/>
                <w:b/>
                <w:bCs/>
                <w:color w:val="auto"/>
                <w:sz w:val="21"/>
                <w:szCs w:val="21"/>
              </w:rPr>
              <w:t xml:space="preserve"> 与</w:t>
            </w:r>
            <w:r>
              <w:rPr>
                <w:rFonts w:hint="eastAsia" w:ascii="Times New Roman"/>
                <w:b/>
                <w:bCs/>
                <w:color w:val="auto"/>
                <w:sz w:val="21"/>
                <w:szCs w:val="21"/>
                <w:lang w:eastAsia="zh-CN"/>
              </w:rPr>
              <w:t>生态环境分区管控单元符合性分析</w:t>
            </w:r>
          </w:p>
          <w:tbl>
            <w:tblPr>
              <w:tblStyle w:val="14"/>
              <w:tblW w:w="494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3"/>
              <w:gridCol w:w="705"/>
              <w:gridCol w:w="690"/>
              <w:gridCol w:w="2915"/>
              <w:gridCol w:w="1722"/>
            </w:tblGrid>
            <w:tr w14:paraId="08C284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15" w:type="pct"/>
                  <w:noWrap w:val="0"/>
                  <w:vAlign w:val="center"/>
                </w:tcPr>
                <w:p w14:paraId="0C376B69">
                  <w:pPr>
                    <w:adjustRightInd w:val="0"/>
                    <w:snapToGrid w:val="0"/>
                    <w:jc w:val="center"/>
                    <w:rPr>
                      <w:rFonts w:hint="default" w:ascii="Times New Roman" w:hAnsi="Times New Roman" w:eastAsia="宋体" w:cs="Times New Roman"/>
                      <w:b/>
                      <w:color w:val="auto"/>
                      <w:szCs w:val="21"/>
                      <w:lang w:eastAsia="zh-CN"/>
                    </w:rPr>
                  </w:pPr>
                  <w:r>
                    <w:rPr>
                      <w:rFonts w:hint="default" w:ascii="Times New Roman" w:hAnsi="Times New Roman" w:cs="Times New Roman"/>
                      <w:b/>
                      <w:color w:val="auto"/>
                      <w:szCs w:val="21"/>
                      <w:lang w:eastAsia="zh-CN"/>
                    </w:rPr>
                    <w:t>环境管控单元编码</w:t>
                  </w:r>
                </w:p>
              </w:tc>
              <w:tc>
                <w:tcPr>
                  <w:tcW w:w="524" w:type="pct"/>
                  <w:noWrap w:val="0"/>
                  <w:vAlign w:val="center"/>
                </w:tcPr>
                <w:p w14:paraId="3A101C91">
                  <w:pPr>
                    <w:adjustRightInd w:val="0"/>
                    <w:snapToGrid w:val="0"/>
                    <w:jc w:val="center"/>
                    <w:rPr>
                      <w:rFonts w:hint="default" w:ascii="Times New Roman" w:hAnsi="Times New Roman" w:eastAsia="宋体" w:cs="Times New Roman"/>
                      <w:b/>
                      <w:color w:val="auto"/>
                      <w:szCs w:val="21"/>
                      <w:lang w:eastAsia="zh-CN"/>
                    </w:rPr>
                  </w:pPr>
                  <w:r>
                    <w:rPr>
                      <w:rFonts w:hint="default" w:ascii="Times New Roman" w:hAnsi="Times New Roman" w:cs="Times New Roman"/>
                      <w:b/>
                      <w:color w:val="auto"/>
                      <w:szCs w:val="21"/>
                      <w:lang w:eastAsia="zh-CN"/>
                    </w:rPr>
                    <w:t>环境管控单元分类</w:t>
                  </w:r>
                </w:p>
              </w:tc>
              <w:tc>
                <w:tcPr>
                  <w:tcW w:w="513" w:type="pct"/>
                  <w:noWrap w:val="0"/>
                  <w:vAlign w:val="center"/>
                </w:tcPr>
                <w:p w14:paraId="285E43FD">
                  <w:pPr>
                    <w:adjustRightInd w:val="0"/>
                    <w:snapToGrid w:val="0"/>
                    <w:jc w:val="center"/>
                    <w:rPr>
                      <w:rFonts w:hint="default" w:ascii="Times New Roman" w:hAnsi="Times New Roman" w:eastAsia="宋体" w:cs="Times New Roman"/>
                      <w:b/>
                      <w:color w:val="auto"/>
                      <w:szCs w:val="21"/>
                      <w:lang w:eastAsia="zh-CN"/>
                    </w:rPr>
                  </w:pPr>
                  <w:r>
                    <w:rPr>
                      <w:rFonts w:hint="default" w:ascii="Times New Roman" w:hAnsi="Times New Roman" w:cs="Times New Roman"/>
                      <w:b/>
                      <w:color w:val="auto"/>
                      <w:szCs w:val="21"/>
                      <w:lang w:eastAsia="zh-CN"/>
                    </w:rPr>
                    <w:t>管控类别</w:t>
                  </w:r>
                </w:p>
              </w:tc>
              <w:tc>
                <w:tcPr>
                  <w:tcW w:w="2167" w:type="pct"/>
                  <w:noWrap w:val="0"/>
                  <w:vAlign w:val="center"/>
                </w:tcPr>
                <w:p w14:paraId="1C41B9BB">
                  <w:pPr>
                    <w:adjustRightInd w:val="0"/>
                    <w:snapToGrid w:val="0"/>
                    <w:jc w:val="center"/>
                    <w:rPr>
                      <w:rFonts w:hint="default" w:ascii="Times New Roman" w:hAnsi="Times New Roman" w:eastAsia="宋体" w:cs="Times New Roman"/>
                      <w:b/>
                      <w:color w:val="auto"/>
                      <w:szCs w:val="21"/>
                      <w:lang w:eastAsia="zh-CN"/>
                    </w:rPr>
                  </w:pPr>
                  <w:r>
                    <w:rPr>
                      <w:rFonts w:hint="default" w:ascii="Times New Roman" w:hAnsi="Times New Roman" w:cs="Times New Roman"/>
                      <w:b/>
                      <w:color w:val="auto"/>
                      <w:szCs w:val="21"/>
                      <w:lang w:eastAsia="zh-CN"/>
                    </w:rPr>
                    <w:t>管控要求</w:t>
                  </w:r>
                </w:p>
              </w:tc>
              <w:tc>
                <w:tcPr>
                  <w:tcW w:w="1280" w:type="pct"/>
                  <w:noWrap w:val="0"/>
                  <w:vAlign w:val="center"/>
                </w:tcPr>
                <w:p w14:paraId="3C4D35A7">
                  <w:pPr>
                    <w:adjustRightInd w:val="0"/>
                    <w:snapToGrid w:val="0"/>
                    <w:jc w:val="center"/>
                    <w:rPr>
                      <w:rFonts w:hint="default" w:ascii="Times New Roman" w:hAnsi="Times New Roman" w:eastAsia="宋体" w:cs="Times New Roman"/>
                      <w:b/>
                      <w:color w:val="auto"/>
                      <w:szCs w:val="21"/>
                      <w:lang w:eastAsia="zh-CN"/>
                    </w:rPr>
                  </w:pPr>
                  <w:r>
                    <w:rPr>
                      <w:rFonts w:hint="default" w:ascii="Times New Roman" w:hAnsi="Times New Roman" w:cs="Times New Roman"/>
                      <w:b/>
                      <w:color w:val="auto"/>
                      <w:szCs w:val="21"/>
                      <w:lang w:eastAsia="zh-CN"/>
                    </w:rPr>
                    <w:t>本项目情况</w:t>
                  </w:r>
                </w:p>
              </w:tc>
            </w:tr>
            <w:tr w14:paraId="53A325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15" w:type="pct"/>
                  <w:vMerge w:val="restart"/>
                  <w:noWrap w:val="0"/>
                  <w:vAlign w:val="center"/>
                </w:tcPr>
                <w:p w14:paraId="2080FBBF">
                  <w:pPr>
                    <w:adjustRightInd w:val="0"/>
                    <w:snapToGrid w:val="0"/>
                    <w:spacing w:line="240" w:lineRule="auto"/>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kern w:val="0"/>
                      <w:sz w:val="21"/>
                      <w:szCs w:val="21"/>
                      <w:highlight w:val="none"/>
                      <w:lang w:val="en-US" w:eastAsia="zh-CN" w:bidi="ar"/>
                    </w:rPr>
                    <w:t>ZH3404</w:t>
                  </w:r>
                  <w:r>
                    <w:rPr>
                      <w:rFonts w:hint="default" w:ascii="Times New Roman" w:hAnsi="Times New Roman" w:cs="Times New Roman"/>
                      <w:color w:val="auto"/>
                      <w:kern w:val="0"/>
                      <w:sz w:val="21"/>
                      <w:szCs w:val="21"/>
                      <w:highlight w:val="none"/>
                      <w:lang w:val="en-US" w:eastAsia="zh-CN" w:bidi="ar"/>
                    </w:rPr>
                    <w:t>0620018</w:t>
                  </w:r>
                </w:p>
              </w:tc>
              <w:tc>
                <w:tcPr>
                  <w:tcW w:w="524" w:type="pct"/>
                  <w:vMerge w:val="restart"/>
                  <w:noWrap w:val="0"/>
                  <w:vAlign w:val="center"/>
                </w:tcPr>
                <w:p w14:paraId="4B601A29">
                  <w:pPr>
                    <w:adjustRightInd w:val="0"/>
                    <w:snapToGrid w:val="0"/>
                    <w:spacing w:line="240" w:lineRule="auto"/>
                    <w:jc w:val="center"/>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lang w:eastAsia="zh-CN"/>
                    </w:rPr>
                    <w:t>重点管控单元</w:t>
                  </w:r>
                  <w:r>
                    <w:rPr>
                      <w:rFonts w:hint="default" w:ascii="Times New Roman" w:hAnsi="Times New Roman" w:cs="Times New Roman"/>
                      <w:color w:val="auto"/>
                      <w:sz w:val="21"/>
                      <w:szCs w:val="21"/>
                      <w:lang w:val="en-US" w:eastAsia="zh-CN"/>
                    </w:rPr>
                    <w:t>16</w:t>
                  </w:r>
                </w:p>
              </w:tc>
              <w:tc>
                <w:tcPr>
                  <w:tcW w:w="513" w:type="pct"/>
                  <w:vMerge w:val="restart"/>
                  <w:noWrap w:val="0"/>
                  <w:vAlign w:val="center"/>
                </w:tcPr>
                <w:p w14:paraId="42D50030">
                  <w:pPr>
                    <w:adjustRightInd w:val="0"/>
                    <w:snapToGrid w:val="0"/>
                    <w:spacing w:line="240" w:lineRule="auto"/>
                    <w:jc w:val="center"/>
                    <w:rPr>
                      <w:rFonts w:hint="default" w:ascii="Times New Roman" w:hAnsi="Times New Roman" w:eastAsia="宋体" w:cs="Times New Roman"/>
                      <w:color w:val="auto"/>
                      <w:szCs w:val="21"/>
                      <w:lang w:eastAsia="zh-CN"/>
                    </w:rPr>
                  </w:pPr>
                  <w:r>
                    <w:rPr>
                      <w:rFonts w:hint="default" w:ascii="Times New Roman" w:hAnsi="Times New Roman" w:cs="Times New Roman"/>
                      <w:color w:val="auto"/>
                      <w:szCs w:val="21"/>
                      <w:lang w:eastAsia="zh-CN"/>
                    </w:rPr>
                    <w:t>空间布局约束</w:t>
                  </w:r>
                </w:p>
              </w:tc>
              <w:tc>
                <w:tcPr>
                  <w:tcW w:w="2167" w:type="pct"/>
                  <w:noWrap w:val="0"/>
                  <w:vAlign w:val="center"/>
                </w:tcPr>
                <w:p w14:paraId="4798AEC5">
                  <w:pPr>
                    <w:widowControl/>
                    <w:adjustRightInd/>
                    <w:snapToGrid/>
                    <w:spacing w:line="240" w:lineRule="auto"/>
                    <w:jc w:val="left"/>
                    <w:rPr>
                      <w:rFonts w:hint="default" w:ascii="Times New Roman" w:hAnsi="Times New Roman" w:cs="Times New Roman"/>
                      <w:color w:val="auto"/>
                      <w:szCs w:val="21"/>
                    </w:rPr>
                  </w:pPr>
                  <w:r>
                    <w:rPr>
                      <w:rFonts w:hint="default" w:ascii="Times New Roman" w:hAnsi="Times New Roman" w:eastAsia="Segoe UI" w:cs="Times New Roman"/>
                      <w:i w:val="0"/>
                      <w:iCs w:val="0"/>
                      <w:caps w:val="0"/>
                      <w:color w:val="0F1115"/>
                      <w:spacing w:val="0"/>
                      <w:sz w:val="22"/>
                      <w:szCs w:val="22"/>
                      <w:shd w:val="clear" w:fill="FFFFFF"/>
                    </w:rPr>
                    <w:t>13 在城市规划区内禁止新建、扩建大气污染严重的建设项目。</w:t>
                  </w:r>
                </w:p>
              </w:tc>
              <w:tc>
                <w:tcPr>
                  <w:tcW w:w="1280" w:type="pct"/>
                  <w:noWrap w:val="0"/>
                  <w:vAlign w:val="center"/>
                </w:tcPr>
                <w:p w14:paraId="549EBD55">
                  <w:pPr>
                    <w:adjustRightInd w:val="0"/>
                    <w:snapToGrid w:val="0"/>
                    <w:spacing w:line="240" w:lineRule="auto"/>
                    <w:jc w:val="center"/>
                    <w:rPr>
                      <w:rFonts w:hint="default" w:ascii="Times New Roman" w:hAnsi="Times New Roman" w:eastAsia="宋体" w:cs="Times New Roman"/>
                      <w:color w:val="auto"/>
                      <w:szCs w:val="21"/>
                      <w:lang w:val="en-US" w:eastAsia="zh-CN"/>
                    </w:rPr>
                  </w:pPr>
                  <w:r>
                    <w:rPr>
                      <w:rFonts w:hint="default" w:ascii="Times New Roman" w:hAnsi="Times New Roman" w:eastAsia="Segoe UI" w:cs="Times New Roman"/>
                      <w:i w:val="0"/>
                      <w:iCs w:val="0"/>
                      <w:caps w:val="0"/>
                      <w:color w:val="0F1115"/>
                      <w:spacing w:val="0"/>
                      <w:sz w:val="22"/>
                      <w:szCs w:val="22"/>
                      <w:shd w:val="clear" w:fill="FFFFFF"/>
                    </w:rPr>
                    <w:t>本项目为综合医院，不属于大气污染严重的建设项目。</w:t>
                  </w:r>
                </w:p>
              </w:tc>
            </w:tr>
            <w:tr w14:paraId="102665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15" w:type="pct"/>
                  <w:vMerge w:val="continue"/>
                  <w:noWrap w:val="0"/>
                  <w:vAlign w:val="center"/>
                </w:tcPr>
                <w:p w14:paraId="248C092C">
                  <w:pPr>
                    <w:adjustRightInd w:val="0"/>
                    <w:snapToGrid w:val="0"/>
                    <w:spacing w:line="240" w:lineRule="auto"/>
                    <w:jc w:val="center"/>
                    <w:rPr>
                      <w:rFonts w:hint="default" w:ascii="Times New Roman" w:hAnsi="Times New Roman" w:eastAsia="宋体" w:cs="Times New Roman"/>
                      <w:color w:val="auto"/>
                      <w:kern w:val="0"/>
                      <w:sz w:val="24"/>
                      <w:szCs w:val="24"/>
                      <w:highlight w:val="none"/>
                      <w:lang w:val="en-US" w:eastAsia="zh-CN" w:bidi="ar"/>
                    </w:rPr>
                  </w:pPr>
                </w:p>
              </w:tc>
              <w:tc>
                <w:tcPr>
                  <w:tcW w:w="524" w:type="pct"/>
                  <w:vMerge w:val="continue"/>
                  <w:noWrap w:val="0"/>
                  <w:vAlign w:val="center"/>
                </w:tcPr>
                <w:p w14:paraId="508D83E8">
                  <w:pPr>
                    <w:adjustRightInd w:val="0"/>
                    <w:snapToGrid w:val="0"/>
                    <w:spacing w:line="240" w:lineRule="auto"/>
                    <w:jc w:val="center"/>
                    <w:rPr>
                      <w:rFonts w:hint="default" w:ascii="Times New Roman" w:hAnsi="Times New Roman" w:cs="Times New Roman"/>
                      <w:color w:val="auto"/>
                      <w:szCs w:val="21"/>
                      <w:lang w:eastAsia="zh-CN"/>
                    </w:rPr>
                  </w:pPr>
                </w:p>
              </w:tc>
              <w:tc>
                <w:tcPr>
                  <w:tcW w:w="513" w:type="pct"/>
                  <w:vMerge w:val="continue"/>
                  <w:noWrap w:val="0"/>
                  <w:vAlign w:val="center"/>
                </w:tcPr>
                <w:p w14:paraId="37A9AE96">
                  <w:pPr>
                    <w:adjustRightInd w:val="0"/>
                    <w:snapToGrid w:val="0"/>
                    <w:spacing w:line="240" w:lineRule="auto"/>
                    <w:jc w:val="center"/>
                    <w:rPr>
                      <w:rFonts w:hint="default" w:ascii="Times New Roman" w:hAnsi="Times New Roman" w:cs="Times New Roman"/>
                      <w:color w:val="auto"/>
                      <w:szCs w:val="21"/>
                      <w:lang w:eastAsia="zh-CN"/>
                    </w:rPr>
                  </w:pPr>
                </w:p>
              </w:tc>
              <w:tc>
                <w:tcPr>
                  <w:tcW w:w="2167" w:type="pct"/>
                  <w:noWrap w:val="0"/>
                  <w:vAlign w:val="center"/>
                </w:tcPr>
                <w:p w14:paraId="3BEDBACF">
                  <w:pPr>
                    <w:widowControl/>
                    <w:adjustRightInd/>
                    <w:snapToGrid/>
                    <w:spacing w:line="240" w:lineRule="auto"/>
                    <w:jc w:val="left"/>
                    <w:rPr>
                      <w:rFonts w:hint="default" w:ascii="Times New Roman" w:hAnsi="Times New Roman" w:cs="Times New Roman"/>
                      <w:color w:val="auto"/>
                      <w:szCs w:val="21"/>
                    </w:rPr>
                  </w:pPr>
                  <w:r>
                    <w:rPr>
                      <w:rFonts w:hint="default" w:ascii="Times New Roman" w:hAnsi="Times New Roman" w:eastAsia="Segoe UI" w:cs="Times New Roman"/>
                      <w:i w:val="0"/>
                      <w:iCs w:val="0"/>
                      <w:caps w:val="0"/>
                      <w:color w:val="0F1115"/>
                      <w:spacing w:val="0"/>
                      <w:sz w:val="22"/>
                      <w:szCs w:val="22"/>
                      <w:shd w:val="clear" w:fill="FFFFFF"/>
                    </w:rPr>
                    <w:t>18 禁止非法污泥堆放和处理不达标的污泥进入耕地。</w:t>
                  </w:r>
                </w:p>
              </w:tc>
              <w:tc>
                <w:tcPr>
                  <w:tcW w:w="1280" w:type="pct"/>
                  <w:noWrap w:val="0"/>
                  <w:vAlign w:val="center"/>
                </w:tcPr>
                <w:p w14:paraId="460C894F">
                  <w:pPr>
                    <w:adjustRightInd w:val="0"/>
                    <w:snapToGrid w:val="0"/>
                    <w:spacing w:line="240" w:lineRule="auto"/>
                    <w:jc w:val="center"/>
                    <w:rPr>
                      <w:rFonts w:hint="default" w:ascii="Times New Roman" w:hAnsi="Times New Roman" w:cs="Times New Roman"/>
                      <w:color w:val="auto"/>
                      <w:szCs w:val="21"/>
                    </w:rPr>
                  </w:pPr>
                  <w:r>
                    <w:rPr>
                      <w:rFonts w:hint="default" w:ascii="Times New Roman" w:hAnsi="Times New Roman" w:eastAsia="Segoe UI" w:cs="Times New Roman"/>
                      <w:i w:val="0"/>
                      <w:iCs w:val="0"/>
                      <w:caps w:val="0"/>
                      <w:color w:val="0F1115"/>
                      <w:spacing w:val="0"/>
                      <w:sz w:val="22"/>
                      <w:szCs w:val="22"/>
                      <w:shd w:val="clear" w:fill="FFFFFF"/>
                    </w:rPr>
                    <w:t>本项目污水处理站产生的污泥委托有资质单位安全处置，不进入耕地。</w:t>
                  </w:r>
                </w:p>
              </w:tc>
            </w:tr>
            <w:tr w14:paraId="731380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15" w:type="pct"/>
                  <w:vMerge w:val="continue"/>
                  <w:noWrap w:val="0"/>
                  <w:vAlign w:val="center"/>
                </w:tcPr>
                <w:p w14:paraId="04CA7F2C">
                  <w:pPr>
                    <w:adjustRightInd w:val="0"/>
                    <w:snapToGrid w:val="0"/>
                    <w:spacing w:line="240" w:lineRule="auto"/>
                    <w:jc w:val="center"/>
                    <w:rPr>
                      <w:rFonts w:hint="default" w:ascii="Times New Roman" w:hAnsi="Times New Roman" w:eastAsia="宋体" w:cs="Times New Roman"/>
                      <w:color w:val="auto"/>
                      <w:kern w:val="0"/>
                      <w:sz w:val="24"/>
                      <w:szCs w:val="24"/>
                      <w:highlight w:val="none"/>
                      <w:lang w:val="en-US" w:eastAsia="zh-CN" w:bidi="ar"/>
                    </w:rPr>
                  </w:pPr>
                </w:p>
              </w:tc>
              <w:tc>
                <w:tcPr>
                  <w:tcW w:w="524" w:type="pct"/>
                  <w:vMerge w:val="continue"/>
                  <w:noWrap w:val="0"/>
                  <w:vAlign w:val="center"/>
                </w:tcPr>
                <w:p w14:paraId="6BA249DD">
                  <w:pPr>
                    <w:adjustRightInd w:val="0"/>
                    <w:snapToGrid w:val="0"/>
                    <w:spacing w:line="240" w:lineRule="auto"/>
                    <w:jc w:val="center"/>
                    <w:rPr>
                      <w:rFonts w:hint="default" w:ascii="Times New Roman" w:hAnsi="Times New Roman" w:cs="Times New Roman"/>
                      <w:color w:val="auto"/>
                      <w:szCs w:val="21"/>
                      <w:lang w:eastAsia="zh-CN"/>
                    </w:rPr>
                  </w:pPr>
                </w:p>
              </w:tc>
              <w:tc>
                <w:tcPr>
                  <w:tcW w:w="513" w:type="pct"/>
                  <w:vMerge w:val="continue"/>
                  <w:noWrap w:val="0"/>
                  <w:vAlign w:val="center"/>
                </w:tcPr>
                <w:p w14:paraId="7742F93C">
                  <w:pPr>
                    <w:adjustRightInd w:val="0"/>
                    <w:snapToGrid w:val="0"/>
                    <w:spacing w:line="240" w:lineRule="auto"/>
                    <w:jc w:val="center"/>
                    <w:rPr>
                      <w:rFonts w:hint="default" w:ascii="Times New Roman" w:hAnsi="Times New Roman" w:cs="Times New Roman"/>
                      <w:color w:val="auto"/>
                      <w:szCs w:val="21"/>
                      <w:lang w:eastAsia="zh-CN"/>
                    </w:rPr>
                  </w:pPr>
                </w:p>
              </w:tc>
              <w:tc>
                <w:tcPr>
                  <w:tcW w:w="2167" w:type="pct"/>
                  <w:noWrap w:val="0"/>
                  <w:vAlign w:val="center"/>
                </w:tcPr>
                <w:p w14:paraId="71518C4E">
                  <w:pPr>
                    <w:widowControl/>
                    <w:adjustRightInd/>
                    <w:snapToGrid/>
                    <w:spacing w:line="240" w:lineRule="auto"/>
                    <w:jc w:val="left"/>
                    <w:rPr>
                      <w:rFonts w:hint="default" w:ascii="Times New Roman" w:hAnsi="Times New Roman" w:cs="Times New Roman"/>
                      <w:color w:val="auto"/>
                      <w:szCs w:val="21"/>
                    </w:rPr>
                  </w:pPr>
                  <w:r>
                    <w:rPr>
                      <w:rFonts w:hint="default" w:ascii="Times New Roman" w:hAnsi="Times New Roman" w:eastAsia="宋体" w:cs="Times New Roman"/>
                      <w:i w:val="0"/>
                      <w:iCs w:val="0"/>
                      <w:caps w:val="0"/>
                      <w:color w:val="0F1115"/>
                      <w:spacing w:val="0"/>
                      <w:sz w:val="22"/>
                      <w:szCs w:val="22"/>
                      <w:shd w:val="clear" w:fill="FFFFFF"/>
                      <w:lang w:val="en-US" w:eastAsia="zh-CN"/>
                    </w:rPr>
                    <w:t>2</w:t>
                  </w:r>
                  <w:r>
                    <w:rPr>
                      <w:rFonts w:hint="default" w:ascii="Times New Roman" w:hAnsi="Times New Roman" w:eastAsia="Segoe UI" w:cs="Times New Roman"/>
                      <w:i w:val="0"/>
                      <w:iCs w:val="0"/>
                      <w:caps w:val="0"/>
                      <w:color w:val="0F1115"/>
                      <w:spacing w:val="0"/>
                      <w:sz w:val="22"/>
                      <w:szCs w:val="22"/>
                      <w:shd w:val="clear" w:fill="FFFFFF"/>
                    </w:rPr>
                    <w:t>1 城市建成区排放污水的工业企业应依法持有排污许可证，并严格按证排污。排入城镇水体的工业污水应符合相关行业标准及地方标准要求，严禁任何企业、单位超标和超总量排污，对超标或超总量的排污单位一律限制生产或停产整顿。</w:t>
                  </w:r>
                </w:p>
              </w:tc>
              <w:tc>
                <w:tcPr>
                  <w:tcW w:w="1280" w:type="pct"/>
                  <w:noWrap w:val="0"/>
                  <w:vAlign w:val="center"/>
                </w:tcPr>
                <w:p w14:paraId="57075EA1">
                  <w:pPr>
                    <w:adjustRightInd w:val="0"/>
                    <w:snapToGrid w:val="0"/>
                    <w:spacing w:line="240" w:lineRule="auto"/>
                    <w:jc w:val="center"/>
                    <w:rPr>
                      <w:rFonts w:hint="default" w:ascii="Times New Roman" w:hAnsi="Times New Roman" w:eastAsia="Segoe UI" w:cs="Times New Roman"/>
                      <w:i w:val="0"/>
                      <w:iCs w:val="0"/>
                      <w:caps w:val="0"/>
                      <w:color w:val="0F1115"/>
                      <w:spacing w:val="0"/>
                      <w:sz w:val="22"/>
                      <w:szCs w:val="22"/>
                      <w:shd w:val="clear" w:fill="FFFFFF"/>
                    </w:rPr>
                  </w:pPr>
                  <w:r>
                    <w:rPr>
                      <w:rFonts w:hint="default" w:ascii="Times New Roman" w:hAnsi="Times New Roman" w:eastAsia="Segoe UI" w:cs="Times New Roman"/>
                      <w:i w:val="0"/>
                      <w:iCs w:val="0"/>
                      <w:caps w:val="0"/>
                      <w:color w:val="0F1115"/>
                      <w:spacing w:val="0"/>
                      <w:sz w:val="22"/>
                      <w:szCs w:val="22"/>
                      <w:shd w:val="clear" w:fill="FFFFFF"/>
                    </w:rPr>
                    <w:t>本项目为综合医院，废水经自建污水处理站处理达标后接管进入潘集区</w:t>
                  </w:r>
                </w:p>
                <w:p w14:paraId="14EB912C">
                  <w:pPr>
                    <w:adjustRightInd w:val="0"/>
                    <w:snapToGrid w:val="0"/>
                    <w:spacing w:line="240" w:lineRule="auto"/>
                    <w:jc w:val="center"/>
                    <w:rPr>
                      <w:rFonts w:hint="default" w:ascii="Times New Roman" w:hAnsi="Times New Roman" w:eastAsia="Segoe UI" w:cs="Times New Roman"/>
                      <w:i w:val="0"/>
                      <w:iCs w:val="0"/>
                      <w:caps w:val="0"/>
                      <w:color w:val="0F1115"/>
                      <w:spacing w:val="0"/>
                      <w:sz w:val="22"/>
                      <w:szCs w:val="22"/>
                      <w:shd w:val="clear" w:fill="FFFFFF"/>
                    </w:rPr>
                  </w:pPr>
                  <w:r>
                    <w:rPr>
                      <w:rFonts w:hint="default" w:ascii="Times New Roman" w:hAnsi="Times New Roman" w:eastAsia="Segoe UI" w:cs="Times New Roman"/>
                      <w:i w:val="0"/>
                      <w:iCs w:val="0"/>
                      <w:caps w:val="0"/>
                      <w:color w:val="0F1115"/>
                      <w:spacing w:val="0"/>
                      <w:sz w:val="22"/>
                      <w:szCs w:val="22"/>
                      <w:shd w:val="clear" w:fill="FFFFFF"/>
                    </w:rPr>
                    <w:t>芦集镇</w:t>
                  </w:r>
                </w:p>
                <w:p w14:paraId="016FEACC">
                  <w:pPr>
                    <w:adjustRightInd w:val="0"/>
                    <w:snapToGrid w:val="0"/>
                    <w:spacing w:line="240" w:lineRule="auto"/>
                    <w:jc w:val="center"/>
                    <w:rPr>
                      <w:rFonts w:hint="default" w:ascii="Times New Roman" w:hAnsi="Times New Roman" w:cs="Times New Roman"/>
                      <w:color w:val="auto"/>
                      <w:szCs w:val="21"/>
                    </w:rPr>
                  </w:pPr>
                  <w:r>
                    <w:rPr>
                      <w:rFonts w:hint="default" w:ascii="Times New Roman" w:hAnsi="Times New Roman" w:eastAsia="Segoe UI" w:cs="Times New Roman"/>
                      <w:i w:val="0"/>
                      <w:iCs w:val="0"/>
                      <w:caps w:val="0"/>
                      <w:color w:val="0F1115"/>
                      <w:spacing w:val="0"/>
                      <w:sz w:val="22"/>
                      <w:szCs w:val="22"/>
                      <w:shd w:val="clear" w:fill="FFFFFF"/>
                    </w:rPr>
                    <w:t>再生水厂，不超标超总量排污。</w:t>
                  </w:r>
                </w:p>
              </w:tc>
            </w:tr>
            <w:tr w14:paraId="5D544C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15" w:type="pct"/>
                  <w:vMerge w:val="continue"/>
                  <w:noWrap w:val="0"/>
                  <w:vAlign w:val="center"/>
                </w:tcPr>
                <w:p w14:paraId="18D7C0FC">
                  <w:pPr>
                    <w:adjustRightInd w:val="0"/>
                    <w:snapToGrid w:val="0"/>
                    <w:spacing w:line="240" w:lineRule="auto"/>
                    <w:jc w:val="center"/>
                    <w:rPr>
                      <w:rFonts w:hint="default" w:ascii="Times New Roman" w:hAnsi="Times New Roman" w:eastAsia="宋体" w:cs="Times New Roman"/>
                      <w:color w:val="auto"/>
                      <w:kern w:val="0"/>
                      <w:sz w:val="24"/>
                      <w:szCs w:val="24"/>
                      <w:highlight w:val="none"/>
                      <w:lang w:val="en-US" w:eastAsia="zh-CN" w:bidi="ar"/>
                    </w:rPr>
                  </w:pPr>
                </w:p>
              </w:tc>
              <w:tc>
                <w:tcPr>
                  <w:tcW w:w="524" w:type="pct"/>
                  <w:vMerge w:val="continue"/>
                  <w:noWrap w:val="0"/>
                  <w:vAlign w:val="center"/>
                </w:tcPr>
                <w:p w14:paraId="241BA384">
                  <w:pPr>
                    <w:adjustRightInd w:val="0"/>
                    <w:snapToGrid w:val="0"/>
                    <w:spacing w:line="240" w:lineRule="auto"/>
                    <w:jc w:val="center"/>
                    <w:rPr>
                      <w:rFonts w:hint="default" w:ascii="Times New Roman" w:hAnsi="Times New Roman" w:cs="Times New Roman"/>
                      <w:color w:val="auto"/>
                      <w:szCs w:val="21"/>
                      <w:lang w:eastAsia="zh-CN"/>
                    </w:rPr>
                  </w:pPr>
                </w:p>
              </w:tc>
              <w:tc>
                <w:tcPr>
                  <w:tcW w:w="513" w:type="pct"/>
                  <w:vMerge w:val="continue"/>
                  <w:noWrap w:val="0"/>
                  <w:vAlign w:val="center"/>
                </w:tcPr>
                <w:p w14:paraId="06834B85">
                  <w:pPr>
                    <w:adjustRightInd w:val="0"/>
                    <w:snapToGrid w:val="0"/>
                    <w:spacing w:line="240" w:lineRule="auto"/>
                    <w:jc w:val="center"/>
                    <w:rPr>
                      <w:rFonts w:hint="default" w:ascii="Times New Roman" w:hAnsi="Times New Roman" w:cs="Times New Roman"/>
                      <w:color w:val="auto"/>
                      <w:szCs w:val="21"/>
                      <w:lang w:eastAsia="zh-CN"/>
                    </w:rPr>
                  </w:pPr>
                </w:p>
              </w:tc>
              <w:tc>
                <w:tcPr>
                  <w:tcW w:w="2167" w:type="pct"/>
                  <w:noWrap w:val="0"/>
                  <w:vAlign w:val="center"/>
                </w:tcPr>
                <w:p w14:paraId="116765E5">
                  <w:pPr>
                    <w:widowControl/>
                    <w:adjustRightInd/>
                    <w:snapToGrid/>
                    <w:spacing w:line="240" w:lineRule="auto"/>
                    <w:jc w:val="left"/>
                    <w:rPr>
                      <w:rFonts w:hint="default" w:ascii="Times New Roman" w:hAnsi="Times New Roman" w:eastAsia="宋体" w:cs="Times New Roman"/>
                      <w:i w:val="0"/>
                      <w:iCs w:val="0"/>
                      <w:caps w:val="0"/>
                      <w:color w:val="0F1115"/>
                      <w:spacing w:val="0"/>
                      <w:sz w:val="22"/>
                      <w:szCs w:val="22"/>
                      <w:shd w:val="clear" w:fill="FFFFFF"/>
                      <w:lang w:val="en-US" w:eastAsia="zh-CN"/>
                    </w:rPr>
                  </w:pPr>
                  <w:r>
                    <w:rPr>
                      <w:rFonts w:hint="default" w:ascii="Times New Roman" w:hAnsi="Times New Roman" w:eastAsia="Segoe UI" w:cs="Times New Roman"/>
                      <w:i w:val="0"/>
                      <w:iCs w:val="0"/>
                      <w:caps w:val="0"/>
                      <w:color w:val="0F1115"/>
                      <w:spacing w:val="0"/>
                      <w:sz w:val="22"/>
                      <w:szCs w:val="22"/>
                      <w:shd w:val="clear" w:fill="FFFFFF"/>
                    </w:rPr>
                    <w:t>23 严肃执法监督，严格执行排污许可、排水许可制度，严禁生活污水和工业废水直排水体。严防道路冲洗污水、洗车冲洗污水、餐饮泔水、施工排水等污水进入雨水口。</w:t>
                  </w:r>
                </w:p>
              </w:tc>
              <w:tc>
                <w:tcPr>
                  <w:tcW w:w="1280" w:type="pct"/>
                  <w:noWrap w:val="0"/>
                  <w:vAlign w:val="center"/>
                </w:tcPr>
                <w:p w14:paraId="522B7F72">
                  <w:pPr>
                    <w:adjustRightInd w:val="0"/>
                    <w:snapToGrid w:val="0"/>
                    <w:spacing w:line="240" w:lineRule="auto"/>
                    <w:jc w:val="center"/>
                    <w:rPr>
                      <w:rFonts w:hint="default" w:ascii="Times New Roman" w:hAnsi="Times New Roman" w:cs="Times New Roman"/>
                      <w:color w:val="auto"/>
                      <w:szCs w:val="21"/>
                    </w:rPr>
                  </w:pPr>
                  <w:r>
                    <w:rPr>
                      <w:rFonts w:hint="default" w:ascii="Times New Roman" w:hAnsi="Times New Roman" w:cs="Times New Roman"/>
                      <w:szCs w:val="21"/>
                    </w:rPr>
                    <w:t>生活污水</w:t>
                  </w:r>
                  <w:r>
                    <w:rPr>
                      <w:rFonts w:hint="default" w:ascii="Times New Roman" w:hAnsi="Times New Roman" w:cs="Times New Roman"/>
                      <w:szCs w:val="21"/>
                      <w:lang w:eastAsia="zh-CN"/>
                    </w:rPr>
                    <w:t>、</w:t>
                  </w:r>
                  <w:r>
                    <w:rPr>
                      <w:rFonts w:hint="default" w:ascii="Times New Roman" w:hAnsi="Times New Roman" w:cs="Times New Roman"/>
                      <w:szCs w:val="21"/>
                      <w:lang w:val="en-US" w:eastAsia="zh-CN"/>
                    </w:rPr>
                    <w:t>普通</w:t>
                  </w:r>
                  <w:r>
                    <w:rPr>
                      <w:rFonts w:hint="default" w:ascii="Times New Roman" w:hAnsi="Times New Roman" w:cs="Times New Roman"/>
                      <w:szCs w:val="21"/>
                      <w:lang w:eastAsia="zh-CN"/>
                    </w:rPr>
                    <w:t>门诊废水、</w:t>
                  </w:r>
                  <w:r>
                    <w:rPr>
                      <w:rFonts w:hint="default" w:ascii="Times New Roman" w:hAnsi="Times New Roman" w:cs="Times New Roman"/>
                      <w:szCs w:val="21"/>
                      <w:lang w:val="en-US" w:eastAsia="zh-CN"/>
                    </w:rPr>
                    <w:t>口腔科废水、</w:t>
                  </w:r>
                  <w:r>
                    <w:rPr>
                      <w:rFonts w:hint="default" w:ascii="Times New Roman" w:hAnsi="Times New Roman" w:cs="Times New Roman"/>
                      <w:szCs w:val="21"/>
                      <w:lang w:eastAsia="zh-CN"/>
                    </w:rPr>
                    <w:t>病房废水、检验废水</w:t>
                  </w:r>
                  <w:r>
                    <w:rPr>
                      <w:rFonts w:hint="default" w:ascii="Times New Roman" w:hAnsi="Times New Roman" w:cs="Times New Roman"/>
                      <w:sz w:val="21"/>
                      <w:szCs w:val="21"/>
                      <w:lang w:eastAsia="zh-CN"/>
                    </w:rPr>
                    <w:t>经化粪池预处理后，与</w:t>
                  </w:r>
                  <w:r>
                    <w:rPr>
                      <w:rFonts w:hint="default" w:ascii="Times New Roman" w:hAnsi="Times New Roman" w:cs="Times New Roman"/>
                      <w:sz w:val="21"/>
                      <w:szCs w:val="21"/>
                      <w:lang w:val="en-US" w:eastAsia="zh-CN"/>
                    </w:rPr>
                    <w:t>浓水、</w:t>
                  </w:r>
                  <w:r>
                    <w:rPr>
                      <w:rFonts w:hint="default" w:ascii="Times New Roman" w:hAnsi="Times New Roman" w:cs="Times New Roman"/>
                      <w:sz w:val="21"/>
                      <w:szCs w:val="21"/>
                      <w:lang w:eastAsia="zh-CN"/>
                    </w:rPr>
                    <w:t>保洁废水一同进入医院自建污水处理站处理达标后，接管进入潘集区芦集镇再生水厂进一步处理。</w:t>
                  </w:r>
                </w:p>
              </w:tc>
            </w:tr>
            <w:tr w14:paraId="07FD43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jc w:val="center"/>
              </w:trPr>
              <w:tc>
                <w:tcPr>
                  <w:tcW w:w="515" w:type="pct"/>
                  <w:vMerge w:val="continue"/>
                  <w:noWrap w:val="0"/>
                  <w:vAlign w:val="center"/>
                </w:tcPr>
                <w:p w14:paraId="5522D7E6">
                  <w:pPr>
                    <w:adjustRightInd w:val="0"/>
                    <w:snapToGrid w:val="0"/>
                    <w:spacing w:line="240" w:lineRule="auto"/>
                    <w:jc w:val="center"/>
                    <w:rPr>
                      <w:rFonts w:hint="default" w:ascii="Times New Roman" w:hAnsi="Times New Roman" w:cs="Times New Roman"/>
                      <w:color w:val="auto"/>
                      <w:szCs w:val="21"/>
                    </w:rPr>
                  </w:pPr>
                </w:p>
              </w:tc>
              <w:tc>
                <w:tcPr>
                  <w:tcW w:w="524" w:type="pct"/>
                  <w:vMerge w:val="continue"/>
                  <w:noWrap w:val="0"/>
                  <w:vAlign w:val="center"/>
                </w:tcPr>
                <w:p w14:paraId="09750FBC">
                  <w:pPr>
                    <w:adjustRightInd w:val="0"/>
                    <w:snapToGrid w:val="0"/>
                    <w:spacing w:line="240" w:lineRule="auto"/>
                    <w:jc w:val="center"/>
                    <w:rPr>
                      <w:rFonts w:hint="default" w:ascii="Times New Roman" w:hAnsi="Times New Roman" w:cs="Times New Roman"/>
                      <w:color w:val="auto"/>
                      <w:szCs w:val="21"/>
                    </w:rPr>
                  </w:pPr>
                </w:p>
              </w:tc>
              <w:tc>
                <w:tcPr>
                  <w:tcW w:w="513" w:type="pct"/>
                  <w:noWrap w:val="0"/>
                  <w:vAlign w:val="center"/>
                </w:tcPr>
                <w:p w14:paraId="7A0752A3">
                  <w:pPr>
                    <w:adjustRightInd w:val="0"/>
                    <w:snapToGrid w:val="0"/>
                    <w:spacing w:line="240" w:lineRule="auto"/>
                    <w:jc w:val="center"/>
                    <w:rPr>
                      <w:rFonts w:hint="default" w:ascii="Times New Roman" w:hAnsi="Times New Roman" w:cs="Times New Roman"/>
                      <w:color w:val="auto"/>
                      <w:szCs w:val="21"/>
                    </w:rPr>
                  </w:pPr>
                  <w:r>
                    <w:rPr>
                      <w:rFonts w:hint="default" w:ascii="Times New Roman" w:hAnsi="Times New Roman" w:cs="Times New Roman"/>
                      <w:color w:val="auto"/>
                      <w:szCs w:val="21"/>
                      <w:lang w:eastAsia="zh-CN"/>
                    </w:rPr>
                    <w:t>污染物排放管控</w:t>
                  </w:r>
                </w:p>
              </w:tc>
              <w:tc>
                <w:tcPr>
                  <w:tcW w:w="2167" w:type="pct"/>
                  <w:noWrap w:val="0"/>
                  <w:vAlign w:val="center"/>
                </w:tcPr>
                <w:p w14:paraId="32841666">
                  <w:pPr>
                    <w:keepNext w:val="0"/>
                    <w:keepLines w:val="0"/>
                    <w:widowControl/>
                    <w:suppressLineNumbers w:val="0"/>
                    <w:jc w:val="left"/>
                    <w:rPr>
                      <w:rFonts w:hint="default" w:ascii="Times New Roman" w:hAnsi="Times New Roman" w:cs="Times New Roman"/>
                      <w:color w:val="auto"/>
                      <w:szCs w:val="21"/>
                    </w:rPr>
                  </w:pPr>
                  <w:r>
                    <w:rPr>
                      <w:rFonts w:hint="default" w:ascii="Times New Roman" w:hAnsi="Times New Roman" w:eastAsia="宋体" w:cs="Times New Roman"/>
                      <w:color w:val="auto"/>
                      <w:kern w:val="0"/>
                      <w:sz w:val="21"/>
                      <w:szCs w:val="21"/>
                      <w:lang w:val="en-US" w:eastAsia="zh-CN" w:bidi="ar"/>
                    </w:rPr>
                    <w:t>全面推动挥发性有机物纳入排污许可管理。禁止建设生产和使用高挥发性有机物含量涂料、油墨、胶粘剂、清洗剂等项目。加快推进石化、化工、涂装、医药、包装印刷和油品储运销等重点行业挥发性有机物深度治理，全面提升废气收集率、治理设施同步运行率和去除率，提高水性、高固体分、无溶剂、粉末、辐射固化等低挥发性有机物含量产品的比重。加大工业涂装、包装印刷等行业低挥发性有机物含量原辅材料替代力度，严格执行涂料、油墨、胶粘剂、清洗剂挥发性有机物含量限值标准，确保生产、销售、进口、使用符合标准的产品。到 2025年，溶剂型工业涂料、油墨使用比例分别降低 20 个、10 个百分点。溶剂型胶粘剂使用量降低 20%。55 实行重点排放源排放浓度与去除效率双重控制。车间或生产设施收集排放的废气，VOCs 初始排放速率大于等于2 千克/小时的，应加大控制力度，除确保排放浓度稳定达标外，还应实行去除效率控制，去除效率不低于 80%；采用的原辅材料符合国家有关低 VOCs 含量产品规定的除外，有行业排放标准的按其相关规定执行。</w:t>
                  </w:r>
                </w:p>
                <w:p w14:paraId="1C3B6824">
                  <w:pPr>
                    <w:adjustRightInd w:val="0"/>
                    <w:snapToGrid w:val="0"/>
                    <w:spacing w:line="240" w:lineRule="auto"/>
                    <w:jc w:val="center"/>
                    <w:rPr>
                      <w:rFonts w:hint="default" w:ascii="Times New Roman" w:hAnsi="Times New Roman" w:cs="Times New Roman"/>
                      <w:color w:val="auto"/>
                      <w:szCs w:val="21"/>
                    </w:rPr>
                  </w:pPr>
                </w:p>
              </w:tc>
              <w:tc>
                <w:tcPr>
                  <w:tcW w:w="1280" w:type="pct"/>
                  <w:noWrap w:val="0"/>
                  <w:vAlign w:val="center"/>
                </w:tcPr>
                <w:p w14:paraId="0A6514A8">
                  <w:pPr>
                    <w:adjustRightInd w:val="0"/>
                    <w:snapToGrid w:val="0"/>
                    <w:spacing w:line="240" w:lineRule="auto"/>
                    <w:jc w:val="center"/>
                    <w:rPr>
                      <w:rFonts w:hint="default" w:ascii="Times New Roman" w:hAnsi="Times New Roman" w:cs="Times New Roman"/>
                      <w:color w:val="auto"/>
                      <w:szCs w:val="21"/>
                    </w:rPr>
                  </w:pPr>
                  <w:r>
                    <w:rPr>
                      <w:rFonts w:hint="default" w:ascii="Times New Roman" w:hAnsi="Times New Roman" w:cs="Times New Roman"/>
                      <w:color w:val="auto"/>
                      <w:sz w:val="21"/>
                      <w:szCs w:val="21"/>
                      <w:lang w:eastAsia="zh-CN"/>
                    </w:rPr>
                    <w:t>污水处理站为整体地埋式设计，</w:t>
                  </w:r>
                  <w:r>
                    <w:rPr>
                      <w:rFonts w:hint="default" w:ascii="Times New Roman" w:hAnsi="Times New Roman" w:cs="Times New Roman"/>
                      <w:color w:val="auto"/>
                      <w:sz w:val="21"/>
                      <w:szCs w:val="21"/>
                    </w:rPr>
                    <w:t>加盖密闭，盖板上预留进、出气口</w:t>
                  </w:r>
                  <w:r>
                    <w:rPr>
                      <w:rFonts w:hint="default" w:ascii="Times New Roman" w:hAnsi="Times New Roman" w:cs="Times New Roman"/>
                      <w:color w:val="auto"/>
                      <w:sz w:val="21"/>
                      <w:szCs w:val="21"/>
                      <w:lang w:eastAsia="zh-CN"/>
                    </w:rPr>
                    <w:t>，废气</w:t>
                  </w:r>
                  <w:r>
                    <w:rPr>
                      <w:rFonts w:hint="default" w:ascii="Times New Roman" w:hAnsi="Times New Roman" w:cs="Times New Roman"/>
                      <w:color w:val="auto"/>
                      <w:sz w:val="21"/>
                      <w:szCs w:val="21"/>
                    </w:rPr>
                    <w:t>收集后通过</w:t>
                  </w:r>
                  <w:r>
                    <w:rPr>
                      <w:rFonts w:hint="default" w:ascii="Times New Roman" w:hAnsi="Times New Roman" w:cs="Times New Roman"/>
                      <w:color w:val="auto"/>
                      <w:sz w:val="21"/>
                      <w:szCs w:val="21"/>
                      <w:lang w:eastAsia="zh-CN"/>
                    </w:rPr>
                    <w:t>“二级</w:t>
                  </w:r>
                  <w:r>
                    <w:rPr>
                      <w:rFonts w:hint="default" w:ascii="Times New Roman" w:hAnsi="Times New Roman" w:cs="Times New Roman"/>
                      <w:color w:val="auto"/>
                      <w:sz w:val="21"/>
                      <w:szCs w:val="21"/>
                    </w:rPr>
                    <w:t>活性炭吸附</w:t>
                  </w:r>
                  <w:r>
                    <w:rPr>
                      <w:rFonts w:hint="default" w:ascii="Times New Roman" w:hAnsi="Times New Roman" w:cs="Times New Roman"/>
                      <w:color w:val="auto"/>
                      <w:sz w:val="21"/>
                      <w:szCs w:val="21"/>
                      <w:lang w:eastAsia="zh-CN"/>
                    </w:rPr>
                    <w:t>”</w:t>
                  </w:r>
                  <w:r>
                    <w:rPr>
                      <w:rFonts w:hint="default" w:ascii="Times New Roman" w:hAnsi="Times New Roman" w:cs="Times New Roman"/>
                      <w:color w:val="auto"/>
                      <w:sz w:val="21"/>
                      <w:szCs w:val="21"/>
                    </w:rPr>
                    <w:t>处理后</w:t>
                  </w:r>
                  <w:r>
                    <w:rPr>
                      <w:rFonts w:hint="default" w:ascii="Times New Roman" w:hAnsi="Times New Roman" w:cs="Times New Roman"/>
                      <w:color w:val="auto"/>
                      <w:sz w:val="21"/>
                      <w:szCs w:val="21"/>
                      <w:lang w:eastAsia="zh-CN"/>
                    </w:rPr>
                    <w:t>通过</w:t>
                  </w:r>
                  <w:r>
                    <w:rPr>
                      <w:rFonts w:hint="default" w:ascii="Times New Roman" w:hAnsi="Times New Roman" w:cs="Times New Roman"/>
                      <w:color w:val="auto"/>
                      <w:sz w:val="21"/>
                      <w:szCs w:val="21"/>
                      <w:lang w:val="en-US" w:eastAsia="zh-CN"/>
                    </w:rPr>
                    <w:t>1根15m高排气筒DA001排放</w:t>
                  </w:r>
                  <w:r>
                    <w:rPr>
                      <w:rFonts w:hint="default" w:ascii="Times New Roman" w:hAnsi="Times New Roman" w:cs="Times New Roman"/>
                      <w:color w:val="auto"/>
                      <w:sz w:val="21"/>
                      <w:szCs w:val="21"/>
                    </w:rPr>
                    <w:t>。</w:t>
                  </w:r>
                  <w:r>
                    <w:rPr>
                      <w:rFonts w:hint="default" w:ascii="Times New Roman" w:hAnsi="Times New Roman" w:cs="Times New Roman"/>
                      <w:color w:val="auto"/>
                      <w:szCs w:val="21"/>
                      <w:lang w:eastAsia="zh-CN"/>
                    </w:rPr>
                    <w:t>备用柴油发电机废气由专用排气管道引至楼顶并高于楼顶排放。</w:t>
                  </w:r>
                  <w:r>
                    <w:rPr>
                      <w:rFonts w:hint="default" w:ascii="Times New Roman" w:hAnsi="Times New Roman" w:cs="Times New Roman"/>
                      <w:color w:val="auto"/>
                      <w:szCs w:val="21"/>
                    </w:rPr>
                    <w:t>生活污水</w:t>
                  </w:r>
                  <w:r>
                    <w:rPr>
                      <w:rFonts w:hint="default" w:ascii="Times New Roman" w:hAnsi="Times New Roman" w:cs="Times New Roman"/>
                      <w:color w:val="auto"/>
                      <w:szCs w:val="21"/>
                      <w:lang w:eastAsia="zh-CN"/>
                    </w:rPr>
                    <w:t>、</w:t>
                  </w:r>
                  <w:r>
                    <w:rPr>
                      <w:rFonts w:hint="default" w:ascii="Times New Roman" w:hAnsi="Times New Roman" w:cs="Times New Roman"/>
                      <w:color w:val="auto"/>
                      <w:szCs w:val="21"/>
                      <w:lang w:val="en-US" w:eastAsia="zh-CN"/>
                    </w:rPr>
                    <w:t>普通</w:t>
                  </w:r>
                  <w:r>
                    <w:rPr>
                      <w:rFonts w:hint="default" w:ascii="Times New Roman" w:hAnsi="Times New Roman" w:cs="Times New Roman"/>
                      <w:color w:val="auto"/>
                      <w:szCs w:val="21"/>
                      <w:lang w:eastAsia="zh-CN"/>
                    </w:rPr>
                    <w:t>门诊废水、</w:t>
                  </w:r>
                  <w:r>
                    <w:rPr>
                      <w:rFonts w:hint="default" w:ascii="Times New Roman" w:hAnsi="Times New Roman" w:cs="Times New Roman"/>
                      <w:color w:val="auto"/>
                      <w:szCs w:val="21"/>
                      <w:lang w:val="en-US" w:eastAsia="zh-CN"/>
                    </w:rPr>
                    <w:t>口腔科废水、</w:t>
                  </w:r>
                  <w:r>
                    <w:rPr>
                      <w:rFonts w:hint="default" w:ascii="Times New Roman" w:hAnsi="Times New Roman" w:cs="Times New Roman"/>
                      <w:color w:val="auto"/>
                      <w:szCs w:val="21"/>
                      <w:lang w:eastAsia="zh-CN"/>
                    </w:rPr>
                    <w:t>病房废水、检验废水</w:t>
                  </w:r>
                  <w:r>
                    <w:rPr>
                      <w:rFonts w:hint="default" w:ascii="Times New Roman" w:hAnsi="Times New Roman" w:cs="Times New Roman"/>
                      <w:color w:val="auto"/>
                      <w:sz w:val="21"/>
                      <w:szCs w:val="21"/>
                      <w:lang w:eastAsia="zh-CN"/>
                    </w:rPr>
                    <w:t>经化粪池预处理后，与</w:t>
                  </w:r>
                  <w:r>
                    <w:rPr>
                      <w:rFonts w:hint="default" w:ascii="Times New Roman" w:hAnsi="Times New Roman" w:cs="Times New Roman"/>
                      <w:color w:val="auto"/>
                      <w:sz w:val="21"/>
                      <w:szCs w:val="21"/>
                      <w:lang w:val="en-US" w:eastAsia="zh-CN"/>
                    </w:rPr>
                    <w:t>浓水、</w:t>
                  </w:r>
                  <w:r>
                    <w:rPr>
                      <w:rFonts w:hint="default" w:ascii="Times New Roman" w:hAnsi="Times New Roman" w:cs="Times New Roman"/>
                      <w:color w:val="auto"/>
                      <w:sz w:val="21"/>
                      <w:szCs w:val="21"/>
                      <w:lang w:eastAsia="zh-CN"/>
                    </w:rPr>
                    <w:t>保洁废水一同进入医院自建污水处理站处理达标后，接管进入潘集区芦集镇再生水厂进一步处理。</w:t>
                  </w:r>
                  <w:r>
                    <w:rPr>
                      <w:rFonts w:hint="default" w:ascii="Times New Roman" w:hAnsi="Times New Roman" w:cs="Times New Roman"/>
                      <w:color w:val="auto"/>
                      <w:szCs w:val="21"/>
                      <w:lang w:eastAsia="zh-CN"/>
                    </w:rPr>
                    <w:t>一般固废收集后外售，危险废物收集后暂存于医废暂存间</w:t>
                  </w:r>
                  <w:r>
                    <w:rPr>
                      <w:rFonts w:hint="default" w:ascii="Times New Roman" w:hAnsi="Times New Roman" w:cs="Times New Roman"/>
                      <w:color w:val="auto"/>
                      <w:szCs w:val="21"/>
                      <w:lang w:val="en-US" w:eastAsia="zh-CN"/>
                    </w:rPr>
                    <w:t>/危废暂存间</w:t>
                  </w:r>
                  <w:r>
                    <w:rPr>
                      <w:rFonts w:hint="default" w:ascii="Times New Roman" w:hAnsi="Times New Roman" w:cs="Times New Roman"/>
                      <w:color w:val="auto"/>
                      <w:szCs w:val="21"/>
                      <w:lang w:eastAsia="zh-CN"/>
                    </w:rPr>
                    <w:t>，定期交有资质单位处理。本项目产生的废气、废水、固废等均符合污染物排放管控要求。</w:t>
                  </w:r>
                </w:p>
              </w:tc>
            </w:tr>
            <w:tr w14:paraId="02B279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8" w:hRule="atLeast"/>
                <w:jc w:val="center"/>
              </w:trPr>
              <w:tc>
                <w:tcPr>
                  <w:tcW w:w="515" w:type="pct"/>
                  <w:vMerge w:val="continue"/>
                  <w:noWrap w:val="0"/>
                  <w:vAlign w:val="center"/>
                </w:tcPr>
                <w:p w14:paraId="07021FE4">
                  <w:pPr>
                    <w:adjustRightInd w:val="0"/>
                    <w:snapToGrid w:val="0"/>
                    <w:spacing w:line="240" w:lineRule="auto"/>
                    <w:jc w:val="center"/>
                    <w:rPr>
                      <w:rFonts w:hint="default" w:ascii="Times New Roman" w:hAnsi="Times New Roman" w:cs="Times New Roman"/>
                      <w:color w:val="auto"/>
                      <w:szCs w:val="21"/>
                    </w:rPr>
                  </w:pPr>
                </w:p>
              </w:tc>
              <w:tc>
                <w:tcPr>
                  <w:tcW w:w="524" w:type="pct"/>
                  <w:vMerge w:val="continue"/>
                  <w:noWrap w:val="0"/>
                  <w:vAlign w:val="center"/>
                </w:tcPr>
                <w:p w14:paraId="00222326">
                  <w:pPr>
                    <w:adjustRightInd w:val="0"/>
                    <w:snapToGrid w:val="0"/>
                    <w:spacing w:line="240" w:lineRule="auto"/>
                    <w:jc w:val="center"/>
                    <w:rPr>
                      <w:rFonts w:hint="default" w:ascii="Times New Roman" w:hAnsi="Times New Roman" w:cs="Times New Roman"/>
                      <w:color w:val="auto"/>
                      <w:szCs w:val="21"/>
                    </w:rPr>
                  </w:pPr>
                </w:p>
              </w:tc>
              <w:tc>
                <w:tcPr>
                  <w:tcW w:w="513" w:type="pct"/>
                  <w:noWrap w:val="0"/>
                  <w:vAlign w:val="center"/>
                </w:tcPr>
                <w:p w14:paraId="58E146C3">
                  <w:pPr>
                    <w:keepNext w:val="0"/>
                    <w:keepLines w:val="0"/>
                    <w:widowControl/>
                    <w:suppressLineNumbers w:val="0"/>
                    <w:jc w:val="left"/>
                    <w:rPr>
                      <w:rFonts w:hint="default" w:ascii="Times New Roman" w:hAnsi="Times New Roman" w:cs="Times New Roman"/>
                      <w:szCs w:val="21"/>
                    </w:rPr>
                  </w:pPr>
                  <w:r>
                    <w:rPr>
                      <w:rFonts w:hint="default" w:ascii="Times New Roman" w:hAnsi="Times New Roman" w:eastAsia="宋体" w:cs="Times New Roman"/>
                      <w:color w:val="000000"/>
                      <w:kern w:val="0"/>
                      <w:sz w:val="21"/>
                      <w:szCs w:val="21"/>
                      <w:lang w:val="en-US" w:eastAsia="zh-CN" w:bidi="ar"/>
                    </w:rPr>
                    <w:t xml:space="preserve">资源 </w:t>
                  </w:r>
                </w:p>
                <w:p w14:paraId="11AB1E4B">
                  <w:pPr>
                    <w:keepNext w:val="0"/>
                    <w:keepLines w:val="0"/>
                    <w:widowControl/>
                    <w:suppressLineNumbers w:val="0"/>
                    <w:jc w:val="left"/>
                    <w:rPr>
                      <w:rFonts w:hint="default" w:ascii="Times New Roman" w:hAnsi="Times New Roman" w:cs="Times New Roman"/>
                      <w:szCs w:val="21"/>
                    </w:rPr>
                  </w:pPr>
                  <w:r>
                    <w:rPr>
                      <w:rFonts w:hint="default" w:ascii="Times New Roman" w:hAnsi="Times New Roman" w:eastAsia="宋体" w:cs="Times New Roman"/>
                      <w:color w:val="000000"/>
                      <w:kern w:val="0"/>
                      <w:sz w:val="21"/>
                      <w:szCs w:val="21"/>
                      <w:lang w:val="en-US" w:eastAsia="zh-CN" w:bidi="ar"/>
                    </w:rPr>
                    <w:t xml:space="preserve">开发 </w:t>
                  </w:r>
                </w:p>
                <w:p w14:paraId="1EBB6147">
                  <w:pPr>
                    <w:keepNext w:val="0"/>
                    <w:keepLines w:val="0"/>
                    <w:widowControl/>
                    <w:suppressLineNumbers w:val="0"/>
                    <w:jc w:val="left"/>
                    <w:rPr>
                      <w:rFonts w:hint="default" w:ascii="Times New Roman" w:hAnsi="Times New Roman" w:cs="Times New Roman"/>
                      <w:szCs w:val="21"/>
                    </w:rPr>
                  </w:pPr>
                  <w:r>
                    <w:rPr>
                      <w:rFonts w:hint="default" w:ascii="Times New Roman" w:hAnsi="Times New Roman" w:eastAsia="宋体" w:cs="Times New Roman"/>
                      <w:color w:val="000000"/>
                      <w:kern w:val="0"/>
                      <w:sz w:val="21"/>
                      <w:szCs w:val="21"/>
                      <w:lang w:val="en-US" w:eastAsia="zh-CN" w:bidi="ar"/>
                    </w:rPr>
                    <w:t xml:space="preserve">利用 </w:t>
                  </w:r>
                </w:p>
                <w:p w14:paraId="48326F1F">
                  <w:pPr>
                    <w:keepNext w:val="0"/>
                    <w:keepLines w:val="0"/>
                    <w:widowControl/>
                    <w:suppressLineNumbers w:val="0"/>
                    <w:jc w:val="left"/>
                    <w:rPr>
                      <w:rFonts w:hint="default" w:ascii="Times New Roman" w:hAnsi="Times New Roman" w:cs="Times New Roman"/>
                      <w:szCs w:val="21"/>
                    </w:rPr>
                  </w:pPr>
                  <w:r>
                    <w:rPr>
                      <w:rFonts w:hint="default" w:ascii="Times New Roman" w:hAnsi="Times New Roman" w:eastAsia="宋体" w:cs="Times New Roman"/>
                      <w:color w:val="000000"/>
                      <w:kern w:val="0"/>
                      <w:sz w:val="21"/>
                      <w:szCs w:val="21"/>
                      <w:lang w:val="en-US" w:eastAsia="zh-CN" w:bidi="ar"/>
                    </w:rPr>
                    <w:t xml:space="preserve">效率 </w:t>
                  </w:r>
                </w:p>
                <w:p w14:paraId="5C35F330">
                  <w:pPr>
                    <w:keepNext w:val="0"/>
                    <w:keepLines w:val="0"/>
                    <w:widowControl/>
                    <w:suppressLineNumbers w:val="0"/>
                    <w:jc w:val="left"/>
                    <w:rPr>
                      <w:rFonts w:hint="default" w:ascii="Times New Roman" w:hAnsi="Times New Roman" w:cs="Times New Roman"/>
                      <w:szCs w:val="21"/>
                    </w:rPr>
                  </w:pPr>
                  <w:r>
                    <w:rPr>
                      <w:rFonts w:hint="default" w:ascii="Times New Roman" w:hAnsi="Times New Roman" w:eastAsia="宋体" w:cs="Times New Roman"/>
                      <w:color w:val="000000"/>
                      <w:kern w:val="0"/>
                      <w:sz w:val="21"/>
                      <w:szCs w:val="21"/>
                      <w:lang w:val="en-US" w:eastAsia="zh-CN" w:bidi="ar"/>
                    </w:rPr>
                    <w:t>要求</w:t>
                  </w:r>
                </w:p>
                <w:p w14:paraId="3453B667">
                  <w:pPr>
                    <w:adjustRightInd w:val="0"/>
                    <w:snapToGrid w:val="0"/>
                    <w:spacing w:line="240" w:lineRule="auto"/>
                    <w:jc w:val="center"/>
                    <w:rPr>
                      <w:rFonts w:hint="default" w:ascii="Times New Roman" w:hAnsi="Times New Roman" w:cs="Times New Roman"/>
                      <w:color w:val="auto"/>
                      <w:szCs w:val="21"/>
                    </w:rPr>
                  </w:pPr>
                </w:p>
              </w:tc>
              <w:tc>
                <w:tcPr>
                  <w:tcW w:w="2167" w:type="pct"/>
                  <w:noWrap w:val="0"/>
                  <w:vAlign w:val="center"/>
                </w:tcPr>
                <w:p w14:paraId="1B314A1A">
                  <w:pPr>
                    <w:widowControl/>
                    <w:adjustRightInd/>
                    <w:snapToGrid/>
                    <w:spacing w:line="240" w:lineRule="auto"/>
                    <w:jc w:val="left"/>
                    <w:rPr>
                      <w:rFonts w:hint="default" w:ascii="Times New Roman" w:hAnsi="Times New Roman" w:cs="Times New Roman"/>
                      <w:color w:val="auto"/>
                      <w:szCs w:val="21"/>
                    </w:rPr>
                  </w:pPr>
                  <w:r>
                    <w:rPr>
                      <w:rFonts w:hint="default" w:ascii="Times New Roman" w:hAnsi="Times New Roman" w:eastAsia="宋体" w:cs="Times New Roman"/>
                      <w:color w:val="000000"/>
                      <w:kern w:val="0"/>
                      <w:sz w:val="21"/>
                      <w:szCs w:val="21"/>
                      <w:lang w:val="en-US" w:eastAsia="zh-CN" w:bidi="ar"/>
                    </w:rPr>
                    <w:t>坚持集中式与分布式建设并举，因地制宜建设集中式光伏发电项目，推动整县（市、区）屋顶分布式光伏发电试点工作。坚持集中式和分散式相结合，有序推进皖北平原连片风电项目建设，稳妥推进皖西南地区集中式风电项目建设，鼓励分散式风电商业模式创新。大力推进风光储一体化建设。加快建设一批抽水蓄能电站，打造千万千瓦级绿色储能基地。多元高效利用生物质能，推进农林生物质热电联产项目新建和供热改造，合理规划城镇生活垃圾焚烧发电项目，统筹布局生物燃料乙醇项目，适度发展先进生物质液体燃料。到 2025 年，非化石能源占能源消费总量比重达到 15.5%以上。81 推动煤电行业实施节能降耗改造、供热改造和灵活性改造“三改联动”。加快供热管网建设，淘汰管网覆盖范围内的燃煤锅炉和散煤。到 2025年，火电平均供电煤耗降至 295 克标煤/千瓦时，散煤基本清零。82 实施“煤改气”和“以电代煤”。在陶瓷、玻璃、铸造等行业积极推进天然气替代煤气化工程，有序实施燃煤设施煤改气。</w:t>
                  </w:r>
                </w:p>
              </w:tc>
              <w:tc>
                <w:tcPr>
                  <w:tcW w:w="1280" w:type="pct"/>
                  <w:noWrap w:val="0"/>
                  <w:vAlign w:val="center"/>
                </w:tcPr>
                <w:p w14:paraId="12B85514">
                  <w:pPr>
                    <w:keepNext w:val="0"/>
                    <w:keepLines w:val="0"/>
                    <w:widowControl/>
                    <w:suppressLineNumbers w:val="0"/>
                    <w:jc w:val="center"/>
                    <w:rPr>
                      <w:rFonts w:hint="default" w:ascii="Times New Roman" w:hAnsi="Times New Roman" w:cs="Times New Roman"/>
                      <w:szCs w:val="21"/>
                    </w:rPr>
                  </w:pPr>
                  <w:r>
                    <w:rPr>
                      <w:rFonts w:hint="default" w:ascii="Times New Roman" w:hAnsi="Times New Roman" w:eastAsia="宋体" w:cs="Times New Roman"/>
                      <w:color w:val="000000"/>
                      <w:kern w:val="0"/>
                      <w:sz w:val="21"/>
                      <w:szCs w:val="21"/>
                      <w:lang w:val="en-US" w:eastAsia="zh-CN" w:bidi="ar"/>
                    </w:rPr>
                    <w:t>本项目用水、电均依托市政供水供电管网。不属于高耗水、高排放、高污染行业， 符合资源开发利</w:t>
                  </w:r>
                </w:p>
                <w:p w14:paraId="4370C42E">
                  <w:pPr>
                    <w:keepNext w:val="0"/>
                    <w:keepLines w:val="0"/>
                    <w:widowControl/>
                    <w:suppressLineNumbers w:val="0"/>
                    <w:jc w:val="center"/>
                    <w:rPr>
                      <w:rFonts w:hint="default" w:ascii="Times New Roman" w:hAnsi="Times New Roman" w:cs="Times New Roman"/>
                      <w:szCs w:val="21"/>
                    </w:rPr>
                  </w:pPr>
                  <w:r>
                    <w:rPr>
                      <w:rFonts w:hint="default" w:ascii="Times New Roman" w:hAnsi="Times New Roman" w:eastAsia="宋体" w:cs="Times New Roman"/>
                      <w:color w:val="000000"/>
                      <w:kern w:val="0"/>
                      <w:sz w:val="21"/>
                      <w:szCs w:val="21"/>
                      <w:lang w:val="en-US" w:eastAsia="zh-CN" w:bidi="ar"/>
                    </w:rPr>
                    <w:t>用效率要求。</w:t>
                  </w:r>
                </w:p>
                <w:p w14:paraId="75BA92D0">
                  <w:pPr>
                    <w:adjustRightInd w:val="0"/>
                    <w:snapToGrid w:val="0"/>
                    <w:spacing w:line="240" w:lineRule="auto"/>
                    <w:jc w:val="center"/>
                    <w:rPr>
                      <w:rFonts w:hint="default" w:ascii="Times New Roman" w:hAnsi="Times New Roman" w:cs="Times New Roman"/>
                      <w:color w:val="auto"/>
                      <w:szCs w:val="21"/>
                    </w:rPr>
                  </w:pPr>
                </w:p>
              </w:tc>
            </w:tr>
          </w:tbl>
          <w:p w14:paraId="4EDBDBBF">
            <w:pPr>
              <w:pStyle w:val="20"/>
              <w:ind w:firstLine="480"/>
              <w:rPr>
                <w:rFonts w:ascii="Times New Roman" w:hAnsi="Times New Roman"/>
              </w:rPr>
            </w:pPr>
            <w:r>
              <w:rPr>
                <w:rFonts w:ascii="Times New Roman" w:hAnsi="Times New Roman"/>
              </w:rPr>
              <w:t>综上分析，项目建设符合</w:t>
            </w:r>
            <w:r>
              <w:rPr>
                <w:rFonts w:hint="eastAsia" w:ascii="Times New Roman" w:hAnsi="Times New Roman"/>
                <w:lang w:eastAsia="zh-CN"/>
              </w:rPr>
              <w:t>“</w:t>
            </w:r>
            <w:r>
              <w:rPr>
                <w:rFonts w:ascii="Times New Roman" w:hAnsi="Times New Roman"/>
              </w:rPr>
              <w:t>三线一单</w:t>
            </w:r>
            <w:r>
              <w:rPr>
                <w:rFonts w:hint="eastAsia" w:ascii="Times New Roman" w:hAnsi="Times New Roman"/>
                <w:lang w:eastAsia="zh-CN"/>
              </w:rPr>
              <w:t>”</w:t>
            </w:r>
            <w:r>
              <w:rPr>
                <w:rFonts w:ascii="Times New Roman" w:hAnsi="Times New Roman"/>
              </w:rPr>
              <w:t>要求。</w:t>
            </w:r>
          </w:p>
          <w:p w14:paraId="1E0FD180">
            <w:pPr>
              <w:pStyle w:val="19"/>
              <w:numPr>
                <w:ilvl w:val="0"/>
                <w:numId w:val="0"/>
              </w:numPr>
              <w:ind w:firstLine="0"/>
              <w:rPr>
                <w:rFonts w:hint="eastAsia" w:ascii="Times New Roman"/>
                <w:b/>
                <w:bCs/>
                <w:color w:val="auto"/>
                <w:sz w:val="24"/>
                <w:szCs w:val="24"/>
                <w:lang w:eastAsia="zh-CN"/>
              </w:rPr>
            </w:pPr>
          </w:p>
          <w:p w14:paraId="110734C8">
            <w:pPr>
              <w:pStyle w:val="19"/>
              <w:rPr>
                <w:rFonts w:ascii="Times New Roman"/>
                <w:b/>
                <w:bCs/>
                <w:color w:val="auto"/>
                <w:sz w:val="24"/>
                <w:szCs w:val="24"/>
              </w:rPr>
            </w:pPr>
            <w:r>
              <w:rPr>
                <w:rFonts w:hint="eastAsia" w:ascii="Times New Roman"/>
                <w:b/>
                <w:bCs/>
                <w:color w:val="auto"/>
                <w:sz w:val="24"/>
                <w:szCs w:val="24"/>
                <w:lang w:val="en-US" w:eastAsia="zh-CN"/>
              </w:rPr>
              <w:t>5.</w:t>
            </w:r>
            <w:r>
              <w:rPr>
                <w:rFonts w:hint="eastAsia" w:ascii="Times New Roman"/>
                <w:b/>
                <w:bCs/>
                <w:color w:val="auto"/>
                <w:sz w:val="24"/>
                <w:szCs w:val="24"/>
              </w:rPr>
              <w:t>与</w:t>
            </w:r>
            <w:r>
              <w:rPr>
                <w:rFonts w:hint="eastAsia" w:ascii="Times New Roman"/>
                <w:b/>
                <w:bCs/>
                <w:color w:val="auto"/>
                <w:sz w:val="24"/>
                <w:szCs w:val="24"/>
                <w:lang w:eastAsia="zh-CN"/>
              </w:rPr>
              <w:t>其他</w:t>
            </w:r>
            <w:r>
              <w:rPr>
                <w:rFonts w:hint="eastAsia" w:ascii="Times New Roman"/>
                <w:b/>
                <w:bCs/>
                <w:color w:val="auto"/>
                <w:sz w:val="24"/>
                <w:szCs w:val="24"/>
              </w:rPr>
              <w:t>相关政策符合性分析</w:t>
            </w:r>
          </w:p>
          <w:p w14:paraId="2A47D019">
            <w:pPr>
              <w:pStyle w:val="19"/>
              <w:numPr>
                <w:ilvl w:val="0"/>
                <w:numId w:val="0"/>
              </w:numPr>
              <w:spacing w:line="360" w:lineRule="auto"/>
              <w:ind w:firstLine="480" w:firstLineChars="200"/>
              <w:jc w:val="left"/>
              <w:rPr>
                <w:rFonts w:hint="default" w:ascii="Times New Roman" w:hAnsi="Times New Roman" w:cs="Times New Roman"/>
                <w:b/>
                <w:bCs/>
                <w:color w:val="auto"/>
                <w:sz w:val="24"/>
                <w:szCs w:val="24"/>
              </w:rPr>
            </w:pPr>
            <w:r>
              <w:rPr>
                <w:rFonts w:hint="default" w:ascii="Times New Roman" w:hAnsi="Times New Roman" w:cs="Times New Roman"/>
                <w:sz w:val="24"/>
              </w:rPr>
              <w:t>对照《安徽省淮河流域水污染防治条例》（安徽省人大常委会 第八号）、《关于深入打好污染防治攻坚战的意见</w:t>
            </w:r>
            <w:r>
              <w:rPr>
                <w:rFonts w:hint="eastAsia" w:ascii="Times New Roman" w:cs="Times New Roman"/>
                <w:sz w:val="24"/>
                <w:lang w:eastAsia="zh-CN"/>
              </w:rPr>
              <w:t>》《</w:t>
            </w:r>
            <w:r>
              <w:rPr>
                <w:rFonts w:hint="default" w:ascii="Times New Roman" w:hAnsi="Times New Roman" w:cs="Times New Roman"/>
                <w:sz w:val="24"/>
              </w:rPr>
              <w:t>淮南市大气办关于印发</w:t>
            </w:r>
            <w:r>
              <w:rPr>
                <w:rFonts w:hint="eastAsia" w:ascii="Times New Roman" w:cs="Times New Roman"/>
                <w:sz w:val="24"/>
                <w:lang w:eastAsia="zh-CN"/>
              </w:rPr>
              <w:t>〈</w:t>
            </w:r>
            <w:r>
              <w:rPr>
                <w:rFonts w:hint="default" w:ascii="Times New Roman" w:hAnsi="Times New Roman" w:cs="Times New Roman"/>
                <w:sz w:val="24"/>
              </w:rPr>
              <w:t>淮南市2021年应对气候变化和大气污染防治重点工作任务</w:t>
            </w:r>
            <w:r>
              <w:rPr>
                <w:rFonts w:hint="eastAsia" w:ascii="Times New Roman" w:cs="Times New Roman"/>
                <w:sz w:val="24"/>
                <w:lang w:eastAsia="zh-CN"/>
              </w:rPr>
              <w:t>〉的通知》《</w:t>
            </w:r>
            <w:r>
              <w:rPr>
                <w:rFonts w:hint="default" w:ascii="Times New Roman" w:hAnsi="Times New Roman" w:cs="Times New Roman"/>
                <w:sz w:val="24"/>
                <w:lang w:val="en-US" w:eastAsia="zh-CN"/>
              </w:rPr>
              <w:t>医院污水处理工程技术规范》</w:t>
            </w:r>
            <w:r>
              <w:rPr>
                <w:rFonts w:hint="default" w:ascii="Times New Roman" w:hAnsi="Times New Roman" w:cs="Times New Roman"/>
                <w:sz w:val="24"/>
              </w:rPr>
              <w:t>等相关政策要求，本项目的政策相符性分析汇总</w:t>
            </w:r>
            <w:r>
              <w:rPr>
                <w:rFonts w:hint="default" w:ascii="Times New Roman" w:hAnsi="Times New Roman" w:cs="Times New Roman"/>
                <w:color w:val="auto"/>
                <w:sz w:val="24"/>
              </w:rPr>
              <w:t>见下表所示。</w:t>
            </w:r>
          </w:p>
          <w:p w14:paraId="42A87711">
            <w:pPr>
              <w:pStyle w:val="19"/>
              <w:ind w:firstLine="0"/>
              <w:jc w:val="center"/>
              <w:rPr>
                <w:rFonts w:hint="eastAsia" w:ascii="Times New Roman"/>
                <w:b/>
                <w:bCs/>
                <w:color w:val="auto"/>
                <w:sz w:val="21"/>
                <w:szCs w:val="21"/>
              </w:rPr>
            </w:pPr>
            <w:r>
              <w:rPr>
                <w:rFonts w:hint="eastAsia" w:ascii="Times New Roman"/>
                <w:b/>
                <w:bCs/>
                <w:color w:val="auto"/>
                <w:sz w:val="21"/>
                <w:szCs w:val="21"/>
              </w:rPr>
              <w:t>表1-</w:t>
            </w:r>
            <w:r>
              <w:rPr>
                <w:rFonts w:hint="eastAsia" w:ascii="Times New Roman"/>
                <w:b/>
                <w:bCs/>
                <w:color w:val="auto"/>
                <w:sz w:val="21"/>
                <w:szCs w:val="21"/>
                <w:lang w:val="en-US" w:eastAsia="zh-CN"/>
              </w:rPr>
              <w:t>2</w:t>
            </w:r>
            <w:r>
              <w:rPr>
                <w:rFonts w:hint="eastAsia" w:ascii="Times New Roman"/>
                <w:b/>
                <w:bCs/>
                <w:color w:val="auto"/>
                <w:sz w:val="21"/>
                <w:szCs w:val="21"/>
              </w:rPr>
              <w:t>与</w:t>
            </w:r>
            <w:r>
              <w:rPr>
                <w:rFonts w:hint="eastAsia" w:ascii="Times New Roman"/>
                <w:b/>
                <w:bCs/>
                <w:color w:val="auto"/>
                <w:sz w:val="21"/>
                <w:szCs w:val="21"/>
                <w:lang w:eastAsia="zh-CN"/>
              </w:rPr>
              <w:t>其他</w:t>
            </w:r>
            <w:r>
              <w:rPr>
                <w:rFonts w:hint="eastAsia" w:ascii="Times New Roman"/>
                <w:b/>
                <w:bCs/>
                <w:color w:val="auto"/>
                <w:sz w:val="21"/>
                <w:szCs w:val="21"/>
              </w:rPr>
              <w:t>相关政策相符性分析</w:t>
            </w:r>
          </w:p>
          <w:tbl>
            <w:tblPr>
              <w:tblStyle w:val="14"/>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7"/>
              <w:gridCol w:w="3120"/>
              <w:gridCol w:w="2233"/>
              <w:gridCol w:w="740"/>
            </w:tblGrid>
            <w:tr w14:paraId="223A80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3" w:type="pct"/>
                  <w:noWrap w:val="0"/>
                  <w:vAlign w:val="center"/>
                </w:tcPr>
                <w:p w14:paraId="25EB5376">
                  <w:pPr>
                    <w:snapToGrid w:val="0"/>
                    <w:jc w:val="center"/>
                    <w:rPr>
                      <w:b/>
                      <w:bCs/>
                      <w:szCs w:val="21"/>
                    </w:rPr>
                  </w:pPr>
                  <w:r>
                    <w:rPr>
                      <w:b/>
                      <w:bCs/>
                      <w:szCs w:val="21"/>
                    </w:rPr>
                    <w:t>名称</w:t>
                  </w:r>
                </w:p>
              </w:tc>
              <w:tc>
                <w:tcPr>
                  <w:tcW w:w="2297" w:type="pct"/>
                  <w:noWrap w:val="0"/>
                  <w:vAlign w:val="center"/>
                </w:tcPr>
                <w:p w14:paraId="445FA08C">
                  <w:pPr>
                    <w:snapToGrid w:val="0"/>
                    <w:jc w:val="center"/>
                    <w:rPr>
                      <w:b/>
                      <w:bCs/>
                      <w:szCs w:val="21"/>
                    </w:rPr>
                  </w:pPr>
                  <w:r>
                    <w:rPr>
                      <w:b/>
                      <w:bCs/>
                      <w:szCs w:val="21"/>
                    </w:rPr>
                    <w:t>相关要求</w:t>
                  </w:r>
                </w:p>
              </w:tc>
              <w:tc>
                <w:tcPr>
                  <w:tcW w:w="1644" w:type="pct"/>
                  <w:noWrap w:val="0"/>
                  <w:vAlign w:val="center"/>
                </w:tcPr>
                <w:p w14:paraId="6B1F8AB8">
                  <w:pPr>
                    <w:snapToGrid w:val="0"/>
                    <w:jc w:val="center"/>
                    <w:rPr>
                      <w:b/>
                      <w:bCs/>
                      <w:szCs w:val="21"/>
                    </w:rPr>
                  </w:pPr>
                  <w:r>
                    <w:rPr>
                      <w:b/>
                      <w:bCs/>
                      <w:szCs w:val="21"/>
                    </w:rPr>
                    <w:t>项目情况</w:t>
                  </w:r>
                </w:p>
              </w:tc>
              <w:tc>
                <w:tcPr>
                  <w:tcW w:w="544" w:type="pct"/>
                  <w:noWrap w:val="0"/>
                  <w:vAlign w:val="center"/>
                </w:tcPr>
                <w:p w14:paraId="2E52B4CD">
                  <w:pPr>
                    <w:snapToGrid w:val="0"/>
                    <w:jc w:val="center"/>
                    <w:rPr>
                      <w:b/>
                      <w:bCs/>
                      <w:szCs w:val="21"/>
                    </w:rPr>
                  </w:pPr>
                  <w:r>
                    <w:rPr>
                      <w:b/>
                      <w:bCs/>
                      <w:szCs w:val="21"/>
                    </w:rPr>
                    <w:t>符合性</w:t>
                  </w:r>
                </w:p>
              </w:tc>
            </w:tr>
            <w:tr w14:paraId="61F052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3" w:type="pct"/>
                  <w:vMerge w:val="restart"/>
                  <w:noWrap w:val="0"/>
                  <w:vAlign w:val="center"/>
                </w:tcPr>
                <w:p w14:paraId="0B9BF86C">
                  <w:pPr>
                    <w:snapToGrid w:val="0"/>
                    <w:jc w:val="center"/>
                    <w:rPr>
                      <w:szCs w:val="21"/>
                    </w:rPr>
                  </w:pPr>
                  <w:r>
                    <w:rPr>
                      <w:szCs w:val="21"/>
                    </w:rPr>
                    <w:t>《安徽省淮河流域水污染防治条例》（安徽省人大常委会 第八号）</w:t>
                  </w:r>
                </w:p>
              </w:tc>
              <w:tc>
                <w:tcPr>
                  <w:tcW w:w="2297" w:type="pct"/>
                  <w:noWrap w:val="0"/>
                  <w:vAlign w:val="center"/>
                </w:tcPr>
                <w:p w14:paraId="74C42360">
                  <w:pPr>
                    <w:widowControl/>
                    <w:snapToGrid w:val="0"/>
                    <w:jc w:val="center"/>
                    <w:rPr>
                      <w:szCs w:val="21"/>
                    </w:rPr>
                  </w:pPr>
                  <w:r>
                    <w:rPr>
                      <w:kern w:val="0"/>
                      <w:szCs w:val="21"/>
                    </w:rPr>
                    <w:t>禁止在淮河流域新建化学制浆造纸企业和印染、制革、化工、电镀、酿造等污染严重的小型企业。</w:t>
                  </w:r>
                </w:p>
              </w:tc>
              <w:tc>
                <w:tcPr>
                  <w:tcW w:w="1644" w:type="pct"/>
                  <w:noWrap w:val="0"/>
                  <w:vAlign w:val="center"/>
                </w:tcPr>
                <w:p w14:paraId="6E02A802">
                  <w:pPr>
                    <w:snapToGrid w:val="0"/>
                    <w:jc w:val="center"/>
                    <w:rPr>
                      <w:szCs w:val="21"/>
                    </w:rPr>
                  </w:pPr>
                  <w:r>
                    <w:rPr>
                      <w:kern w:val="0"/>
                      <w:szCs w:val="21"/>
                    </w:rPr>
                    <w:t>本项目属于</w:t>
                  </w:r>
                  <w:r>
                    <w:rPr>
                      <w:rFonts w:hint="eastAsia"/>
                      <w:kern w:val="0"/>
                      <w:szCs w:val="21"/>
                    </w:rPr>
                    <w:t>Q8411 综合医院</w:t>
                  </w:r>
                  <w:r>
                    <w:rPr>
                      <w:szCs w:val="21"/>
                    </w:rPr>
                    <w:t>，</w:t>
                  </w:r>
                  <w:r>
                    <w:rPr>
                      <w:kern w:val="0"/>
                      <w:szCs w:val="21"/>
                    </w:rPr>
                    <w:t>不属于化学制浆造纸企业和印染、制革、化工、电镀、酿造等污染严重的小型企业。</w:t>
                  </w:r>
                </w:p>
              </w:tc>
              <w:tc>
                <w:tcPr>
                  <w:tcW w:w="544" w:type="pct"/>
                  <w:vMerge w:val="restart"/>
                  <w:noWrap w:val="0"/>
                  <w:vAlign w:val="center"/>
                </w:tcPr>
                <w:p w14:paraId="686E55C8">
                  <w:pPr>
                    <w:snapToGrid w:val="0"/>
                    <w:jc w:val="center"/>
                    <w:rPr>
                      <w:szCs w:val="21"/>
                    </w:rPr>
                  </w:pPr>
                  <w:r>
                    <w:rPr>
                      <w:szCs w:val="21"/>
                    </w:rPr>
                    <w:t>符合</w:t>
                  </w:r>
                </w:p>
              </w:tc>
            </w:tr>
            <w:tr w14:paraId="36B888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3" w:type="pct"/>
                  <w:vMerge w:val="continue"/>
                  <w:noWrap w:val="0"/>
                  <w:vAlign w:val="center"/>
                </w:tcPr>
                <w:p w14:paraId="1DBD8E18">
                  <w:pPr>
                    <w:snapToGrid w:val="0"/>
                    <w:jc w:val="center"/>
                    <w:rPr>
                      <w:szCs w:val="21"/>
                    </w:rPr>
                  </w:pPr>
                </w:p>
              </w:tc>
              <w:tc>
                <w:tcPr>
                  <w:tcW w:w="2297" w:type="pct"/>
                  <w:noWrap w:val="0"/>
                  <w:vAlign w:val="center"/>
                </w:tcPr>
                <w:p w14:paraId="4F0EFACE">
                  <w:pPr>
                    <w:widowControl/>
                    <w:snapToGrid w:val="0"/>
                    <w:jc w:val="center"/>
                    <w:rPr>
                      <w:szCs w:val="21"/>
                    </w:rPr>
                  </w:pPr>
                  <w:r>
                    <w:rPr>
                      <w:kern w:val="0"/>
                      <w:szCs w:val="21"/>
                    </w:rPr>
                    <w:t>新建、改建、扩建直接或者间接向水体排放污染物的建设项目和其他水上设施，应当依法进行环境影响评价。建设项目的水污染防治设施，应当符合经批准或者备案的环境影响评价文件的要求，并与主体工程同时设计、同时施工、同时投入使用。</w:t>
                  </w:r>
                </w:p>
              </w:tc>
              <w:tc>
                <w:tcPr>
                  <w:tcW w:w="1644" w:type="pct"/>
                  <w:noWrap w:val="0"/>
                  <w:vAlign w:val="center"/>
                </w:tcPr>
                <w:p w14:paraId="7C1ED838">
                  <w:pPr>
                    <w:snapToGrid w:val="0"/>
                    <w:jc w:val="center"/>
                    <w:rPr>
                      <w:szCs w:val="21"/>
                    </w:rPr>
                  </w:pPr>
                  <w:r>
                    <w:rPr>
                      <w:kern w:val="0"/>
                      <w:szCs w:val="21"/>
                    </w:rPr>
                    <w:t>本项目各类废水经院区预处理达到</w:t>
                  </w:r>
                  <w:r>
                    <w:rPr>
                      <w:rFonts w:hint="eastAsia"/>
                      <w:szCs w:val="21"/>
                      <w:lang w:eastAsia="zh-CN"/>
                    </w:rPr>
                    <w:t>潘集区芦集镇再生水厂</w:t>
                  </w:r>
                  <w:r>
                    <w:rPr>
                      <w:kern w:val="0"/>
                      <w:szCs w:val="21"/>
                    </w:rPr>
                    <w:t>接管标准后接管至污水处理厂，评价要求企业按照</w:t>
                  </w:r>
                  <w:r>
                    <w:rPr>
                      <w:rFonts w:hint="eastAsia"/>
                      <w:kern w:val="0"/>
                      <w:szCs w:val="21"/>
                      <w:lang w:eastAsia="zh-CN"/>
                    </w:rPr>
                    <w:t>“</w:t>
                  </w:r>
                  <w:r>
                    <w:rPr>
                      <w:kern w:val="0"/>
                      <w:szCs w:val="21"/>
                    </w:rPr>
                    <w:t>三同时</w:t>
                  </w:r>
                  <w:r>
                    <w:rPr>
                      <w:rFonts w:hint="eastAsia"/>
                      <w:kern w:val="0"/>
                      <w:szCs w:val="21"/>
                      <w:lang w:eastAsia="zh-CN"/>
                    </w:rPr>
                    <w:t>”</w:t>
                  </w:r>
                  <w:r>
                    <w:rPr>
                      <w:kern w:val="0"/>
                      <w:szCs w:val="21"/>
                    </w:rPr>
                    <w:t>制度要求，水污染防治设施与主体工程同时设计、同时施工、同时投入使用。</w:t>
                  </w:r>
                </w:p>
              </w:tc>
              <w:tc>
                <w:tcPr>
                  <w:tcW w:w="544" w:type="pct"/>
                  <w:vMerge w:val="continue"/>
                  <w:noWrap w:val="0"/>
                  <w:vAlign w:val="center"/>
                </w:tcPr>
                <w:p w14:paraId="46C9749A">
                  <w:pPr>
                    <w:snapToGrid w:val="0"/>
                    <w:jc w:val="center"/>
                    <w:rPr>
                      <w:szCs w:val="21"/>
                    </w:rPr>
                  </w:pPr>
                </w:p>
              </w:tc>
            </w:tr>
            <w:tr w14:paraId="771900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3" w:type="pct"/>
                  <w:vMerge w:val="continue"/>
                  <w:noWrap w:val="0"/>
                  <w:vAlign w:val="center"/>
                </w:tcPr>
                <w:p w14:paraId="39CAF3D4">
                  <w:pPr>
                    <w:snapToGrid w:val="0"/>
                    <w:jc w:val="center"/>
                    <w:rPr>
                      <w:szCs w:val="21"/>
                    </w:rPr>
                  </w:pPr>
                </w:p>
              </w:tc>
              <w:tc>
                <w:tcPr>
                  <w:tcW w:w="2297" w:type="pct"/>
                  <w:noWrap w:val="0"/>
                  <w:vAlign w:val="center"/>
                </w:tcPr>
                <w:p w14:paraId="72C8183D">
                  <w:pPr>
                    <w:widowControl/>
                    <w:snapToGrid w:val="0"/>
                    <w:jc w:val="center"/>
                    <w:rPr>
                      <w:kern w:val="0"/>
                      <w:szCs w:val="21"/>
                    </w:rPr>
                  </w:pPr>
                  <w:r>
                    <w:rPr>
                      <w:kern w:val="0"/>
                      <w:szCs w:val="21"/>
                    </w:rPr>
                    <w:t>建、扩建、改建项目，除执行前款规定外，还应当遵守下列规定：</w:t>
                  </w:r>
                </w:p>
                <w:p w14:paraId="26498C8E">
                  <w:pPr>
                    <w:widowControl/>
                    <w:snapToGrid w:val="0"/>
                    <w:jc w:val="center"/>
                    <w:rPr>
                      <w:kern w:val="0"/>
                      <w:szCs w:val="21"/>
                    </w:rPr>
                  </w:pPr>
                  <w:r>
                    <w:rPr>
                      <w:kern w:val="0"/>
                      <w:szCs w:val="21"/>
                    </w:rPr>
                    <w:t>（一）新建项目的选址应符合城市总体规划，避开饮用水水源地和对环境有特殊要求的功能区；</w:t>
                  </w:r>
                </w:p>
                <w:p w14:paraId="4E06A399">
                  <w:pPr>
                    <w:widowControl/>
                    <w:snapToGrid w:val="0"/>
                    <w:jc w:val="center"/>
                    <w:rPr>
                      <w:kern w:val="0"/>
                      <w:szCs w:val="21"/>
                    </w:rPr>
                  </w:pPr>
                  <w:r>
                    <w:rPr>
                      <w:kern w:val="0"/>
                      <w:szCs w:val="21"/>
                    </w:rPr>
                    <w:t>（二）采用资源利用率高、污染物排放量少的先进设备和先进工艺；</w:t>
                  </w:r>
                </w:p>
                <w:p w14:paraId="4F46D674">
                  <w:pPr>
                    <w:widowControl/>
                    <w:snapToGrid w:val="0"/>
                    <w:jc w:val="center"/>
                    <w:rPr>
                      <w:szCs w:val="21"/>
                    </w:rPr>
                  </w:pPr>
                  <w:r>
                    <w:rPr>
                      <w:kern w:val="0"/>
                      <w:szCs w:val="21"/>
                    </w:rPr>
                    <w:t>（三）改建、扩建项目和技改项目应当把水污染治理纳入项目内容。</w:t>
                  </w:r>
                </w:p>
              </w:tc>
              <w:tc>
                <w:tcPr>
                  <w:tcW w:w="1644" w:type="pct"/>
                  <w:noWrap w:val="0"/>
                  <w:vAlign w:val="center"/>
                </w:tcPr>
                <w:p w14:paraId="7C066ACD">
                  <w:pPr>
                    <w:snapToGrid w:val="0"/>
                    <w:jc w:val="center"/>
                    <w:rPr>
                      <w:szCs w:val="21"/>
                    </w:rPr>
                  </w:pPr>
                  <w:r>
                    <w:rPr>
                      <w:kern w:val="0"/>
                      <w:szCs w:val="21"/>
                    </w:rPr>
                    <w:t>本项目建设符合淮南市城市总体规划，项目选址不涉及饮用水水源地和对环境有特殊要求的功能区；项目采用了先进设备和先进工艺，废气、废水排放量较少；本项目各类废水经院区污水处理站预处理达到</w:t>
                  </w:r>
                  <w:r>
                    <w:rPr>
                      <w:rFonts w:hint="eastAsia"/>
                      <w:szCs w:val="21"/>
                      <w:lang w:eastAsia="zh-CN"/>
                    </w:rPr>
                    <w:t>潘集区芦集镇再生水厂</w:t>
                  </w:r>
                  <w:r>
                    <w:rPr>
                      <w:kern w:val="0"/>
                      <w:szCs w:val="21"/>
                    </w:rPr>
                    <w:t>接管标准后接管至污水处理厂深化处理</w:t>
                  </w:r>
                </w:p>
              </w:tc>
              <w:tc>
                <w:tcPr>
                  <w:tcW w:w="544" w:type="pct"/>
                  <w:vMerge w:val="continue"/>
                  <w:noWrap w:val="0"/>
                  <w:vAlign w:val="center"/>
                </w:tcPr>
                <w:p w14:paraId="310157E2">
                  <w:pPr>
                    <w:snapToGrid w:val="0"/>
                    <w:jc w:val="center"/>
                    <w:rPr>
                      <w:szCs w:val="21"/>
                    </w:rPr>
                  </w:pPr>
                </w:p>
              </w:tc>
            </w:tr>
            <w:tr w14:paraId="393A5C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3" w:type="pct"/>
                  <w:vMerge w:val="restart"/>
                  <w:noWrap w:val="0"/>
                  <w:vAlign w:val="center"/>
                </w:tcPr>
                <w:p w14:paraId="393DBBB8">
                  <w:pPr>
                    <w:autoSpaceDE w:val="0"/>
                    <w:autoSpaceDN w:val="0"/>
                    <w:adjustRightInd w:val="0"/>
                    <w:snapToGrid w:val="0"/>
                    <w:jc w:val="center"/>
                    <w:rPr>
                      <w:szCs w:val="21"/>
                    </w:rPr>
                  </w:pPr>
                  <w:r>
                    <w:rPr>
                      <w:szCs w:val="21"/>
                    </w:rPr>
                    <w:t>《关于深入打好污染防治攻坚战的意见》</w:t>
                  </w:r>
                </w:p>
              </w:tc>
              <w:tc>
                <w:tcPr>
                  <w:tcW w:w="2297" w:type="pct"/>
                  <w:noWrap w:val="0"/>
                  <w:vAlign w:val="center"/>
                </w:tcPr>
                <w:p w14:paraId="60ABAC68">
                  <w:pPr>
                    <w:numPr>
                      <w:ilvl w:val="0"/>
                      <w:numId w:val="2"/>
                    </w:numPr>
                    <w:autoSpaceDE w:val="0"/>
                    <w:autoSpaceDN w:val="0"/>
                    <w:adjustRightInd w:val="0"/>
                    <w:snapToGrid w:val="0"/>
                    <w:jc w:val="center"/>
                    <w:rPr>
                      <w:szCs w:val="21"/>
                    </w:rPr>
                  </w:pPr>
                  <w:r>
                    <w:rPr>
                      <w:szCs w:val="21"/>
                    </w:rPr>
                    <w:t>坚决遏制高耗能高排放项目盲目发展。</w:t>
                  </w:r>
                </w:p>
                <w:p w14:paraId="41BA7FDA">
                  <w:pPr>
                    <w:autoSpaceDE w:val="0"/>
                    <w:autoSpaceDN w:val="0"/>
                    <w:adjustRightInd w:val="0"/>
                    <w:snapToGrid w:val="0"/>
                    <w:rPr>
                      <w:szCs w:val="21"/>
                    </w:rPr>
                  </w:pPr>
                  <w:r>
                    <w:rPr>
                      <w:szCs w:val="21"/>
                    </w:rPr>
                    <w:t>严把高耗能高排放项目准入关口，严格落实污染物排放区域削减要求，对不符合规定的项目坚决停批停建。依法依规淘汰落后产能和化解过剩产能。推动高炉－转炉长流程炼钢转型为电炉短流程炼钢。重点区域严禁新增钢铁、焦化、水泥熟料、平板玻璃、电解铝、氧化铝、煤化工产能，合理控制煤制油气产能规模，严控新增炼油产能。</w:t>
                  </w:r>
                </w:p>
              </w:tc>
              <w:tc>
                <w:tcPr>
                  <w:tcW w:w="1644" w:type="pct"/>
                  <w:noWrap w:val="0"/>
                  <w:vAlign w:val="center"/>
                </w:tcPr>
                <w:p w14:paraId="2FAB00C6">
                  <w:pPr>
                    <w:autoSpaceDE w:val="0"/>
                    <w:autoSpaceDN w:val="0"/>
                    <w:adjustRightInd w:val="0"/>
                    <w:snapToGrid w:val="0"/>
                    <w:jc w:val="center"/>
                    <w:rPr>
                      <w:szCs w:val="21"/>
                    </w:rPr>
                  </w:pPr>
                  <w:r>
                    <w:rPr>
                      <w:kern w:val="0"/>
                      <w:szCs w:val="21"/>
                    </w:rPr>
                    <w:t>本项目属于</w:t>
                  </w:r>
                  <w:r>
                    <w:rPr>
                      <w:rFonts w:hint="eastAsia"/>
                      <w:kern w:val="0"/>
                      <w:szCs w:val="21"/>
                    </w:rPr>
                    <w:t>Q8411 综合医院</w:t>
                  </w:r>
                  <w:r>
                    <w:rPr>
                      <w:szCs w:val="21"/>
                    </w:rPr>
                    <w:t>，不属于以上高耗能、高排放项目。</w:t>
                  </w:r>
                </w:p>
              </w:tc>
              <w:tc>
                <w:tcPr>
                  <w:tcW w:w="544" w:type="pct"/>
                  <w:vMerge w:val="restart"/>
                  <w:noWrap w:val="0"/>
                  <w:vAlign w:val="center"/>
                </w:tcPr>
                <w:p w14:paraId="4E1788D8">
                  <w:pPr>
                    <w:autoSpaceDE w:val="0"/>
                    <w:autoSpaceDN w:val="0"/>
                    <w:adjustRightInd w:val="0"/>
                    <w:snapToGrid w:val="0"/>
                    <w:jc w:val="center"/>
                    <w:rPr>
                      <w:szCs w:val="21"/>
                    </w:rPr>
                  </w:pPr>
                  <w:r>
                    <w:rPr>
                      <w:szCs w:val="21"/>
                    </w:rPr>
                    <w:t>符合</w:t>
                  </w:r>
                </w:p>
              </w:tc>
            </w:tr>
            <w:tr w14:paraId="54C493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3" w:type="pct"/>
                  <w:vMerge w:val="continue"/>
                  <w:noWrap w:val="0"/>
                  <w:vAlign w:val="center"/>
                </w:tcPr>
                <w:p w14:paraId="3DA31851">
                  <w:pPr>
                    <w:widowControl/>
                    <w:adjustRightInd w:val="0"/>
                    <w:snapToGrid w:val="0"/>
                    <w:jc w:val="left"/>
                    <w:rPr>
                      <w:szCs w:val="21"/>
                    </w:rPr>
                  </w:pPr>
                </w:p>
              </w:tc>
              <w:tc>
                <w:tcPr>
                  <w:tcW w:w="2297" w:type="pct"/>
                  <w:noWrap w:val="0"/>
                  <w:vAlign w:val="center"/>
                </w:tcPr>
                <w:p w14:paraId="06FF5991">
                  <w:pPr>
                    <w:widowControl/>
                    <w:numPr>
                      <w:ilvl w:val="0"/>
                      <w:numId w:val="3"/>
                    </w:numPr>
                    <w:adjustRightInd w:val="0"/>
                    <w:snapToGrid w:val="0"/>
                    <w:jc w:val="left"/>
                    <w:rPr>
                      <w:szCs w:val="21"/>
                    </w:rPr>
                  </w:pPr>
                  <w:r>
                    <w:rPr>
                      <w:szCs w:val="21"/>
                    </w:rPr>
                    <w:t>持续打好城市黑臭水体治理攻坚战。</w:t>
                  </w:r>
                </w:p>
                <w:p w14:paraId="0489966C">
                  <w:pPr>
                    <w:widowControl/>
                    <w:adjustRightInd w:val="0"/>
                    <w:snapToGrid w:val="0"/>
                    <w:jc w:val="left"/>
                    <w:rPr>
                      <w:szCs w:val="21"/>
                    </w:rPr>
                  </w:pPr>
                  <w:r>
                    <w:rPr>
                      <w:szCs w:val="21"/>
                    </w:rPr>
                    <w:t>统筹好上下游、左右岸、干支流、城市和乡村，系统推进城市黑臭水体治理。加强农业农村和工业企业污染防治，有效控制入河污染物排放。强化溯源整治，杜绝污水直接排入雨水管网。推进城镇污水管网全覆盖，对进水情况出现明显异常的污水处理厂，开展片区管网系统化整治。因地制宜开展水体内源污染治理和生态修复，增强河湖自净功能。充分发挥河长制、湖长制作用，巩固城市黑臭水体治理成效，建立防止返黑返臭的长效机制。2022年6月底前，县级城市政府完成建成区内黑臭水体排查并制定整治方案，统一公布黑臭水体清单及达标期限。到2025年，县级城市建成区基本消除黑臭水体，京津冀、长三角、珠三角等区域力争提前1年完成。</w:t>
                  </w:r>
                </w:p>
              </w:tc>
              <w:tc>
                <w:tcPr>
                  <w:tcW w:w="1644" w:type="pct"/>
                  <w:noWrap w:val="0"/>
                  <w:vAlign w:val="center"/>
                </w:tcPr>
                <w:p w14:paraId="72075422">
                  <w:pPr>
                    <w:autoSpaceDE w:val="0"/>
                    <w:autoSpaceDN w:val="0"/>
                    <w:adjustRightInd w:val="0"/>
                    <w:snapToGrid w:val="0"/>
                    <w:jc w:val="center"/>
                    <w:rPr>
                      <w:szCs w:val="21"/>
                    </w:rPr>
                  </w:pPr>
                  <w:r>
                    <w:rPr>
                      <w:szCs w:val="21"/>
                    </w:rPr>
                    <w:t>本项目</w:t>
                  </w:r>
                  <w:r>
                    <w:rPr>
                      <w:rFonts w:hint="eastAsia"/>
                      <w:szCs w:val="21"/>
                    </w:rPr>
                    <w:t>生活污水、普通门诊废水、口腔科废水、病房废水、检验废水经化粪池预处理后，与浓水、保洁废水一同进入医院自建污水处理站处理达标后，接管进入潘集区芦集镇再生水厂进一步处理</w:t>
                  </w:r>
                  <w:r>
                    <w:rPr>
                      <w:rFonts w:hint="eastAsia"/>
                      <w:szCs w:val="21"/>
                      <w:lang w:eastAsia="zh-CN"/>
                    </w:rPr>
                    <w:t>。潘集区芦集镇再生水厂</w:t>
                  </w:r>
                  <w:r>
                    <w:rPr>
                      <w:szCs w:val="21"/>
                    </w:rPr>
                    <w:t>处理达到《城镇污水处理厂污染物排放标准》（GB18918-2002）一级A标准的要求后排入</w:t>
                  </w:r>
                  <w:r>
                    <w:rPr>
                      <w:rFonts w:hint="eastAsia"/>
                      <w:szCs w:val="21"/>
                      <w:lang w:val="en-US" w:eastAsia="zh-CN"/>
                    </w:rPr>
                    <w:t>泥河</w:t>
                  </w:r>
                  <w:r>
                    <w:rPr>
                      <w:szCs w:val="21"/>
                    </w:rPr>
                    <w:t>。</w:t>
                  </w:r>
                </w:p>
              </w:tc>
              <w:tc>
                <w:tcPr>
                  <w:tcW w:w="544" w:type="pct"/>
                  <w:vMerge w:val="continue"/>
                  <w:noWrap w:val="0"/>
                  <w:vAlign w:val="center"/>
                </w:tcPr>
                <w:p w14:paraId="7D070612">
                  <w:pPr>
                    <w:autoSpaceDE w:val="0"/>
                    <w:autoSpaceDN w:val="0"/>
                    <w:adjustRightInd w:val="0"/>
                    <w:snapToGrid w:val="0"/>
                    <w:jc w:val="center"/>
                    <w:rPr>
                      <w:szCs w:val="21"/>
                    </w:rPr>
                  </w:pPr>
                </w:p>
              </w:tc>
            </w:tr>
            <w:tr w14:paraId="3AE564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3" w:type="pct"/>
                  <w:noWrap w:val="0"/>
                  <w:vAlign w:val="center"/>
                </w:tcPr>
                <w:p w14:paraId="4D349797">
                  <w:pPr>
                    <w:widowControl/>
                    <w:adjustRightInd w:val="0"/>
                    <w:snapToGrid w:val="0"/>
                    <w:jc w:val="left"/>
                    <w:rPr>
                      <w:szCs w:val="21"/>
                    </w:rPr>
                  </w:pPr>
                  <w:r>
                    <w:rPr>
                      <w:rFonts w:hint="eastAsia"/>
                      <w:szCs w:val="21"/>
                      <w:lang w:val="en-US" w:eastAsia="zh-CN"/>
                    </w:rPr>
                    <w:t>《医院污水处理工程技术规范》</w:t>
                  </w:r>
                </w:p>
              </w:tc>
              <w:tc>
                <w:tcPr>
                  <w:tcW w:w="2297" w:type="pct"/>
                  <w:noWrap w:val="0"/>
                  <w:vAlign w:val="center"/>
                </w:tcPr>
                <w:p w14:paraId="0FAFDECF">
                  <w:pPr>
                    <w:widowControl w:val="0"/>
                    <w:adjustRightInd w:val="0"/>
                    <w:snapToGrid w:val="0"/>
                    <w:spacing w:line="240" w:lineRule="auto"/>
                    <w:jc w:val="left"/>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6工艺设计</w:t>
                  </w:r>
                </w:p>
                <w:p w14:paraId="1ED6FC4B">
                  <w:pPr>
                    <w:widowControl w:val="0"/>
                    <w:adjustRightInd w:val="0"/>
                    <w:snapToGrid w:val="0"/>
                    <w:spacing w:line="240" w:lineRule="auto"/>
                    <w:jc w:val="left"/>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6.1一般规定</w:t>
                  </w:r>
                </w:p>
                <w:p w14:paraId="22BD29A6">
                  <w:pPr>
                    <w:widowControl w:val="0"/>
                    <w:adjustRightInd w:val="0"/>
                    <w:snapToGrid w:val="0"/>
                    <w:spacing w:line="240" w:lineRule="auto"/>
                    <w:jc w:val="left"/>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6.1.1特殊性质污水应经预处理后进入医院污水处理系统。</w:t>
                  </w:r>
                </w:p>
                <w:p w14:paraId="72F451E9">
                  <w:pPr>
                    <w:widowControl w:val="0"/>
                    <w:adjustRightInd w:val="0"/>
                    <w:snapToGrid w:val="0"/>
                    <w:spacing w:line="240" w:lineRule="auto"/>
                    <w:jc w:val="left"/>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6.1.3非传染病医院污水，若处理出水直接或间接排入地表水体或海域时，应采用二级处理+消毒工艺或二级处理+深度处理+消毒工艺</w:t>
                  </w:r>
                  <w:r>
                    <w:rPr>
                      <w:rFonts w:hint="eastAsia" w:cs="Times New Roman"/>
                      <w:color w:val="auto"/>
                      <w:kern w:val="2"/>
                      <w:sz w:val="21"/>
                      <w:szCs w:val="21"/>
                      <w:lang w:val="en-US" w:eastAsia="zh-CN" w:bidi="ar-SA"/>
                    </w:rPr>
                    <w:t>；</w:t>
                  </w:r>
                  <w:r>
                    <w:rPr>
                      <w:rFonts w:hint="eastAsia" w:ascii="Times New Roman" w:hAnsi="Times New Roman" w:eastAsia="宋体" w:cs="Times New Roman"/>
                      <w:color w:val="auto"/>
                      <w:kern w:val="2"/>
                      <w:sz w:val="21"/>
                      <w:szCs w:val="21"/>
                      <w:lang w:val="en-US" w:eastAsia="zh-CN" w:bidi="ar-SA"/>
                    </w:rPr>
                    <w:t>若处理出水排入终端已建有正常运行的二级污水处理厂的城市污水管网时，可采用一级强化处理+消毒工艺。</w:t>
                  </w:r>
                </w:p>
                <w:p w14:paraId="6FCC92F4">
                  <w:pPr>
                    <w:widowControl w:val="0"/>
                    <w:adjustRightInd w:val="0"/>
                    <w:snapToGrid w:val="0"/>
                    <w:spacing w:line="240" w:lineRule="auto"/>
                    <w:jc w:val="left"/>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6.3.5污泥处理处置</w:t>
                  </w:r>
                </w:p>
                <w:p w14:paraId="521EE66E">
                  <w:pPr>
                    <w:widowControl w:val="0"/>
                    <w:adjustRightInd w:val="0"/>
                    <w:snapToGrid w:val="0"/>
                    <w:spacing w:line="240" w:lineRule="auto"/>
                    <w:jc w:val="left"/>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6.3.5.1污泥消毒</w:t>
                  </w:r>
                </w:p>
                <w:p w14:paraId="41E462BA">
                  <w:pPr>
                    <w:widowControl w:val="0"/>
                    <w:adjustRightInd w:val="0"/>
                    <w:snapToGrid w:val="0"/>
                    <w:spacing w:line="240" w:lineRule="auto"/>
                    <w:jc w:val="left"/>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a污泥在贮泥池中进行消毒</w:t>
                  </w:r>
                  <w:r>
                    <w:rPr>
                      <w:rFonts w:hint="eastAsia" w:cs="Times New Roman"/>
                      <w:color w:val="auto"/>
                      <w:kern w:val="2"/>
                      <w:sz w:val="21"/>
                      <w:szCs w:val="21"/>
                      <w:lang w:val="en-US" w:eastAsia="zh-CN" w:bidi="ar-SA"/>
                    </w:rPr>
                    <w:t>，</w:t>
                  </w:r>
                  <w:r>
                    <w:rPr>
                      <w:rFonts w:hint="eastAsia" w:ascii="Times New Roman" w:hAnsi="Times New Roman" w:eastAsia="宋体" w:cs="Times New Roman"/>
                      <w:color w:val="auto"/>
                      <w:kern w:val="2"/>
                      <w:sz w:val="21"/>
                      <w:szCs w:val="21"/>
                      <w:lang w:val="en-US" w:eastAsia="zh-CN" w:bidi="ar-SA"/>
                    </w:rPr>
                    <w:t>贮泥池有效容积应不小于处理系统24h产泥量</w:t>
                  </w:r>
                  <w:r>
                    <w:rPr>
                      <w:rFonts w:hint="eastAsia" w:cs="Times New Roman"/>
                      <w:color w:val="auto"/>
                      <w:kern w:val="2"/>
                      <w:sz w:val="21"/>
                      <w:szCs w:val="21"/>
                      <w:lang w:val="en-US" w:eastAsia="zh-CN" w:bidi="ar-SA"/>
                    </w:rPr>
                    <w:t>，</w:t>
                  </w:r>
                  <w:r>
                    <w:rPr>
                      <w:rFonts w:hint="eastAsia" w:ascii="Times New Roman" w:hAnsi="Times New Roman" w:eastAsia="宋体" w:cs="Times New Roman"/>
                      <w:color w:val="auto"/>
                      <w:kern w:val="2"/>
                      <w:sz w:val="21"/>
                      <w:szCs w:val="21"/>
                      <w:lang w:val="en-US" w:eastAsia="zh-CN" w:bidi="ar-SA"/>
                    </w:rPr>
                    <w:t>且不宜小于1m</w:t>
                  </w:r>
                  <w:r>
                    <w:rPr>
                      <w:rFonts w:hint="eastAsia" w:ascii="Times New Roman" w:hAnsi="Times New Roman" w:eastAsia="宋体" w:cs="Times New Roman"/>
                      <w:color w:val="auto"/>
                      <w:kern w:val="2"/>
                      <w:sz w:val="21"/>
                      <w:szCs w:val="21"/>
                      <w:vertAlign w:val="superscript"/>
                      <w:lang w:val="en-US" w:eastAsia="zh-CN" w:bidi="ar-SA"/>
                    </w:rPr>
                    <w:t>3</w:t>
                  </w:r>
                  <w:r>
                    <w:rPr>
                      <w:rFonts w:hint="eastAsia" w:ascii="Times New Roman" w:hAnsi="Times New Roman" w:eastAsia="宋体" w:cs="Times New Roman"/>
                      <w:color w:val="auto"/>
                      <w:kern w:val="2"/>
                      <w:sz w:val="21"/>
                      <w:szCs w:val="21"/>
                      <w:lang w:val="en-US" w:eastAsia="zh-CN" w:bidi="ar-SA"/>
                    </w:rPr>
                    <w:t>。贮泥池内需采取搅拌措施，以利于污泥加药消毒。</w:t>
                  </w:r>
                </w:p>
                <w:p w14:paraId="4ACF7CCA">
                  <w:pPr>
                    <w:widowControl w:val="0"/>
                    <w:adjustRightInd w:val="0"/>
                    <w:snapToGrid w:val="0"/>
                    <w:spacing w:line="240" w:lineRule="auto"/>
                    <w:jc w:val="left"/>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6.3.4消毒</w:t>
                  </w:r>
                </w:p>
                <w:p w14:paraId="39973DEE">
                  <w:pPr>
                    <w:widowControl w:val="0"/>
                    <w:adjustRightInd w:val="0"/>
                    <w:snapToGrid w:val="0"/>
                    <w:spacing w:line="240" w:lineRule="auto"/>
                    <w:jc w:val="left"/>
                    <w:rPr>
                      <w:color w:val="auto"/>
                      <w:szCs w:val="21"/>
                    </w:rPr>
                  </w:pPr>
                  <w:r>
                    <w:rPr>
                      <w:rFonts w:hint="eastAsia" w:ascii="Times New Roman" w:hAnsi="Times New Roman" w:eastAsia="宋体" w:cs="Times New Roman"/>
                      <w:color w:val="auto"/>
                      <w:kern w:val="2"/>
                      <w:sz w:val="21"/>
                      <w:szCs w:val="21"/>
                      <w:lang w:val="en-US" w:eastAsia="zh-CN" w:bidi="ar-SA"/>
                    </w:rPr>
                    <w:t>医院污水消毒可采用的消毒方法有液氯消毒、二氧化氯消毒、次氯酸钠消毒、臭氧消毒和紫外线消毒。</w:t>
                  </w:r>
                </w:p>
              </w:tc>
              <w:tc>
                <w:tcPr>
                  <w:tcW w:w="1644" w:type="pct"/>
                  <w:noWrap w:val="0"/>
                  <w:vAlign w:val="center"/>
                </w:tcPr>
                <w:p w14:paraId="7304AB27">
                  <w:pPr>
                    <w:autoSpaceDE w:val="0"/>
                    <w:autoSpaceDN w:val="0"/>
                    <w:adjustRightInd w:val="0"/>
                    <w:snapToGrid w:val="0"/>
                    <w:rPr>
                      <w:rFonts w:hint="default" w:eastAsia="宋体"/>
                      <w:color w:val="auto"/>
                      <w:szCs w:val="21"/>
                      <w:lang w:val="en-US" w:eastAsia="zh-CN"/>
                    </w:rPr>
                  </w:pPr>
                  <w:r>
                    <w:rPr>
                      <w:color w:val="auto"/>
                      <w:szCs w:val="21"/>
                    </w:rPr>
                    <w:t>本项目</w:t>
                  </w:r>
                  <w:r>
                    <w:rPr>
                      <w:rFonts w:hint="eastAsia" w:ascii="宋体" w:hAnsi="宋体" w:cs="宋体"/>
                      <w:color w:val="auto"/>
                      <w:szCs w:val="21"/>
                    </w:rPr>
                    <w:t>生活污水</w:t>
                  </w:r>
                  <w:r>
                    <w:rPr>
                      <w:rFonts w:hint="eastAsia" w:ascii="宋体" w:hAnsi="宋体" w:cs="宋体"/>
                      <w:color w:val="auto"/>
                      <w:szCs w:val="21"/>
                      <w:lang w:eastAsia="zh-CN"/>
                    </w:rPr>
                    <w:t>、</w:t>
                  </w:r>
                  <w:r>
                    <w:rPr>
                      <w:rFonts w:hint="eastAsia" w:ascii="宋体" w:hAnsi="宋体" w:cs="宋体"/>
                      <w:color w:val="auto"/>
                      <w:szCs w:val="21"/>
                      <w:lang w:val="en-US" w:eastAsia="zh-CN"/>
                    </w:rPr>
                    <w:t>普通</w:t>
                  </w:r>
                  <w:r>
                    <w:rPr>
                      <w:rFonts w:hint="eastAsia" w:ascii="宋体" w:hAnsi="宋体" w:cs="宋体"/>
                      <w:color w:val="auto"/>
                      <w:szCs w:val="21"/>
                      <w:lang w:eastAsia="zh-CN"/>
                    </w:rPr>
                    <w:t>门诊废水、</w:t>
                  </w:r>
                  <w:r>
                    <w:rPr>
                      <w:rFonts w:hint="eastAsia" w:ascii="宋体" w:hAnsi="宋体" w:cs="宋体"/>
                      <w:color w:val="auto"/>
                      <w:szCs w:val="21"/>
                      <w:lang w:val="en-US" w:eastAsia="zh-CN"/>
                    </w:rPr>
                    <w:t>口腔科废水、</w:t>
                  </w:r>
                  <w:r>
                    <w:rPr>
                      <w:rFonts w:hint="eastAsia" w:ascii="宋体" w:hAnsi="宋体" w:cs="宋体"/>
                      <w:color w:val="auto"/>
                      <w:szCs w:val="21"/>
                      <w:lang w:eastAsia="zh-CN"/>
                    </w:rPr>
                    <w:t>病房废水、检验废水</w:t>
                  </w:r>
                  <w:r>
                    <w:rPr>
                      <w:rFonts w:hint="eastAsia"/>
                      <w:color w:val="auto"/>
                      <w:sz w:val="21"/>
                      <w:szCs w:val="21"/>
                      <w:lang w:eastAsia="zh-CN"/>
                    </w:rPr>
                    <w:t>经化粪池预处理后，与</w:t>
                  </w:r>
                  <w:r>
                    <w:rPr>
                      <w:rFonts w:hint="eastAsia"/>
                      <w:color w:val="auto"/>
                      <w:sz w:val="21"/>
                      <w:szCs w:val="21"/>
                      <w:lang w:val="en-US" w:eastAsia="zh-CN"/>
                    </w:rPr>
                    <w:t>浓水、</w:t>
                  </w:r>
                  <w:r>
                    <w:rPr>
                      <w:rFonts w:hint="eastAsia"/>
                      <w:color w:val="auto"/>
                      <w:sz w:val="21"/>
                      <w:szCs w:val="21"/>
                      <w:lang w:eastAsia="zh-CN"/>
                    </w:rPr>
                    <w:t>保洁废水一同进入医院自建污水处理站处理达标后，</w:t>
                  </w:r>
                  <w:r>
                    <w:rPr>
                      <w:color w:val="auto"/>
                      <w:szCs w:val="21"/>
                    </w:rPr>
                    <w:t>接管至污水管网，纳入</w:t>
                  </w:r>
                  <w:r>
                    <w:rPr>
                      <w:rFonts w:hint="eastAsia"/>
                      <w:color w:val="auto"/>
                      <w:szCs w:val="21"/>
                      <w:lang w:eastAsia="zh-CN"/>
                    </w:rPr>
                    <w:t>潘集区芦集镇再生水厂</w:t>
                  </w:r>
                  <w:r>
                    <w:rPr>
                      <w:color w:val="auto"/>
                      <w:szCs w:val="21"/>
                    </w:rPr>
                    <w:t>处理达到《城镇污水处理厂污染物排放标准》（GB18918-2002）一级A标准的要求后排入</w:t>
                  </w:r>
                  <w:r>
                    <w:rPr>
                      <w:rFonts w:hint="eastAsia"/>
                      <w:color w:val="auto"/>
                      <w:szCs w:val="21"/>
                      <w:lang w:val="en-US" w:eastAsia="zh-CN"/>
                    </w:rPr>
                    <w:t>泥河</w:t>
                  </w:r>
                  <w:r>
                    <w:rPr>
                      <w:rFonts w:hint="eastAsia"/>
                      <w:color w:val="auto"/>
                      <w:szCs w:val="21"/>
                      <w:lang w:eastAsia="zh-CN"/>
                    </w:rPr>
                    <w:t>；</w:t>
                  </w:r>
                  <w:r>
                    <w:rPr>
                      <w:rFonts w:hint="eastAsia"/>
                      <w:color w:val="auto"/>
                      <w:szCs w:val="21"/>
                      <w:lang w:val="en-US" w:eastAsia="zh-CN"/>
                    </w:rPr>
                    <w:t>本项目使用二氧化氯消毒。医院污水处理站采用“一级强化处理+消毒”工艺，处理规模为65t/d。</w:t>
                  </w:r>
                </w:p>
              </w:tc>
              <w:tc>
                <w:tcPr>
                  <w:tcW w:w="544" w:type="pct"/>
                  <w:noWrap w:val="0"/>
                  <w:vAlign w:val="center"/>
                </w:tcPr>
                <w:p w14:paraId="675D71A9">
                  <w:pPr>
                    <w:autoSpaceDE w:val="0"/>
                    <w:autoSpaceDN w:val="0"/>
                    <w:adjustRightInd w:val="0"/>
                    <w:snapToGrid w:val="0"/>
                    <w:jc w:val="center"/>
                    <w:rPr>
                      <w:rFonts w:hint="eastAsia" w:eastAsia="宋体"/>
                      <w:szCs w:val="21"/>
                      <w:lang w:val="en-US" w:eastAsia="zh-CN"/>
                    </w:rPr>
                  </w:pPr>
                  <w:r>
                    <w:rPr>
                      <w:rFonts w:hint="eastAsia"/>
                      <w:szCs w:val="21"/>
                      <w:lang w:val="en-US" w:eastAsia="zh-CN"/>
                    </w:rPr>
                    <w:t>符合</w:t>
                  </w:r>
                </w:p>
              </w:tc>
            </w:tr>
          </w:tbl>
          <w:p w14:paraId="0B992798">
            <w:pPr>
              <w:pStyle w:val="19"/>
              <w:ind w:firstLine="0"/>
              <w:jc w:val="center"/>
              <w:rPr>
                <w:rFonts w:hint="eastAsia" w:ascii="Times New Roman"/>
                <w:b/>
                <w:bCs/>
                <w:color w:val="auto"/>
                <w:sz w:val="21"/>
                <w:szCs w:val="21"/>
              </w:rPr>
            </w:pPr>
          </w:p>
          <w:p w14:paraId="678223EC">
            <w:pPr>
              <w:pStyle w:val="19"/>
              <w:ind w:firstLine="0"/>
              <w:jc w:val="left"/>
              <w:rPr>
                <w:rFonts w:ascii="Times New Roman"/>
                <w:color w:val="auto"/>
                <w:sz w:val="21"/>
                <w:szCs w:val="21"/>
              </w:rPr>
            </w:pPr>
          </w:p>
        </w:tc>
      </w:tr>
    </w:tbl>
    <w:p w14:paraId="59C45419">
      <w:pPr>
        <w:pStyle w:val="13"/>
        <w:jc w:val="center"/>
        <w:outlineLvl w:val="0"/>
        <w:rPr>
          <w:rFonts w:hint="eastAsia" w:ascii="黑体" w:hAnsi="黑体" w:eastAsia="黑体"/>
          <w:snapToGrid w:val="0"/>
          <w:sz w:val="30"/>
          <w:szCs w:val="30"/>
        </w:rPr>
      </w:pPr>
      <w:r>
        <w:rPr>
          <w:rFonts w:hint="eastAsia" w:ascii="黑体" w:hAnsi="黑体" w:eastAsia="黑体"/>
          <w:snapToGrid w:val="0"/>
          <w:sz w:val="30"/>
          <w:szCs w:val="30"/>
        </w:rPr>
        <w:t>二、建设项目工程分析</w:t>
      </w:r>
    </w:p>
    <w:tbl>
      <w:tblPr>
        <w:tblStyle w:val="14"/>
        <w:tblW w:w="9060"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619"/>
        <w:gridCol w:w="8441"/>
      </w:tblGrid>
      <w:tr w14:paraId="31ABE3E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19" w:type="dxa"/>
            <w:noWrap w:val="0"/>
            <w:vAlign w:val="center"/>
          </w:tcPr>
          <w:p w14:paraId="7318056F">
            <w:pPr>
              <w:pStyle w:val="13"/>
              <w:adjustRightInd w:val="0"/>
              <w:snapToGrid w:val="0"/>
              <w:spacing w:before="0" w:beforeAutospacing="0" w:after="0" w:afterAutospacing="0"/>
              <w:jc w:val="center"/>
              <w:rPr>
                <w:rFonts w:ascii="Times New Roman" w:hAnsi="Times New Roman"/>
                <w:sz w:val="21"/>
                <w:szCs w:val="21"/>
              </w:rPr>
            </w:pPr>
            <w:r>
              <w:rPr>
                <w:rFonts w:hint="eastAsia" w:ascii="Times New Roman" w:hAnsi="Times New Roman"/>
                <w:sz w:val="21"/>
                <w:szCs w:val="21"/>
              </w:rPr>
              <w:t>建</w:t>
            </w:r>
            <w:r>
              <w:rPr>
                <w:rFonts w:ascii="Times New Roman" w:hAnsi="Times New Roman"/>
                <w:sz w:val="21"/>
                <w:szCs w:val="21"/>
              </w:rPr>
              <w:t>设内容</w:t>
            </w:r>
          </w:p>
        </w:tc>
        <w:tc>
          <w:tcPr>
            <w:tcW w:w="8441" w:type="dxa"/>
            <w:noWrap w:val="0"/>
            <w:vAlign w:val="top"/>
          </w:tcPr>
          <w:p w14:paraId="4B47090C">
            <w:pPr>
              <w:pStyle w:val="7"/>
              <w:widowControl w:val="0"/>
              <w:snapToGrid/>
              <w:spacing w:before="0" w:after="0" w:line="360" w:lineRule="auto"/>
              <w:ind w:right="0" w:firstLine="482" w:firstLineChars="200"/>
              <w:textAlignment w:val="baseline"/>
              <w:rPr>
                <w:color w:val="auto"/>
                <w:sz w:val="24"/>
              </w:rPr>
            </w:pPr>
            <w:r>
              <w:rPr>
                <w:rFonts w:hint="eastAsia"/>
                <w:b/>
                <w:bCs/>
                <w:color w:val="auto"/>
                <w:sz w:val="24"/>
                <w:lang w:eastAsia="zh-CN"/>
              </w:rPr>
              <w:t>1.</w:t>
            </w:r>
            <w:r>
              <w:rPr>
                <w:rFonts w:hint="eastAsia"/>
                <w:b/>
                <w:bCs/>
                <w:color w:val="auto"/>
                <w:sz w:val="24"/>
              </w:rPr>
              <w:t>项目由来</w:t>
            </w:r>
          </w:p>
          <w:p w14:paraId="04D355AB">
            <w:pPr>
              <w:pStyle w:val="2"/>
              <w:spacing w:line="360" w:lineRule="auto"/>
              <w:ind w:left="0" w:leftChars="0" w:firstLine="480" w:firstLineChars="200"/>
              <w:rPr>
                <w:rFonts w:hint="default" w:eastAsia="宋体"/>
                <w:sz w:val="24"/>
                <w:lang w:val="en-US" w:eastAsia="zh-CN"/>
              </w:rPr>
            </w:pPr>
            <w:r>
              <w:rPr>
                <w:rFonts w:ascii="Segoe UI" w:hAnsi="Segoe UI" w:eastAsia="Segoe UI" w:cs="Segoe UI"/>
                <w:i w:val="0"/>
                <w:iCs w:val="0"/>
                <w:caps w:val="0"/>
                <w:color w:val="auto"/>
                <w:spacing w:val="0"/>
                <w:sz w:val="24"/>
                <w:szCs w:val="24"/>
                <w:shd w:val="clear" w:color="auto" w:fill="FFFFFF"/>
              </w:rPr>
              <w:t>淮南东方医院集团肿瘤医院分院项目拟利用原淮南东方医院集团潘三医院原址进行改造建设。原潘三医院院内设有</w:t>
            </w:r>
            <w:r>
              <w:rPr>
                <w:rFonts w:hint="eastAsia" w:ascii="Segoe UI" w:hAnsi="Segoe UI" w:eastAsia="宋体" w:cs="Segoe UI"/>
                <w:i w:val="0"/>
                <w:iCs w:val="0"/>
                <w:caps w:val="0"/>
                <w:color w:val="auto"/>
                <w:spacing w:val="0"/>
                <w:sz w:val="24"/>
                <w:szCs w:val="24"/>
                <w:shd w:val="clear" w:color="auto" w:fill="FFFFFF"/>
                <w:lang w:val="en-US" w:eastAsia="zh-CN"/>
              </w:rPr>
              <w:t>门诊</w:t>
            </w:r>
            <w:r>
              <w:rPr>
                <w:rFonts w:ascii="Segoe UI" w:hAnsi="Segoe UI" w:eastAsia="Segoe UI" w:cs="Segoe UI"/>
                <w:i w:val="0"/>
                <w:iCs w:val="0"/>
                <w:caps w:val="0"/>
                <w:color w:val="auto"/>
                <w:spacing w:val="0"/>
                <w:sz w:val="24"/>
                <w:szCs w:val="24"/>
                <w:shd w:val="clear" w:color="auto" w:fill="FFFFFF"/>
              </w:rPr>
              <w:t>楼1栋</w:t>
            </w:r>
            <w:r>
              <w:rPr>
                <w:rFonts w:ascii="Segoe UI" w:hAnsi="Segoe UI" w:eastAsia="Segoe UI" w:cs="Segoe UI"/>
                <w:i w:val="0"/>
                <w:iCs w:val="0"/>
                <w:caps w:val="0"/>
                <w:color w:val="0F1115"/>
                <w:spacing w:val="0"/>
                <w:sz w:val="24"/>
                <w:szCs w:val="24"/>
                <w:shd w:val="clear" w:color="auto" w:fill="FFFFFF"/>
              </w:rPr>
              <w:t>、住院部1栋，本项目建成后，上述原有构筑物均保持现状、不</w:t>
            </w:r>
            <w:r>
              <w:rPr>
                <w:rFonts w:hint="eastAsia" w:ascii="Segoe UI" w:hAnsi="Segoe UI" w:eastAsia="宋体" w:cs="Segoe UI"/>
                <w:i w:val="0"/>
                <w:iCs w:val="0"/>
                <w:caps w:val="0"/>
                <w:color w:val="0F1115"/>
                <w:spacing w:val="0"/>
                <w:sz w:val="24"/>
                <w:szCs w:val="24"/>
                <w:shd w:val="clear" w:color="auto" w:fill="FFFFFF"/>
                <w:lang w:eastAsia="zh-CN"/>
              </w:rPr>
              <w:t>作改动</w:t>
            </w:r>
            <w:r>
              <w:rPr>
                <w:rFonts w:ascii="Segoe UI" w:hAnsi="Segoe UI" w:eastAsia="Segoe UI" w:cs="Segoe UI"/>
                <w:i w:val="0"/>
                <w:iCs w:val="0"/>
                <w:caps w:val="0"/>
                <w:color w:val="0F1115"/>
                <w:spacing w:val="0"/>
                <w:sz w:val="24"/>
                <w:szCs w:val="24"/>
                <w:shd w:val="clear" w:color="auto" w:fill="FFFFFF"/>
              </w:rPr>
              <w:t>，项目主要在现有医疗建筑基础上进行改造和功能调整</w:t>
            </w:r>
            <w:r>
              <w:rPr>
                <w:rFonts w:hint="default" w:eastAsia="宋体"/>
                <w:sz w:val="24"/>
                <w:lang w:val="en-US" w:eastAsia="zh-CN"/>
              </w:rPr>
              <w:t>。潘三医院始建于1992年5月，位于淮南市潘集区芦集镇境内，占地面积</w:t>
            </w:r>
            <w:r>
              <w:rPr>
                <w:rFonts w:hint="eastAsia"/>
                <w:sz w:val="24"/>
                <w:lang w:val="en-US" w:eastAsia="zh-CN"/>
              </w:rPr>
              <w:t>约</w:t>
            </w:r>
            <w:r>
              <w:rPr>
                <w:rFonts w:hint="default" w:eastAsia="宋体"/>
                <w:sz w:val="24"/>
                <w:lang w:val="en-US" w:eastAsia="zh-CN"/>
              </w:rPr>
              <w:t>1.7</w:t>
            </w:r>
            <w:r>
              <w:rPr>
                <w:rFonts w:hint="eastAsia"/>
                <w:sz w:val="24"/>
                <w:lang w:val="en-US" w:eastAsia="zh-CN"/>
              </w:rPr>
              <w:t>3</w:t>
            </w:r>
            <w:r>
              <w:rPr>
                <w:rFonts w:hint="default" w:eastAsia="宋体"/>
                <w:sz w:val="24"/>
                <w:lang w:val="en-US" w:eastAsia="zh-CN"/>
              </w:rPr>
              <w:t>万平方米，设置床位105张，自2024年12月起停业。该项目将依托潘三医院现有医疗建筑和主体结构实施改造，院内主要建筑包括门诊大楼、住院楼等。</w:t>
            </w:r>
          </w:p>
          <w:p w14:paraId="0FE9C47A">
            <w:pPr>
              <w:pStyle w:val="2"/>
              <w:spacing w:line="360" w:lineRule="auto"/>
              <w:ind w:left="0" w:leftChars="0" w:firstLine="480" w:firstLineChars="200"/>
              <w:rPr>
                <w:rFonts w:hint="default" w:eastAsia="宋体"/>
                <w:sz w:val="24"/>
                <w:lang w:val="en-US" w:eastAsia="zh-CN"/>
              </w:rPr>
            </w:pPr>
            <w:r>
              <w:rPr>
                <w:rFonts w:hint="default" w:eastAsia="宋体"/>
                <w:sz w:val="24"/>
                <w:lang w:val="en-US" w:eastAsia="zh-CN"/>
              </w:rPr>
              <w:t>项目拟建设科室包括：精神科（精神病专业、精神卫生专业）；内科（呼吸内科专业、神经内科专业、心血管内科专业）；外科（普通外科专业、神经外科专业、骨科专业、泌尿外科专业）；妇产科；儿科；眼科；耳鼻咽喉科；口腔科；皮肤科；急诊医学科；麻醉科；医学检验科；医学影像科（CT诊断专业、心电诊断专业）；中医科（理疗科）</w:t>
            </w:r>
            <w:r>
              <w:rPr>
                <w:rFonts w:hint="default" w:eastAsia="宋体"/>
                <w:sz w:val="24"/>
                <w:highlight w:val="none"/>
                <w:lang w:val="en-US" w:eastAsia="zh-CN"/>
              </w:rPr>
              <w:t>。</w:t>
            </w:r>
            <w:r>
              <w:rPr>
                <w:rFonts w:hint="eastAsia"/>
                <w:sz w:val="24"/>
                <w:highlight w:val="none"/>
                <w:lang w:val="en-US" w:eastAsia="zh-CN"/>
              </w:rPr>
              <w:t>拟设</w:t>
            </w:r>
            <w:r>
              <w:rPr>
                <w:rFonts w:hint="eastAsia"/>
                <w:sz w:val="24"/>
                <w:lang w:val="en-US" w:eastAsia="zh-CN"/>
              </w:rPr>
              <w:t>置床位220张。</w:t>
            </w:r>
          </w:p>
          <w:p w14:paraId="3B9F6FA3">
            <w:pPr>
              <w:pStyle w:val="2"/>
              <w:spacing w:line="360" w:lineRule="auto"/>
              <w:ind w:left="0" w:leftChars="0" w:firstLine="480" w:firstLineChars="200"/>
              <w:rPr>
                <w:rFonts w:hint="default" w:eastAsia="宋体"/>
                <w:sz w:val="24"/>
                <w:lang w:val="en-US" w:eastAsia="zh-CN"/>
              </w:rPr>
            </w:pPr>
            <w:r>
              <w:rPr>
                <w:rFonts w:hint="default" w:ascii="Times New Roman" w:hAnsi="Times New Roman" w:eastAsia="Segoe UI" w:cs="Times New Roman"/>
                <w:b w:val="0"/>
                <w:bCs w:val="0"/>
                <w:i w:val="0"/>
                <w:iCs w:val="0"/>
                <w:caps w:val="0"/>
                <w:color w:val="auto"/>
                <w:spacing w:val="0"/>
                <w:sz w:val="24"/>
                <w:szCs w:val="24"/>
                <w:shd w:val="clear" w:fill="FFFFFF"/>
              </w:rPr>
              <w:t>淮南东方医院集团肿瘤医院是一家位于淮南市大通区的三级肿瘤专科医院，前身是始建于1937年的淮南第一矿工医院</w:t>
            </w:r>
            <w:r>
              <w:rPr>
                <w:rFonts w:hint="default" w:ascii="Times New Roman" w:hAnsi="Times New Roman" w:eastAsia="宋体" w:cs="Times New Roman"/>
                <w:b w:val="0"/>
                <w:bCs w:val="0"/>
                <w:i w:val="0"/>
                <w:iCs w:val="0"/>
                <w:caps w:val="0"/>
                <w:color w:val="auto"/>
                <w:spacing w:val="0"/>
                <w:sz w:val="24"/>
                <w:szCs w:val="24"/>
                <w:shd w:val="clear" w:fill="FFFFFF"/>
                <w:lang w:eastAsia="zh-CN"/>
              </w:rPr>
              <w:t>，</w:t>
            </w:r>
            <w:r>
              <w:rPr>
                <w:rFonts w:hint="default" w:ascii="Times New Roman" w:hAnsi="Times New Roman" w:eastAsia="宋体" w:cs="Times New Roman"/>
                <w:b w:val="0"/>
                <w:bCs w:val="0"/>
                <w:color w:val="auto"/>
                <w:sz w:val="24"/>
                <w:lang w:val="en-US" w:eastAsia="zh-CN"/>
              </w:rPr>
              <w:t>位于淮南市大通区九龙岗镇大通南路，</w:t>
            </w:r>
            <w:r>
              <w:rPr>
                <w:rFonts w:hint="default" w:ascii="Times New Roman" w:hAnsi="Times New Roman" w:eastAsia="Segoe UI" w:cs="Times New Roman"/>
                <w:b w:val="0"/>
                <w:bCs w:val="0"/>
                <w:i w:val="0"/>
                <w:iCs w:val="0"/>
                <w:caps w:val="0"/>
                <w:color w:val="auto"/>
                <w:spacing w:val="0"/>
                <w:sz w:val="24"/>
                <w:szCs w:val="24"/>
                <w:shd w:val="clear" w:fill="FFFFFF"/>
              </w:rPr>
              <w:t>根据附件6《医疗机构执业许可证》（发证日期：2026年4月27日），淮南东方医院集团肿瘤医院经淮南市卫生健康委员会核准登记，登记类别为非营利性（非政府办）医院，批准床位440张。</w:t>
            </w:r>
            <w:r>
              <w:rPr>
                <w:rFonts w:hint="default" w:ascii="Times New Roman" w:hAnsi="Times New Roman" w:eastAsia="宋体" w:cs="Times New Roman"/>
                <w:b w:val="0"/>
                <w:bCs w:val="0"/>
                <w:color w:val="auto"/>
                <w:sz w:val="24"/>
                <w:lang w:val="en-US" w:eastAsia="zh-CN"/>
              </w:rPr>
              <w:t>诊</w:t>
            </w:r>
            <w:r>
              <w:rPr>
                <w:rFonts w:hint="default" w:eastAsia="宋体"/>
                <w:sz w:val="24"/>
                <w:lang w:val="en-US" w:eastAsia="zh-CN"/>
              </w:rPr>
              <w:t>疗科目包含：预防保健科/内科（呼吸内科专业、消化内科专业、神经内科专业、心血管内科专业、肾病学专业、内分泌专业）/外科（普通外科专业、神经外科专业、骨科专业、泌尿外科专业、胸外科专业）/妇产科（妇科专业、产科专业、计划生育专业）/精神科（精神病专业、精神卫生专业）/结核病科/肿瘤科/急诊医学科/麻醉科/重症医学科/医学检验科（临床体液、血液专业；临床微生物学专业；临床化学检验专业；临床免疫、血清学专业；临床细胞分子遗传学专业）/病理科/医学影像科（X线诊断专业、CT诊断专业、磁共振成像诊断专业、超声诊断专业、心电诊断专业、介入放射学专业、放射治疗专业）/中医科（内科专业）/中西医结合科。</w:t>
            </w:r>
          </w:p>
          <w:p w14:paraId="02076DE4">
            <w:pPr>
              <w:pStyle w:val="7"/>
              <w:widowControl w:val="0"/>
              <w:snapToGrid/>
              <w:spacing w:before="0" w:after="0" w:line="360" w:lineRule="auto"/>
              <w:ind w:right="0" w:firstLine="480" w:firstLineChars="200"/>
              <w:textAlignment w:val="baseline"/>
              <w:rPr>
                <w:rFonts w:hint="default" w:eastAsia="宋体"/>
                <w:color w:val="auto"/>
                <w:sz w:val="24"/>
                <w:szCs w:val="24"/>
                <w:highlight w:val="none"/>
                <w:lang w:val="en-US" w:eastAsia="zh-CN"/>
              </w:rPr>
            </w:pPr>
            <w:r>
              <w:rPr>
                <w:rFonts w:hint="eastAsia"/>
                <w:color w:val="auto"/>
                <w:sz w:val="24"/>
                <w:highlight w:val="none"/>
              </w:rPr>
              <w:t>淮南东方医院集团肿瘤医院分院项目于202</w:t>
            </w:r>
            <w:r>
              <w:rPr>
                <w:rFonts w:hint="eastAsia"/>
                <w:color w:val="auto"/>
                <w:sz w:val="24"/>
                <w:highlight w:val="none"/>
                <w:lang w:val="en-US" w:eastAsia="zh-CN"/>
              </w:rPr>
              <w:t>6</w:t>
            </w:r>
            <w:r>
              <w:rPr>
                <w:rFonts w:hint="eastAsia"/>
                <w:color w:val="auto"/>
                <w:sz w:val="24"/>
                <w:highlight w:val="none"/>
              </w:rPr>
              <w:t>年</w:t>
            </w:r>
            <w:r>
              <w:rPr>
                <w:rFonts w:hint="eastAsia"/>
                <w:color w:val="auto"/>
                <w:sz w:val="24"/>
                <w:highlight w:val="none"/>
                <w:lang w:val="en-US" w:eastAsia="zh-CN"/>
              </w:rPr>
              <w:t>10</w:t>
            </w:r>
            <w:r>
              <w:rPr>
                <w:rFonts w:hint="eastAsia"/>
                <w:color w:val="auto"/>
                <w:sz w:val="24"/>
                <w:highlight w:val="none"/>
              </w:rPr>
              <w:t>月1</w:t>
            </w:r>
            <w:r>
              <w:rPr>
                <w:rFonts w:hint="eastAsia"/>
                <w:color w:val="auto"/>
                <w:sz w:val="24"/>
                <w:highlight w:val="none"/>
                <w:lang w:val="en-US" w:eastAsia="zh-CN"/>
              </w:rPr>
              <w:t>2</w:t>
            </w:r>
            <w:r>
              <w:rPr>
                <w:rFonts w:hint="eastAsia"/>
                <w:color w:val="auto"/>
                <w:sz w:val="24"/>
                <w:highlight w:val="none"/>
              </w:rPr>
              <w:t>日获得</w:t>
            </w:r>
            <w:r>
              <w:rPr>
                <w:rFonts w:hint="eastAsia"/>
                <w:color w:val="auto"/>
                <w:sz w:val="24"/>
                <w:highlight w:val="none"/>
                <w:lang w:eastAsia="zh-CN"/>
              </w:rPr>
              <w:t>淮南市潘集区发展和改革委员会</w:t>
            </w:r>
            <w:r>
              <w:rPr>
                <w:rFonts w:hint="eastAsia"/>
                <w:color w:val="auto"/>
                <w:sz w:val="24"/>
                <w:highlight w:val="none"/>
              </w:rPr>
              <w:t>的</w:t>
            </w:r>
            <w:r>
              <w:rPr>
                <w:rFonts w:hint="eastAsia"/>
                <w:color w:val="auto"/>
                <w:sz w:val="24"/>
                <w:highlight w:val="none"/>
                <w:lang w:eastAsia="zh-CN"/>
              </w:rPr>
              <w:t>备案文件，</w:t>
            </w:r>
            <w:r>
              <w:rPr>
                <w:rFonts w:hint="eastAsia"/>
                <w:color w:val="auto"/>
                <w:sz w:val="24"/>
                <w:highlight w:val="none"/>
              </w:rPr>
              <w:t>项目代码为</w:t>
            </w:r>
            <w:r>
              <w:rPr>
                <w:rFonts w:hint="eastAsia"/>
                <w:color w:val="auto"/>
                <w:sz w:val="24"/>
                <w:highlight w:val="none"/>
                <w:lang w:eastAsia="zh-CN"/>
              </w:rPr>
              <w:t>2610-340406-04-01-94485</w:t>
            </w:r>
            <w:r>
              <w:rPr>
                <w:rFonts w:hint="eastAsia"/>
                <w:color w:val="auto"/>
                <w:sz w:val="24"/>
                <w:szCs w:val="24"/>
                <w:highlight w:val="none"/>
                <w:lang w:eastAsia="zh-CN"/>
              </w:rPr>
              <w:t>5</w:t>
            </w:r>
            <w:r>
              <w:rPr>
                <w:rFonts w:hint="eastAsia"/>
                <w:color w:val="auto"/>
                <w:sz w:val="24"/>
                <w:szCs w:val="24"/>
                <w:highlight w:val="none"/>
              </w:rPr>
              <w:t>。</w:t>
            </w:r>
            <w:r>
              <w:rPr>
                <w:rFonts w:hint="eastAsia"/>
                <w:color w:val="auto"/>
                <w:sz w:val="24"/>
                <w:szCs w:val="24"/>
                <w:highlight w:val="none"/>
                <w:lang w:val="en-US" w:eastAsia="zh-CN"/>
              </w:rPr>
              <w:t>本项目为独立选址项目，</w:t>
            </w:r>
            <w:r>
              <w:rPr>
                <w:rFonts w:hint="eastAsia"/>
                <w:color w:val="auto"/>
                <w:sz w:val="24"/>
                <w:szCs w:val="24"/>
              </w:rPr>
              <w:t>与位于大通区的淮南东方医院集团肿瘤医院（总院）不属同一院区。项目拟利用原潘三医院现有建筑进行改造运营，设置床位220张，独立开展诊疗服务。</w:t>
            </w:r>
          </w:p>
          <w:p w14:paraId="2B949BDC">
            <w:pPr>
              <w:autoSpaceDE w:val="0"/>
              <w:autoSpaceDN w:val="0"/>
              <w:spacing w:line="360" w:lineRule="auto"/>
              <w:ind w:firstLine="480" w:firstLineChars="200"/>
              <w:rPr>
                <w:b/>
                <w:bCs/>
                <w:color w:val="auto"/>
                <w:szCs w:val="21"/>
                <w:highlight w:val="none"/>
              </w:rPr>
            </w:pPr>
            <w:r>
              <w:rPr>
                <w:color w:val="auto"/>
                <w:sz w:val="24"/>
                <w:highlight w:val="none"/>
              </w:rPr>
              <w:t>根据</w:t>
            </w:r>
            <w:r>
              <w:rPr>
                <w:rFonts w:hint="eastAsia"/>
                <w:color w:val="auto"/>
                <w:sz w:val="24"/>
                <w:highlight w:val="none"/>
              </w:rPr>
              <w:t>《中华人民共和国生态环境法典》</w:t>
            </w:r>
            <w:r>
              <w:rPr>
                <w:color w:val="auto"/>
                <w:sz w:val="24"/>
                <w:highlight w:val="none"/>
              </w:rPr>
              <w:t>和《建设项目环境影响评价分类管理名录》（2021年版），本项目环评类别判断如下表</w:t>
            </w:r>
            <w:r>
              <w:rPr>
                <w:rStyle w:val="18"/>
                <w:rFonts w:hint="eastAsia"/>
                <w:color w:val="auto"/>
                <w:kern w:val="0"/>
                <w:szCs w:val="20"/>
                <w:highlight w:val="none"/>
              </w:rPr>
              <w:t>。</w:t>
            </w:r>
          </w:p>
          <w:p w14:paraId="234429C6">
            <w:pPr>
              <w:pStyle w:val="7"/>
              <w:spacing w:before="0" w:after="0" w:line="240" w:lineRule="auto"/>
              <w:ind w:right="0"/>
              <w:jc w:val="center"/>
              <w:rPr>
                <w:b/>
                <w:bCs/>
                <w:color w:val="auto"/>
                <w:sz w:val="21"/>
                <w:szCs w:val="21"/>
              </w:rPr>
            </w:pPr>
            <w:r>
              <w:rPr>
                <w:b/>
                <w:bCs/>
                <w:color w:val="auto"/>
                <w:sz w:val="21"/>
                <w:szCs w:val="21"/>
              </w:rPr>
              <w:t>表2-1  环评类别判断一览表</w:t>
            </w:r>
          </w:p>
          <w:tbl>
            <w:tblPr>
              <w:tblStyle w:val="14"/>
              <w:tblW w:w="495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74"/>
              <w:gridCol w:w="2067"/>
              <w:gridCol w:w="1338"/>
              <w:gridCol w:w="1294"/>
              <w:gridCol w:w="1317"/>
              <w:gridCol w:w="1543"/>
            </w:tblGrid>
            <w:tr w14:paraId="10EDD7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724" w:type="dxa"/>
                  <w:gridSpan w:val="2"/>
                  <w:vMerge w:val="restart"/>
                  <w:tcBorders>
                    <w:top w:val="single" w:color="auto" w:sz="4" w:space="0"/>
                    <w:left w:val="single" w:color="auto" w:sz="4" w:space="0"/>
                    <w:bottom w:val="single" w:color="auto" w:sz="4" w:space="0"/>
                    <w:tl2br w:val="single" w:color="auto" w:sz="4" w:space="0"/>
                  </w:tcBorders>
                  <w:noWrap w:val="0"/>
                  <w:vAlign w:val="center"/>
                </w:tcPr>
                <w:p w14:paraId="0DD86A9E">
                  <w:pPr>
                    <w:kinsoku/>
                    <w:overflowPunct/>
                    <w:autoSpaceDE w:val="0"/>
                    <w:autoSpaceDN w:val="0"/>
                    <w:jc w:val="right"/>
                    <w:rPr>
                      <w:rFonts w:ascii="Times New Roman" w:hAnsi="Times New Roman" w:cs="Times New Roman"/>
                      <w:snapToGrid w:val="0"/>
                      <w:color w:val="auto"/>
                      <w:kern w:val="24"/>
                      <w:szCs w:val="21"/>
                    </w:rPr>
                  </w:pPr>
                  <w:r>
                    <w:rPr>
                      <w:rFonts w:ascii="Times New Roman" w:hAnsi="Times New Roman" w:cs="Times New Roman"/>
                      <w:snapToGrid w:val="0"/>
                      <w:color w:val="auto"/>
                      <w:kern w:val="24"/>
                      <w:szCs w:val="21"/>
                    </w:rPr>
                    <w:t>环评类别</w:t>
                  </w:r>
                </w:p>
                <w:p w14:paraId="4ADC4C5D">
                  <w:pPr>
                    <w:kinsoku/>
                    <w:overflowPunct/>
                    <w:autoSpaceDE w:val="0"/>
                    <w:autoSpaceDN w:val="0"/>
                    <w:jc w:val="left"/>
                    <w:rPr>
                      <w:rFonts w:ascii="Times New Roman" w:hAnsi="Times New Roman" w:cs="Times New Roman"/>
                      <w:snapToGrid w:val="0"/>
                      <w:color w:val="auto"/>
                      <w:kern w:val="24"/>
                      <w:szCs w:val="21"/>
                    </w:rPr>
                  </w:pPr>
                  <w:r>
                    <w:rPr>
                      <w:rFonts w:ascii="Times New Roman" w:hAnsi="Times New Roman" w:cs="Times New Roman"/>
                      <w:snapToGrid w:val="0"/>
                      <w:color w:val="auto"/>
                      <w:kern w:val="24"/>
                      <w:szCs w:val="21"/>
                    </w:rPr>
                    <w:t>项目类别</w:t>
                  </w:r>
                </w:p>
              </w:tc>
              <w:tc>
                <w:tcPr>
                  <w:tcW w:w="4073" w:type="dxa"/>
                  <w:gridSpan w:val="3"/>
                  <w:tcBorders>
                    <w:top w:val="single" w:color="auto" w:sz="4" w:space="0"/>
                    <w:bottom w:val="single" w:color="auto" w:sz="4" w:space="0"/>
                    <w:right w:val="single" w:color="auto" w:sz="4" w:space="0"/>
                  </w:tcBorders>
                  <w:noWrap w:val="0"/>
                  <w:vAlign w:val="center"/>
                </w:tcPr>
                <w:p w14:paraId="2D1B60FC">
                  <w:pPr>
                    <w:kinsoku/>
                    <w:overflowPunct/>
                    <w:autoSpaceDE w:val="0"/>
                    <w:autoSpaceDN w:val="0"/>
                    <w:jc w:val="center"/>
                    <w:rPr>
                      <w:rFonts w:ascii="Times New Roman" w:hAnsi="Times New Roman" w:cs="Times New Roman"/>
                      <w:snapToGrid w:val="0"/>
                      <w:color w:val="auto"/>
                      <w:kern w:val="24"/>
                      <w:szCs w:val="21"/>
                    </w:rPr>
                  </w:pPr>
                  <w:r>
                    <w:rPr>
                      <w:rFonts w:ascii="Times New Roman" w:hAnsi="Times New Roman" w:cs="Times New Roman"/>
                      <w:snapToGrid w:val="0"/>
                      <w:color w:val="auto"/>
                      <w:kern w:val="24"/>
                      <w:szCs w:val="21"/>
                    </w:rPr>
                    <w:t>环境影响评价类别</w:t>
                  </w:r>
                </w:p>
              </w:tc>
              <w:tc>
                <w:tcPr>
                  <w:tcW w:w="1593" w:type="dxa"/>
                  <w:vMerge w:val="restart"/>
                  <w:tcBorders>
                    <w:top w:val="single" w:color="auto" w:sz="4" w:space="0"/>
                    <w:right w:val="single" w:color="auto" w:sz="4" w:space="0"/>
                  </w:tcBorders>
                  <w:noWrap w:val="0"/>
                  <w:vAlign w:val="center"/>
                </w:tcPr>
                <w:p w14:paraId="269B13B9">
                  <w:pPr>
                    <w:kinsoku/>
                    <w:overflowPunct/>
                    <w:autoSpaceDE w:val="0"/>
                    <w:autoSpaceDN w:val="0"/>
                    <w:jc w:val="center"/>
                    <w:rPr>
                      <w:rFonts w:ascii="Times New Roman" w:hAnsi="Times New Roman" w:cs="Times New Roman"/>
                      <w:snapToGrid w:val="0"/>
                      <w:color w:val="auto"/>
                      <w:kern w:val="24"/>
                      <w:szCs w:val="21"/>
                    </w:rPr>
                  </w:pPr>
                  <w:r>
                    <w:rPr>
                      <w:rFonts w:ascii="Times New Roman" w:hAnsi="Times New Roman" w:cs="Times New Roman"/>
                      <w:snapToGrid w:val="0"/>
                      <w:color w:val="auto"/>
                      <w:kern w:val="24"/>
                      <w:szCs w:val="21"/>
                    </w:rPr>
                    <w:t>项目环评类别判定</w:t>
                  </w:r>
                </w:p>
              </w:tc>
            </w:tr>
            <w:tr w14:paraId="1B80C0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724" w:type="dxa"/>
                  <w:gridSpan w:val="2"/>
                  <w:vMerge w:val="continue"/>
                  <w:tcBorders>
                    <w:left w:val="single" w:color="auto" w:sz="4" w:space="0"/>
                    <w:bottom w:val="single" w:color="auto" w:sz="4" w:space="0"/>
                    <w:tl2br w:val="single" w:color="auto" w:sz="4" w:space="0"/>
                  </w:tcBorders>
                  <w:noWrap w:val="0"/>
                  <w:vAlign w:val="center"/>
                </w:tcPr>
                <w:p w14:paraId="37228A1A">
                  <w:pPr>
                    <w:kinsoku/>
                    <w:overflowPunct/>
                    <w:autoSpaceDE w:val="0"/>
                    <w:autoSpaceDN w:val="0"/>
                    <w:jc w:val="left"/>
                    <w:rPr>
                      <w:rFonts w:ascii="Times New Roman" w:hAnsi="Times New Roman" w:cs="Times New Roman"/>
                      <w:snapToGrid w:val="0"/>
                      <w:color w:val="auto"/>
                      <w:kern w:val="24"/>
                      <w:szCs w:val="21"/>
                    </w:rPr>
                  </w:pPr>
                </w:p>
              </w:tc>
              <w:tc>
                <w:tcPr>
                  <w:tcW w:w="1380" w:type="dxa"/>
                  <w:tcBorders>
                    <w:bottom w:val="single" w:color="auto" w:sz="4" w:space="0"/>
                  </w:tcBorders>
                  <w:noWrap w:val="0"/>
                  <w:vAlign w:val="center"/>
                </w:tcPr>
                <w:p w14:paraId="28AD9CE0">
                  <w:pPr>
                    <w:kinsoku/>
                    <w:overflowPunct/>
                    <w:autoSpaceDE w:val="0"/>
                    <w:autoSpaceDN w:val="0"/>
                    <w:jc w:val="center"/>
                    <w:rPr>
                      <w:rFonts w:ascii="Times New Roman" w:hAnsi="Times New Roman" w:cs="Times New Roman"/>
                      <w:snapToGrid w:val="0"/>
                      <w:color w:val="auto"/>
                      <w:kern w:val="24"/>
                      <w:szCs w:val="21"/>
                    </w:rPr>
                  </w:pPr>
                  <w:r>
                    <w:rPr>
                      <w:rFonts w:ascii="Times New Roman" w:hAnsi="Times New Roman" w:cs="Times New Roman"/>
                      <w:snapToGrid w:val="0"/>
                      <w:color w:val="auto"/>
                      <w:kern w:val="24"/>
                      <w:szCs w:val="21"/>
                    </w:rPr>
                    <w:t>报告书</w:t>
                  </w:r>
                </w:p>
              </w:tc>
              <w:tc>
                <w:tcPr>
                  <w:tcW w:w="1335" w:type="dxa"/>
                  <w:tcBorders>
                    <w:bottom w:val="single" w:color="auto" w:sz="4" w:space="0"/>
                  </w:tcBorders>
                  <w:noWrap w:val="0"/>
                  <w:vAlign w:val="center"/>
                </w:tcPr>
                <w:p w14:paraId="5B43A065">
                  <w:pPr>
                    <w:kinsoku/>
                    <w:overflowPunct/>
                    <w:autoSpaceDE w:val="0"/>
                    <w:autoSpaceDN w:val="0"/>
                    <w:jc w:val="center"/>
                    <w:rPr>
                      <w:rFonts w:ascii="Times New Roman" w:hAnsi="Times New Roman" w:cs="Times New Roman"/>
                      <w:snapToGrid w:val="0"/>
                      <w:color w:val="auto"/>
                      <w:kern w:val="24"/>
                      <w:szCs w:val="21"/>
                    </w:rPr>
                  </w:pPr>
                  <w:r>
                    <w:rPr>
                      <w:rFonts w:ascii="Times New Roman" w:hAnsi="Times New Roman" w:cs="Times New Roman"/>
                      <w:snapToGrid w:val="0"/>
                      <w:color w:val="auto"/>
                      <w:kern w:val="24"/>
                      <w:szCs w:val="21"/>
                    </w:rPr>
                    <w:t>报告表</w:t>
                  </w:r>
                </w:p>
              </w:tc>
              <w:tc>
                <w:tcPr>
                  <w:tcW w:w="1358" w:type="dxa"/>
                  <w:tcBorders>
                    <w:bottom w:val="single" w:color="auto" w:sz="4" w:space="0"/>
                  </w:tcBorders>
                  <w:noWrap w:val="0"/>
                  <w:vAlign w:val="center"/>
                </w:tcPr>
                <w:p w14:paraId="524B78BA">
                  <w:pPr>
                    <w:kinsoku/>
                    <w:overflowPunct/>
                    <w:autoSpaceDE w:val="0"/>
                    <w:autoSpaceDN w:val="0"/>
                    <w:jc w:val="center"/>
                    <w:rPr>
                      <w:rFonts w:ascii="Times New Roman" w:hAnsi="Times New Roman" w:cs="Times New Roman"/>
                      <w:snapToGrid w:val="0"/>
                      <w:color w:val="auto"/>
                      <w:kern w:val="24"/>
                      <w:szCs w:val="21"/>
                    </w:rPr>
                  </w:pPr>
                  <w:r>
                    <w:rPr>
                      <w:rFonts w:ascii="Times New Roman" w:hAnsi="Times New Roman" w:cs="Times New Roman"/>
                      <w:snapToGrid w:val="0"/>
                      <w:color w:val="auto"/>
                      <w:kern w:val="24"/>
                      <w:szCs w:val="21"/>
                    </w:rPr>
                    <w:t>登记表</w:t>
                  </w:r>
                </w:p>
              </w:tc>
              <w:tc>
                <w:tcPr>
                  <w:tcW w:w="1593" w:type="dxa"/>
                  <w:vMerge w:val="continue"/>
                  <w:tcBorders>
                    <w:right w:val="single" w:color="auto" w:sz="4" w:space="0"/>
                  </w:tcBorders>
                  <w:noWrap w:val="0"/>
                  <w:vAlign w:val="center"/>
                </w:tcPr>
                <w:p w14:paraId="3D1C6265">
                  <w:pPr>
                    <w:kinsoku/>
                    <w:overflowPunct/>
                    <w:autoSpaceDE w:val="0"/>
                    <w:autoSpaceDN w:val="0"/>
                    <w:jc w:val="center"/>
                    <w:rPr>
                      <w:rFonts w:ascii="Times New Roman" w:hAnsi="Times New Roman" w:cs="Times New Roman"/>
                      <w:snapToGrid w:val="0"/>
                      <w:color w:val="auto"/>
                      <w:kern w:val="24"/>
                      <w:szCs w:val="21"/>
                    </w:rPr>
                  </w:pPr>
                </w:p>
              </w:tc>
            </w:tr>
            <w:tr w14:paraId="052CB5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87" w:type="dxa"/>
                  <w:tcBorders>
                    <w:top w:val="single" w:color="auto" w:sz="4" w:space="0"/>
                    <w:left w:val="single" w:color="auto" w:sz="4" w:space="0"/>
                    <w:bottom w:val="single" w:color="auto" w:sz="4" w:space="0"/>
                    <w:right w:val="single" w:color="auto" w:sz="4" w:space="0"/>
                  </w:tcBorders>
                  <w:noWrap w:val="0"/>
                  <w:vAlign w:val="center"/>
                </w:tcPr>
                <w:p w14:paraId="45B0C1AC">
                  <w:pPr>
                    <w:kinsoku/>
                    <w:overflowPunct/>
                    <w:autoSpaceDE w:val="0"/>
                    <w:autoSpaceDN w:val="0"/>
                    <w:jc w:val="center"/>
                    <w:rPr>
                      <w:rFonts w:hint="default" w:ascii="Times New Roman" w:hAnsi="Times New Roman" w:eastAsia="宋体" w:cs="Times New Roman"/>
                      <w:snapToGrid w:val="0"/>
                      <w:color w:val="auto"/>
                      <w:kern w:val="24"/>
                      <w:szCs w:val="21"/>
                      <w:lang w:val="en-US" w:eastAsia="zh-CN"/>
                    </w:rPr>
                  </w:pPr>
                  <w:r>
                    <w:rPr>
                      <w:rFonts w:hint="default" w:ascii="Times New Roman" w:hAnsi="Times New Roman" w:cs="Times New Roman"/>
                      <w:snapToGrid w:val="0"/>
                      <w:color w:val="auto"/>
                      <w:kern w:val="24"/>
                      <w:szCs w:val="21"/>
                      <w:lang w:val="en-US" w:eastAsia="zh-CN"/>
                    </w:rPr>
                    <w:t>108</w:t>
                  </w:r>
                </w:p>
              </w:tc>
              <w:tc>
                <w:tcPr>
                  <w:tcW w:w="2137" w:type="dxa"/>
                  <w:tcBorders>
                    <w:top w:val="single" w:color="auto" w:sz="4" w:space="0"/>
                    <w:left w:val="single" w:color="auto" w:sz="4" w:space="0"/>
                    <w:bottom w:val="single" w:color="auto" w:sz="4" w:space="0"/>
                  </w:tcBorders>
                  <w:noWrap w:val="0"/>
                  <w:vAlign w:val="center"/>
                </w:tcPr>
                <w:p w14:paraId="037D0D62">
                  <w:pPr>
                    <w:kinsoku/>
                    <w:overflowPunct/>
                    <w:autoSpaceDE w:val="0"/>
                    <w:autoSpaceDN w:val="0"/>
                    <w:jc w:val="center"/>
                    <w:rPr>
                      <w:rFonts w:ascii="Times New Roman" w:hAnsi="Times New Roman" w:cs="Times New Roman"/>
                      <w:snapToGrid w:val="0"/>
                      <w:color w:val="auto"/>
                      <w:kern w:val="24"/>
                      <w:szCs w:val="21"/>
                    </w:rPr>
                  </w:pPr>
                  <w:r>
                    <w:rPr>
                      <w:rFonts w:hint="default" w:ascii="Times New Roman" w:hAnsi="Times New Roman" w:eastAsia="宋体" w:cs="Times New Roman"/>
                      <w:color w:val="auto"/>
                      <w:kern w:val="0"/>
                      <w:sz w:val="21"/>
                      <w:szCs w:val="21"/>
                      <w:lang w:val="en-US" w:eastAsia="zh-CN" w:bidi="ar"/>
                    </w:rPr>
                    <w:t>医院 841；专科疾病防治院（所、站）8432；妇幼保健院（所、站）8433；急救中心（站）服务8434；采供血机构服务8435；基层医疗卫生服务 842</w:t>
                  </w:r>
                </w:p>
              </w:tc>
              <w:tc>
                <w:tcPr>
                  <w:tcW w:w="1380" w:type="dxa"/>
                  <w:tcBorders>
                    <w:top w:val="single" w:color="auto" w:sz="4" w:space="0"/>
                    <w:bottom w:val="single" w:color="auto" w:sz="4" w:space="0"/>
                  </w:tcBorders>
                  <w:noWrap w:val="0"/>
                  <w:vAlign w:val="center"/>
                </w:tcPr>
                <w:p w14:paraId="0FBF5C67">
                  <w:pPr>
                    <w:widowControl/>
                    <w:jc w:val="center"/>
                    <w:rPr>
                      <w:rFonts w:ascii="Times New Roman" w:hAnsi="Times New Roman" w:cs="Times New Roman"/>
                      <w:snapToGrid w:val="0"/>
                      <w:color w:val="auto"/>
                      <w:kern w:val="24"/>
                      <w:szCs w:val="21"/>
                    </w:rPr>
                  </w:pPr>
                  <w:r>
                    <w:rPr>
                      <w:rFonts w:hint="default" w:ascii="Times New Roman" w:hAnsi="Times New Roman" w:eastAsia="宋体" w:cs="Times New Roman"/>
                      <w:color w:val="auto"/>
                      <w:kern w:val="0"/>
                      <w:sz w:val="21"/>
                      <w:szCs w:val="20"/>
                      <w:lang w:val="en-US" w:eastAsia="zh-CN" w:bidi="ar-SA"/>
                    </w:rPr>
                    <w:t>新建、扩建住院床位500张及以上的</w:t>
                  </w:r>
                </w:p>
              </w:tc>
              <w:tc>
                <w:tcPr>
                  <w:tcW w:w="1335" w:type="dxa"/>
                  <w:tcBorders>
                    <w:top w:val="single" w:color="auto" w:sz="4" w:space="0"/>
                    <w:bottom w:val="single" w:color="auto" w:sz="4" w:space="0"/>
                  </w:tcBorders>
                  <w:noWrap w:val="0"/>
                  <w:vAlign w:val="center"/>
                </w:tcPr>
                <w:p w14:paraId="1594E5B6">
                  <w:pPr>
                    <w:kinsoku/>
                    <w:overflowPunct/>
                    <w:autoSpaceDE w:val="0"/>
                    <w:autoSpaceDN w:val="0"/>
                    <w:jc w:val="center"/>
                    <w:rPr>
                      <w:rFonts w:ascii="Times New Roman" w:hAnsi="Times New Roman" w:cs="Times New Roman"/>
                      <w:snapToGrid w:val="0"/>
                      <w:color w:val="auto"/>
                      <w:kern w:val="24"/>
                      <w:szCs w:val="21"/>
                    </w:rPr>
                  </w:pPr>
                  <w:r>
                    <w:rPr>
                      <w:rFonts w:ascii="Times New Roman" w:hAnsi="Times New Roman" w:cs="Times New Roman"/>
                      <w:b w:val="0"/>
                      <w:bCs w:val="0"/>
                      <w:color w:val="000000"/>
                      <w:kern w:val="0"/>
                    </w:rPr>
                    <w:t>其他（住院床位20张以下的除外）</w:t>
                  </w:r>
                </w:p>
              </w:tc>
              <w:tc>
                <w:tcPr>
                  <w:tcW w:w="1358" w:type="dxa"/>
                  <w:tcBorders>
                    <w:top w:val="single" w:color="auto" w:sz="4" w:space="0"/>
                    <w:bottom w:val="single" w:color="auto" w:sz="4" w:space="0"/>
                  </w:tcBorders>
                  <w:noWrap w:val="0"/>
                  <w:vAlign w:val="center"/>
                </w:tcPr>
                <w:p w14:paraId="4B9925C1">
                  <w:pPr>
                    <w:kinsoku/>
                    <w:overflowPunct/>
                    <w:autoSpaceDE w:val="0"/>
                    <w:autoSpaceDN w:val="0"/>
                    <w:jc w:val="center"/>
                    <w:rPr>
                      <w:rFonts w:ascii="Times New Roman" w:hAnsi="Times New Roman" w:cs="Times New Roman"/>
                      <w:snapToGrid w:val="0"/>
                      <w:color w:val="auto"/>
                      <w:kern w:val="24"/>
                      <w:szCs w:val="21"/>
                    </w:rPr>
                  </w:pPr>
                  <w:r>
                    <w:rPr>
                      <w:rFonts w:ascii="Times New Roman" w:hAnsi="Times New Roman" w:cs="Times New Roman"/>
                      <w:color w:val="000000"/>
                      <w:kern w:val="0"/>
                    </w:rPr>
                    <w:t>住院床位20张以下的（不含20张住院床位的）</w:t>
                  </w:r>
                </w:p>
              </w:tc>
              <w:tc>
                <w:tcPr>
                  <w:tcW w:w="1593" w:type="dxa"/>
                  <w:tcBorders>
                    <w:top w:val="single" w:color="auto" w:sz="4" w:space="0"/>
                    <w:right w:val="single" w:color="auto" w:sz="4" w:space="0"/>
                  </w:tcBorders>
                  <w:noWrap w:val="0"/>
                  <w:vAlign w:val="center"/>
                </w:tcPr>
                <w:p w14:paraId="066D5B0D">
                  <w:pPr>
                    <w:kinsoku/>
                    <w:overflowPunct/>
                    <w:autoSpaceDE w:val="0"/>
                    <w:autoSpaceDN w:val="0"/>
                    <w:jc w:val="center"/>
                    <w:rPr>
                      <w:rFonts w:hint="default" w:ascii="Times New Roman" w:hAnsi="Times New Roman" w:eastAsia="宋体" w:cs="Times New Roman"/>
                      <w:snapToGrid w:val="0"/>
                      <w:color w:val="auto"/>
                      <w:kern w:val="24"/>
                      <w:szCs w:val="21"/>
                      <w:lang w:val="en-US" w:eastAsia="zh-CN"/>
                    </w:rPr>
                  </w:pPr>
                  <w:r>
                    <w:rPr>
                      <w:rFonts w:hint="default" w:ascii="Times New Roman" w:hAnsi="Times New Roman" w:cs="Times New Roman"/>
                      <w:snapToGrid w:val="0"/>
                      <w:color w:val="auto"/>
                      <w:kern w:val="24"/>
                      <w:szCs w:val="21"/>
                      <w:lang w:eastAsia="zh-CN"/>
                    </w:rPr>
                    <w:t>本项目属于</w:t>
                  </w:r>
                  <w:r>
                    <w:rPr>
                      <w:rFonts w:hint="default" w:ascii="Times New Roman" w:hAnsi="Times New Roman" w:cs="Times New Roman"/>
                      <w:snapToGrid w:val="0"/>
                      <w:color w:val="auto"/>
                      <w:kern w:val="24"/>
                      <w:szCs w:val="21"/>
                      <w:lang w:val="en-US" w:eastAsia="zh-CN"/>
                    </w:rPr>
                    <w:t>Q8411综合医院，设置床位</w:t>
                  </w:r>
                  <w:r>
                    <w:rPr>
                      <w:rFonts w:hint="eastAsia" w:cs="Times New Roman"/>
                      <w:snapToGrid w:val="0"/>
                      <w:color w:val="auto"/>
                      <w:kern w:val="24"/>
                      <w:szCs w:val="21"/>
                      <w:lang w:val="en-US" w:eastAsia="zh-CN"/>
                    </w:rPr>
                    <w:t>220</w:t>
                  </w:r>
                  <w:r>
                    <w:rPr>
                      <w:rFonts w:hint="default" w:ascii="Times New Roman" w:hAnsi="Times New Roman" w:cs="Times New Roman"/>
                      <w:snapToGrid w:val="0"/>
                      <w:color w:val="auto"/>
                      <w:kern w:val="24"/>
                      <w:szCs w:val="21"/>
                      <w:lang w:val="en-US" w:eastAsia="zh-CN"/>
                    </w:rPr>
                    <w:t>张，因此需要编制报告表。</w:t>
                  </w:r>
                </w:p>
              </w:tc>
            </w:tr>
          </w:tbl>
          <w:p w14:paraId="33936022">
            <w:pPr>
              <w:pStyle w:val="7"/>
              <w:spacing w:before="0" w:after="0" w:line="240" w:lineRule="auto"/>
              <w:ind w:right="0"/>
              <w:jc w:val="center"/>
              <w:rPr>
                <w:b/>
                <w:bCs/>
                <w:color w:val="auto"/>
                <w:sz w:val="21"/>
                <w:szCs w:val="21"/>
              </w:rPr>
            </w:pPr>
          </w:p>
          <w:p w14:paraId="4BD6523E">
            <w:pPr>
              <w:autoSpaceDE w:val="0"/>
              <w:autoSpaceDN w:val="0"/>
              <w:spacing w:line="360" w:lineRule="auto"/>
              <w:ind w:firstLine="480" w:firstLineChars="200"/>
              <w:rPr>
                <w:color w:val="auto"/>
                <w:sz w:val="24"/>
              </w:rPr>
            </w:pPr>
            <w:r>
              <w:rPr>
                <w:rFonts w:hint="eastAsia"/>
                <w:color w:val="auto"/>
                <w:sz w:val="24"/>
              </w:rPr>
              <w:t>淮南东方医院集团肿瘤医院</w:t>
            </w:r>
            <w:r>
              <w:rPr>
                <w:color w:val="auto"/>
                <w:sz w:val="24"/>
              </w:rPr>
              <w:t>委托我单位编</w:t>
            </w:r>
            <w:r>
              <w:rPr>
                <w:color w:val="auto"/>
                <w:sz w:val="24"/>
                <w:highlight w:val="none"/>
              </w:rPr>
              <w:t>制</w:t>
            </w:r>
            <w:r>
              <w:rPr>
                <w:rFonts w:hint="eastAsia"/>
                <w:color w:val="auto"/>
                <w:sz w:val="24"/>
                <w:highlight w:val="none"/>
                <w:lang w:eastAsia="zh-CN"/>
              </w:rPr>
              <w:t>“淮南东方医院集团肿瘤医院分院项目”</w:t>
            </w:r>
            <w:r>
              <w:rPr>
                <w:rFonts w:hint="eastAsia"/>
                <w:color w:val="auto"/>
                <w:sz w:val="24"/>
                <w:highlight w:val="none"/>
                <w:lang w:val="en-US" w:eastAsia="zh-CN"/>
              </w:rPr>
              <w:t>生态</w:t>
            </w:r>
            <w:r>
              <w:rPr>
                <w:color w:val="auto"/>
                <w:sz w:val="24"/>
                <w:highlight w:val="none"/>
              </w:rPr>
              <w:t>环境影响报告表，我单位接受委托后，认真研</w:t>
            </w:r>
            <w:r>
              <w:rPr>
                <w:color w:val="auto"/>
                <w:sz w:val="24"/>
              </w:rPr>
              <w:t>究了该项目的有关资料，在踏勘现场的社会、自然环境状况，调查、收集建设项目资料的基础上，根据项目所在区域的环境特征、结合工程实际污染特性等因素，</w:t>
            </w:r>
            <w:r>
              <w:rPr>
                <w:rFonts w:hint="eastAsia"/>
                <w:color w:val="auto"/>
                <w:sz w:val="24"/>
              </w:rPr>
              <w:t>编</w:t>
            </w:r>
            <w:r>
              <w:rPr>
                <w:color w:val="auto"/>
                <w:sz w:val="24"/>
              </w:rPr>
              <w:t>制了本项目</w:t>
            </w:r>
            <w:r>
              <w:rPr>
                <w:rFonts w:hint="eastAsia"/>
                <w:color w:val="auto"/>
                <w:sz w:val="24"/>
                <w:lang w:val="en-US" w:eastAsia="zh-CN"/>
              </w:rPr>
              <w:t>生态</w:t>
            </w:r>
            <w:r>
              <w:rPr>
                <w:color w:val="auto"/>
                <w:sz w:val="24"/>
              </w:rPr>
              <w:t>环境影响报告表。</w:t>
            </w:r>
          </w:p>
          <w:p w14:paraId="2B5AB3DB">
            <w:pPr>
              <w:pStyle w:val="6"/>
              <w:spacing w:line="360" w:lineRule="auto"/>
              <w:ind w:firstLine="480" w:firstLineChars="200"/>
              <w:rPr>
                <w:rFonts w:hint="eastAsia"/>
                <w:color w:val="auto"/>
              </w:rPr>
            </w:pPr>
            <w:r>
              <w:rPr>
                <w:color w:val="auto"/>
              </w:rPr>
              <w:t>根据《固定污染源排污许可分类管理名录》</w:t>
            </w:r>
            <w:r>
              <w:rPr>
                <w:rFonts w:hint="eastAsia"/>
                <w:color w:val="auto"/>
                <w:lang w:eastAsia="zh-CN"/>
              </w:rPr>
              <w:t>（</w:t>
            </w:r>
            <w:r>
              <w:rPr>
                <w:color w:val="auto"/>
              </w:rPr>
              <w:t>2019年版</w:t>
            </w:r>
            <w:r>
              <w:rPr>
                <w:rFonts w:hint="eastAsia"/>
                <w:color w:val="auto"/>
                <w:lang w:eastAsia="zh-CN"/>
              </w:rPr>
              <w:t>）</w:t>
            </w:r>
            <w:r>
              <w:rPr>
                <w:rFonts w:hint="eastAsia"/>
                <w:color w:val="auto"/>
              </w:rPr>
              <w:t>，本项目排污许可类别判定如下所示：</w:t>
            </w:r>
          </w:p>
          <w:p w14:paraId="10A0473A">
            <w:pPr>
              <w:pStyle w:val="7"/>
              <w:spacing w:before="0" w:after="0" w:line="240" w:lineRule="auto"/>
              <w:ind w:right="0"/>
              <w:jc w:val="center"/>
              <w:rPr>
                <w:b/>
                <w:bCs/>
                <w:color w:val="auto"/>
                <w:sz w:val="21"/>
                <w:szCs w:val="21"/>
              </w:rPr>
            </w:pPr>
            <w:r>
              <w:rPr>
                <w:b/>
                <w:bCs/>
                <w:color w:val="auto"/>
                <w:sz w:val="21"/>
                <w:szCs w:val="21"/>
              </w:rPr>
              <w:t>表2-2  排污许可类别判断一览表</w:t>
            </w:r>
          </w:p>
          <w:tbl>
            <w:tblPr>
              <w:tblStyle w:val="14"/>
              <w:tblW w:w="839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87"/>
              <w:gridCol w:w="1036"/>
              <w:gridCol w:w="1258"/>
              <w:gridCol w:w="2582"/>
              <w:gridCol w:w="1755"/>
              <w:gridCol w:w="1172"/>
            </w:tblGrid>
            <w:tr w14:paraId="1E7744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623" w:type="dxa"/>
                  <w:gridSpan w:val="2"/>
                  <w:vMerge w:val="restart"/>
                  <w:tcBorders>
                    <w:top w:val="single" w:color="auto" w:sz="4" w:space="0"/>
                    <w:left w:val="single" w:color="auto" w:sz="4" w:space="0"/>
                    <w:bottom w:val="single" w:color="auto" w:sz="4" w:space="0"/>
                    <w:tl2br w:val="single" w:color="auto" w:sz="4" w:space="0"/>
                  </w:tcBorders>
                  <w:noWrap w:val="0"/>
                  <w:vAlign w:val="center"/>
                </w:tcPr>
                <w:p w14:paraId="189DD1A4">
                  <w:pPr>
                    <w:kinsoku w:val="0"/>
                    <w:overflowPunct w:val="0"/>
                    <w:autoSpaceDE w:val="0"/>
                    <w:autoSpaceDN w:val="0"/>
                    <w:jc w:val="right"/>
                    <w:rPr>
                      <w:snapToGrid w:val="0"/>
                      <w:color w:val="auto"/>
                      <w:kern w:val="24"/>
                      <w:szCs w:val="21"/>
                    </w:rPr>
                  </w:pPr>
                  <w:r>
                    <w:rPr>
                      <w:snapToGrid w:val="0"/>
                      <w:color w:val="auto"/>
                      <w:kern w:val="24"/>
                      <w:szCs w:val="21"/>
                    </w:rPr>
                    <w:t>许可类别</w:t>
                  </w:r>
                </w:p>
                <w:p w14:paraId="7DA5DEED">
                  <w:pPr>
                    <w:kinsoku w:val="0"/>
                    <w:overflowPunct w:val="0"/>
                    <w:autoSpaceDE w:val="0"/>
                    <w:autoSpaceDN w:val="0"/>
                    <w:jc w:val="left"/>
                    <w:rPr>
                      <w:snapToGrid w:val="0"/>
                      <w:color w:val="auto"/>
                      <w:kern w:val="24"/>
                      <w:szCs w:val="21"/>
                    </w:rPr>
                  </w:pPr>
                  <w:r>
                    <w:rPr>
                      <w:snapToGrid w:val="0"/>
                      <w:color w:val="auto"/>
                      <w:kern w:val="24"/>
                      <w:szCs w:val="21"/>
                    </w:rPr>
                    <w:t>项目类别</w:t>
                  </w:r>
                </w:p>
              </w:tc>
              <w:tc>
                <w:tcPr>
                  <w:tcW w:w="5595" w:type="dxa"/>
                  <w:gridSpan w:val="3"/>
                  <w:tcBorders>
                    <w:top w:val="single" w:color="auto" w:sz="4" w:space="0"/>
                    <w:bottom w:val="single" w:color="auto" w:sz="4" w:space="0"/>
                    <w:right w:val="single" w:color="auto" w:sz="4" w:space="0"/>
                  </w:tcBorders>
                  <w:noWrap w:val="0"/>
                  <w:vAlign w:val="center"/>
                </w:tcPr>
                <w:p w14:paraId="68AE9422">
                  <w:pPr>
                    <w:kinsoku w:val="0"/>
                    <w:overflowPunct w:val="0"/>
                    <w:autoSpaceDE w:val="0"/>
                    <w:autoSpaceDN w:val="0"/>
                    <w:jc w:val="center"/>
                    <w:rPr>
                      <w:snapToGrid w:val="0"/>
                      <w:color w:val="auto"/>
                      <w:kern w:val="24"/>
                      <w:szCs w:val="21"/>
                    </w:rPr>
                  </w:pPr>
                  <w:r>
                    <w:rPr>
                      <w:snapToGrid w:val="0"/>
                      <w:color w:val="auto"/>
                      <w:kern w:val="24"/>
                      <w:szCs w:val="21"/>
                    </w:rPr>
                    <w:t>排污许可类别</w:t>
                  </w:r>
                </w:p>
              </w:tc>
              <w:tc>
                <w:tcPr>
                  <w:tcW w:w="1172" w:type="dxa"/>
                  <w:vMerge w:val="restart"/>
                  <w:tcBorders>
                    <w:top w:val="single" w:color="auto" w:sz="4" w:space="0"/>
                    <w:right w:val="single" w:color="auto" w:sz="4" w:space="0"/>
                  </w:tcBorders>
                  <w:noWrap w:val="0"/>
                  <w:vAlign w:val="center"/>
                </w:tcPr>
                <w:p w14:paraId="61EB8A56">
                  <w:pPr>
                    <w:kinsoku w:val="0"/>
                    <w:overflowPunct w:val="0"/>
                    <w:autoSpaceDE w:val="0"/>
                    <w:autoSpaceDN w:val="0"/>
                    <w:jc w:val="center"/>
                    <w:rPr>
                      <w:snapToGrid w:val="0"/>
                      <w:color w:val="auto"/>
                      <w:kern w:val="24"/>
                      <w:szCs w:val="21"/>
                    </w:rPr>
                  </w:pPr>
                  <w:r>
                    <w:rPr>
                      <w:snapToGrid w:val="0"/>
                      <w:color w:val="auto"/>
                      <w:kern w:val="24"/>
                      <w:szCs w:val="21"/>
                    </w:rPr>
                    <w:t>项目排污许可类别判定</w:t>
                  </w:r>
                </w:p>
              </w:tc>
            </w:tr>
            <w:tr w14:paraId="56B77C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623" w:type="dxa"/>
                  <w:gridSpan w:val="2"/>
                  <w:vMerge w:val="continue"/>
                  <w:tcBorders>
                    <w:left w:val="single" w:color="auto" w:sz="4" w:space="0"/>
                    <w:bottom w:val="single" w:color="auto" w:sz="4" w:space="0"/>
                    <w:tl2br w:val="single" w:color="auto" w:sz="4" w:space="0"/>
                  </w:tcBorders>
                  <w:noWrap w:val="0"/>
                  <w:vAlign w:val="center"/>
                </w:tcPr>
                <w:p w14:paraId="2004A105">
                  <w:pPr>
                    <w:kinsoku w:val="0"/>
                    <w:overflowPunct w:val="0"/>
                    <w:autoSpaceDE w:val="0"/>
                    <w:autoSpaceDN w:val="0"/>
                    <w:jc w:val="left"/>
                    <w:rPr>
                      <w:snapToGrid w:val="0"/>
                      <w:color w:val="auto"/>
                      <w:kern w:val="24"/>
                      <w:szCs w:val="21"/>
                    </w:rPr>
                  </w:pPr>
                </w:p>
              </w:tc>
              <w:tc>
                <w:tcPr>
                  <w:tcW w:w="1258" w:type="dxa"/>
                  <w:tcBorders>
                    <w:bottom w:val="single" w:color="auto" w:sz="4" w:space="0"/>
                  </w:tcBorders>
                  <w:noWrap w:val="0"/>
                  <w:vAlign w:val="center"/>
                </w:tcPr>
                <w:p w14:paraId="047C99C1">
                  <w:pPr>
                    <w:kinsoku w:val="0"/>
                    <w:overflowPunct w:val="0"/>
                    <w:autoSpaceDE w:val="0"/>
                    <w:autoSpaceDN w:val="0"/>
                    <w:jc w:val="center"/>
                    <w:rPr>
                      <w:snapToGrid w:val="0"/>
                      <w:color w:val="auto"/>
                      <w:kern w:val="24"/>
                      <w:szCs w:val="21"/>
                    </w:rPr>
                  </w:pPr>
                  <w:r>
                    <w:rPr>
                      <w:snapToGrid w:val="0"/>
                      <w:color w:val="auto"/>
                      <w:kern w:val="24"/>
                      <w:szCs w:val="21"/>
                    </w:rPr>
                    <w:t>重点管理</w:t>
                  </w:r>
                </w:p>
              </w:tc>
              <w:tc>
                <w:tcPr>
                  <w:tcW w:w="2582" w:type="dxa"/>
                  <w:tcBorders>
                    <w:bottom w:val="single" w:color="auto" w:sz="4" w:space="0"/>
                  </w:tcBorders>
                  <w:noWrap w:val="0"/>
                  <w:vAlign w:val="center"/>
                </w:tcPr>
                <w:p w14:paraId="773C8216">
                  <w:pPr>
                    <w:kinsoku w:val="0"/>
                    <w:overflowPunct w:val="0"/>
                    <w:autoSpaceDE w:val="0"/>
                    <w:autoSpaceDN w:val="0"/>
                    <w:jc w:val="center"/>
                    <w:rPr>
                      <w:snapToGrid w:val="0"/>
                      <w:color w:val="auto"/>
                      <w:kern w:val="24"/>
                      <w:szCs w:val="21"/>
                    </w:rPr>
                  </w:pPr>
                  <w:r>
                    <w:rPr>
                      <w:snapToGrid w:val="0"/>
                      <w:color w:val="auto"/>
                      <w:kern w:val="24"/>
                      <w:szCs w:val="21"/>
                    </w:rPr>
                    <w:t>简化管理</w:t>
                  </w:r>
                </w:p>
              </w:tc>
              <w:tc>
                <w:tcPr>
                  <w:tcW w:w="1755" w:type="dxa"/>
                  <w:tcBorders>
                    <w:bottom w:val="single" w:color="auto" w:sz="4" w:space="0"/>
                  </w:tcBorders>
                  <w:noWrap w:val="0"/>
                  <w:vAlign w:val="center"/>
                </w:tcPr>
                <w:p w14:paraId="22065A1F">
                  <w:pPr>
                    <w:kinsoku w:val="0"/>
                    <w:overflowPunct w:val="0"/>
                    <w:autoSpaceDE w:val="0"/>
                    <w:autoSpaceDN w:val="0"/>
                    <w:jc w:val="center"/>
                    <w:rPr>
                      <w:snapToGrid w:val="0"/>
                      <w:color w:val="auto"/>
                      <w:kern w:val="24"/>
                      <w:szCs w:val="21"/>
                    </w:rPr>
                  </w:pPr>
                  <w:r>
                    <w:rPr>
                      <w:snapToGrid w:val="0"/>
                      <w:color w:val="auto"/>
                      <w:kern w:val="24"/>
                      <w:szCs w:val="21"/>
                    </w:rPr>
                    <w:t>登记管理</w:t>
                  </w:r>
                </w:p>
              </w:tc>
              <w:tc>
                <w:tcPr>
                  <w:tcW w:w="1172" w:type="dxa"/>
                  <w:vMerge w:val="continue"/>
                  <w:tcBorders>
                    <w:right w:val="single" w:color="auto" w:sz="4" w:space="0"/>
                  </w:tcBorders>
                  <w:noWrap w:val="0"/>
                  <w:vAlign w:val="center"/>
                </w:tcPr>
                <w:p w14:paraId="02E7D633">
                  <w:pPr>
                    <w:kinsoku w:val="0"/>
                    <w:overflowPunct w:val="0"/>
                    <w:autoSpaceDE w:val="0"/>
                    <w:autoSpaceDN w:val="0"/>
                    <w:jc w:val="center"/>
                    <w:rPr>
                      <w:snapToGrid w:val="0"/>
                      <w:color w:val="auto"/>
                      <w:kern w:val="24"/>
                      <w:szCs w:val="21"/>
                    </w:rPr>
                  </w:pPr>
                </w:p>
              </w:tc>
            </w:tr>
            <w:tr w14:paraId="32EE59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87" w:type="dxa"/>
                  <w:tcBorders>
                    <w:top w:val="single" w:color="auto" w:sz="4" w:space="0"/>
                    <w:left w:val="single" w:color="auto" w:sz="4" w:space="0"/>
                    <w:bottom w:val="single" w:color="auto" w:sz="4" w:space="0"/>
                    <w:right w:val="single" w:color="auto" w:sz="4" w:space="0"/>
                  </w:tcBorders>
                  <w:noWrap w:val="0"/>
                  <w:vAlign w:val="center"/>
                </w:tcPr>
                <w:p w14:paraId="143406C4">
                  <w:pPr>
                    <w:kinsoku w:val="0"/>
                    <w:overflowPunct w:val="0"/>
                    <w:autoSpaceDE w:val="0"/>
                    <w:autoSpaceDN w:val="0"/>
                    <w:jc w:val="center"/>
                    <w:rPr>
                      <w:rFonts w:hint="default" w:eastAsia="宋体"/>
                      <w:snapToGrid w:val="0"/>
                      <w:color w:val="auto"/>
                      <w:kern w:val="24"/>
                      <w:szCs w:val="21"/>
                      <w:lang w:val="en-US" w:eastAsia="zh-CN"/>
                    </w:rPr>
                  </w:pPr>
                  <w:r>
                    <w:rPr>
                      <w:rFonts w:hint="eastAsia"/>
                      <w:snapToGrid w:val="0"/>
                      <w:color w:val="auto"/>
                      <w:kern w:val="24"/>
                      <w:szCs w:val="21"/>
                      <w:lang w:val="en-US" w:eastAsia="zh-CN"/>
                    </w:rPr>
                    <w:t>107</w:t>
                  </w:r>
                </w:p>
              </w:tc>
              <w:tc>
                <w:tcPr>
                  <w:tcW w:w="1036" w:type="dxa"/>
                  <w:tcBorders>
                    <w:top w:val="single" w:color="auto" w:sz="4" w:space="0"/>
                    <w:left w:val="single" w:color="auto" w:sz="4" w:space="0"/>
                    <w:bottom w:val="single" w:color="auto" w:sz="4" w:space="0"/>
                  </w:tcBorders>
                  <w:noWrap w:val="0"/>
                  <w:vAlign w:val="center"/>
                </w:tcPr>
                <w:p w14:paraId="28200445">
                  <w:pPr>
                    <w:widowControl/>
                    <w:kinsoku/>
                    <w:overflowPunct/>
                    <w:autoSpaceDE/>
                    <w:autoSpaceDN/>
                    <w:jc w:val="center"/>
                    <w:rPr>
                      <w:snapToGrid w:val="0"/>
                      <w:color w:val="auto"/>
                      <w:kern w:val="24"/>
                      <w:szCs w:val="21"/>
                    </w:rPr>
                  </w:pPr>
                  <w:r>
                    <w:rPr>
                      <w:rFonts w:hint="eastAsia" w:ascii="Times New Roman" w:hAnsi="Times New Roman" w:eastAsia="宋体" w:cs="宋体"/>
                      <w:color w:val="auto"/>
                      <w:kern w:val="0"/>
                      <w:sz w:val="21"/>
                      <w:szCs w:val="21"/>
                      <w:lang w:val="en-US" w:eastAsia="zh-CN" w:bidi="ar"/>
                    </w:rPr>
                    <w:t>医院841，专业公共卫生服务843</w:t>
                  </w:r>
                </w:p>
              </w:tc>
              <w:tc>
                <w:tcPr>
                  <w:tcW w:w="1258" w:type="dxa"/>
                  <w:tcBorders>
                    <w:top w:val="single" w:color="auto" w:sz="4" w:space="0"/>
                    <w:bottom w:val="single" w:color="auto" w:sz="4" w:space="0"/>
                  </w:tcBorders>
                  <w:noWrap w:val="0"/>
                  <w:vAlign w:val="center"/>
                </w:tcPr>
                <w:p w14:paraId="5A130F8B">
                  <w:pPr>
                    <w:widowControl/>
                    <w:jc w:val="center"/>
                    <w:rPr>
                      <w:snapToGrid w:val="0"/>
                      <w:color w:val="auto"/>
                      <w:kern w:val="24"/>
                      <w:szCs w:val="21"/>
                    </w:rPr>
                  </w:pPr>
                  <w:r>
                    <w:rPr>
                      <w:rFonts w:cs="Times New Roman"/>
                      <w:color w:val="000000"/>
                      <w:kern w:val="0"/>
                    </w:rPr>
                    <w:t>床位500张及以上的（不含专科医院8415中的精神病、康复和运动康复医院以及疗养院8416）</w:t>
                  </w:r>
                </w:p>
              </w:tc>
              <w:tc>
                <w:tcPr>
                  <w:tcW w:w="2582" w:type="dxa"/>
                  <w:tcBorders>
                    <w:top w:val="single" w:color="auto" w:sz="4" w:space="0"/>
                    <w:bottom w:val="single" w:color="auto" w:sz="4" w:space="0"/>
                  </w:tcBorders>
                  <w:noWrap w:val="0"/>
                  <w:vAlign w:val="center"/>
                </w:tcPr>
                <w:p w14:paraId="3FB8CF96">
                  <w:pPr>
                    <w:kinsoku w:val="0"/>
                    <w:overflowPunct w:val="0"/>
                    <w:autoSpaceDE w:val="0"/>
                    <w:autoSpaceDN w:val="0"/>
                    <w:jc w:val="center"/>
                    <w:rPr>
                      <w:snapToGrid w:val="0"/>
                      <w:color w:val="auto"/>
                      <w:kern w:val="24"/>
                      <w:szCs w:val="21"/>
                    </w:rPr>
                  </w:pPr>
                  <w:r>
                    <w:rPr>
                      <w:rFonts w:hint="eastAsia" w:ascii="Times New Roman" w:hAnsi="Times New Roman" w:eastAsia="宋体" w:cs="宋体"/>
                      <w:color w:val="auto"/>
                      <w:kern w:val="0"/>
                      <w:sz w:val="21"/>
                      <w:szCs w:val="21"/>
                      <w:lang w:val="en-US" w:eastAsia="zh-CN" w:bidi="ar"/>
                    </w:rPr>
                    <w:t>床位100张及以上的专科医院8415（精神病、康复和运动康复医院）以及疗养院8416，床位100张及以上500 张以下的综合医院8411、中医医院8412、中西医结合医院8413、民族医院8414、专科医院8415（不含精神病、康复和运动康复医院）</w:t>
                  </w:r>
                </w:p>
              </w:tc>
              <w:tc>
                <w:tcPr>
                  <w:tcW w:w="1755" w:type="dxa"/>
                  <w:tcBorders>
                    <w:top w:val="single" w:color="auto" w:sz="4" w:space="0"/>
                    <w:bottom w:val="single" w:color="auto" w:sz="4" w:space="0"/>
                  </w:tcBorders>
                  <w:noWrap w:val="0"/>
                  <w:vAlign w:val="center"/>
                </w:tcPr>
                <w:p w14:paraId="7974D717">
                  <w:pPr>
                    <w:kinsoku w:val="0"/>
                    <w:overflowPunct w:val="0"/>
                    <w:autoSpaceDE w:val="0"/>
                    <w:autoSpaceDN w:val="0"/>
                    <w:jc w:val="center"/>
                    <w:rPr>
                      <w:snapToGrid w:val="0"/>
                      <w:color w:val="auto"/>
                      <w:kern w:val="24"/>
                      <w:szCs w:val="21"/>
                    </w:rPr>
                  </w:pPr>
                  <w:r>
                    <w:rPr>
                      <w:rFonts w:cs="Times New Roman"/>
                      <w:color w:val="000000"/>
                      <w:kern w:val="0"/>
                    </w:rPr>
                    <w:t>疾病预防控制中心8431，</w:t>
                  </w:r>
                  <w:r>
                    <w:rPr>
                      <w:rFonts w:cs="Times New Roman"/>
                      <w:b w:val="0"/>
                      <w:bCs w:val="0"/>
                      <w:color w:val="000000"/>
                      <w:kern w:val="0"/>
                    </w:rPr>
                    <w:t>床位100张以下的综合医院8411</w:t>
                  </w:r>
                  <w:r>
                    <w:rPr>
                      <w:rFonts w:cs="Times New Roman"/>
                      <w:color w:val="000000"/>
                      <w:kern w:val="0"/>
                    </w:rPr>
                    <w:t>、中医医院8412、中西医结合医院8413、民族医院8414、专科医院8415、疗养院8416</w:t>
                  </w:r>
                </w:p>
              </w:tc>
              <w:tc>
                <w:tcPr>
                  <w:tcW w:w="1172" w:type="dxa"/>
                  <w:tcBorders>
                    <w:top w:val="single" w:color="auto" w:sz="4" w:space="0"/>
                    <w:right w:val="single" w:color="auto" w:sz="4" w:space="0"/>
                  </w:tcBorders>
                  <w:noWrap w:val="0"/>
                  <w:vAlign w:val="center"/>
                </w:tcPr>
                <w:p w14:paraId="54C994E5">
                  <w:pPr>
                    <w:kinsoku w:val="0"/>
                    <w:overflowPunct w:val="0"/>
                    <w:autoSpaceDE w:val="0"/>
                    <w:autoSpaceDN w:val="0"/>
                    <w:jc w:val="center"/>
                    <w:rPr>
                      <w:rFonts w:hint="eastAsia"/>
                      <w:snapToGrid w:val="0"/>
                      <w:color w:val="auto"/>
                      <w:kern w:val="24"/>
                      <w:szCs w:val="21"/>
                    </w:rPr>
                  </w:pPr>
                  <w:r>
                    <w:rPr>
                      <w:rFonts w:hint="eastAsia"/>
                      <w:snapToGrid w:val="0"/>
                      <w:color w:val="auto"/>
                      <w:kern w:val="24"/>
                      <w:szCs w:val="21"/>
                    </w:rPr>
                    <w:t>本项目为</w:t>
                  </w:r>
                  <w:r>
                    <w:rPr>
                      <w:rFonts w:hint="eastAsia" w:ascii="Times New Roman" w:hAnsi="Times New Roman" w:eastAsia="宋体" w:cs="宋体"/>
                      <w:color w:val="auto"/>
                      <w:kern w:val="0"/>
                      <w:sz w:val="21"/>
                      <w:szCs w:val="21"/>
                      <w:lang w:val="en-US" w:eastAsia="zh-CN" w:bidi="ar"/>
                    </w:rPr>
                    <w:t>床位100张以上500 张以下的综合医院8411</w:t>
                  </w:r>
                  <w:r>
                    <w:rPr>
                      <w:rFonts w:hint="eastAsia"/>
                      <w:snapToGrid w:val="0"/>
                      <w:color w:val="auto"/>
                      <w:kern w:val="24"/>
                      <w:szCs w:val="21"/>
                    </w:rPr>
                    <w:t>，属于</w:t>
                  </w:r>
                </w:p>
                <w:p w14:paraId="25929F91">
                  <w:pPr>
                    <w:kinsoku w:val="0"/>
                    <w:overflowPunct w:val="0"/>
                    <w:autoSpaceDE w:val="0"/>
                    <w:autoSpaceDN w:val="0"/>
                    <w:jc w:val="center"/>
                    <w:rPr>
                      <w:snapToGrid w:val="0"/>
                      <w:color w:val="auto"/>
                      <w:kern w:val="24"/>
                      <w:szCs w:val="21"/>
                    </w:rPr>
                  </w:pPr>
                  <w:r>
                    <w:rPr>
                      <w:rFonts w:hint="eastAsia"/>
                      <w:snapToGrid w:val="0"/>
                      <w:color w:val="auto"/>
                      <w:kern w:val="24"/>
                      <w:szCs w:val="21"/>
                      <w:lang w:val="en-US" w:eastAsia="zh-CN"/>
                    </w:rPr>
                    <w:t>简化管理</w:t>
                  </w:r>
                  <w:r>
                    <w:rPr>
                      <w:rFonts w:hint="eastAsia"/>
                      <w:snapToGrid w:val="0"/>
                      <w:color w:val="auto"/>
                      <w:kern w:val="24"/>
                      <w:szCs w:val="21"/>
                    </w:rPr>
                    <w:t>。</w:t>
                  </w:r>
                </w:p>
              </w:tc>
            </w:tr>
          </w:tbl>
          <w:p w14:paraId="53889714">
            <w:pPr>
              <w:pStyle w:val="7"/>
              <w:spacing w:before="0" w:after="0" w:line="240" w:lineRule="auto"/>
              <w:ind w:right="0"/>
              <w:jc w:val="center"/>
              <w:rPr>
                <w:b/>
                <w:bCs/>
                <w:color w:val="auto"/>
                <w:sz w:val="21"/>
                <w:szCs w:val="21"/>
              </w:rPr>
            </w:pPr>
          </w:p>
          <w:p w14:paraId="2253842F">
            <w:pPr>
              <w:pStyle w:val="19"/>
              <w:rPr>
                <w:rFonts w:ascii="Times New Roman"/>
                <w:b/>
                <w:bCs/>
                <w:color w:val="auto"/>
                <w:sz w:val="24"/>
                <w:szCs w:val="24"/>
              </w:rPr>
            </w:pPr>
            <w:r>
              <w:rPr>
                <w:rFonts w:ascii="Times New Roman"/>
                <w:b/>
                <w:bCs/>
                <w:color w:val="auto"/>
                <w:sz w:val="24"/>
                <w:szCs w:val="24"/>
              </w:rPr>
              <w:t>2项目概况</w:t>
            </w:r>
          </w:p>
          <w:p w14:paraId="6CF1E572">
            <w:pPr>
              <w:pStyle w:val="19"/>
              <w:rPr>
                <w:rFonts w:hint="eastAsia" w:ascii="Times New Roman" w:eastAsia="宋体"/>
                <w:color w:val="auto"/>
                <w:sz w:val="24"/>
                <w:szCs w:val="24"/>
                <w:highlight w:val="none"/>
                <w:lang w:eastAsia="zh-CN"/>
              </w:rPr>
            </w:pPr>
            <w:r>
              <w:rPr>
                <w:rFonts w:ascii="Times New Roman"/>
                <w:color w:val="auto"/>
                <w:sz w:val="24"/>
                <w:szCs w:val="24"/>
                <w:highlight w:val="none"/>
              </w:rPr>
              <w:t>项目名称：</w:t>
            </w:r>
            <w:r>
              <w:rPr>
                <w:rFonts w:hint="eastAsia" w:ascii="Times New Roman"/>
                <w:color w:val="auto"/>
                <w:sz w:val="24"/>
                <w:szCs w:val="24"/>
                <w:highlight w:val="none"/>
                <w:lang w:eastAsia="zh-CN"/>
              </w:rPr>
              <w:t>淮南东方医院集团肿瘤医院分院项目</w:t>
            </w:r>
          </w:p>
          <w:p w14:paraId="4F676402">
            <w:pPr>
              <w:pStyle w:val="19"/>
              <w:rPr>
                <w:rFonts w:hint="eastAsia" w:ascii="Times New Roman" w:eastAsia="宋体"/>
                <w:color w:val="auto"/>
                <w:sz w:val="24"/>
                <w:szCs w:val="24"/>
                <w:lang w:eastAsia="zh-CN"/>
              </w:rPr>
            </w:pPr>
            <w:r>
              <w:rPr>
                <w:rFonts w:ascii="Times New Roman"/>
                <w:color w:val="auto"/>
                <w:sz w:val="24"/>
                <w:szCs w:val="24"/>
              </w:rPr>
              <w:t>建设单位：</w:t>
            </w:r>
            <w:r>
              <w:rPr>
                <w:rFonts w:hint="default" w:eastAsia="宋体"/>
                <w:sz w:val="24"/>
                <w:lang w:val="en-US" w:eastAsia="zh-CN"/>
              </w:rPr>
              <w:t>淮南东方医院集团肿瘤医院</w:t>
            </w:r>
          </w:p>
          <w:p w14:paraId="280423F8">
            <w:pPr>
              <w:pStyle w:val="19"/>
              <w:rPr>
                <w:rFonts w:hint="eastAsia" w:ascii="Times New Roman" w:eastAsia="宋体"/>
                <w:color w:val="auto"/>
                <w:sz w:val="24"/>
                <w:szCs w:val="24"/>
                <w:highlight w:val="none"/>
                <w:lang w:eastAsia="zh-CN"/>
              </w:rPr>
            </w:pPr>
            <w:r>
              <w:rPr>
                <w:rFonts w:ascii="Times New Roman"/>
                <w:color w:val="auto"/>
                <w:sz w:val="24"/>
                <w:szCs w:val="24"/>
                <w:highlight w:val="none"/>
              </w:rPr>
              <w:t>性质：</w:t>
            </w:r>
            <w:r>
              <w:rPr>
                <w:rFonts w:hint="eastAsia" w:ascii="Times New Roman"/>
                <w:color w:val="auto"/>
                <w:sz w:val="24"/>
                <w:szCs w:val="24"/>
                <w:highlight w:val="none"/>
                <w:lang w:val="en-US" w:eastAsia="zh-CN"/>
              </w:rPr>
              <w:t>改建</w:t>
            </w:r>
          </w:p>
          <w:p w14:paraId="58BD0D8E">
            <w:pPr>
              <w:pStyle w:val="19"/>
              <w:rPr>
                <w:rFonts w:hint="eastAsia" w:ascii="Times New Roman" w:eastAsia="宋体"/>
                <w:color w:val="auto"/>
                <w:sz w:val="24"/>
                <w:szCs w:val="24"/>
                <w:highlight w:val="none"/>
                <w:lang w:eastAsia="zh-CN"/>
              </w:rPr>
            </w:pPr>
            <w:r>
              <w:rPr>
                <w:rFonts w:ascii="Times New Roman"/>
                <w:color w:val="auto"/>
                <w:sz w:val="24"/>
                <w:szCs w:val="24"/>
                <w:highlight w:val="none"/>
              </w:rPr>
              <w:t>建设地点：</w:t>
            </w:r>
            <w:r>
              <w:rPr>
                <w:rFonts w:hint="eastAsia" w:eastAsia="宋体"/>
                <w:sz w:val="24"/>
                <w:highlight w:val="none"/>
                <w:lang w:val="en-US" w:eastAsia="zh-CN"/>
              </w:rPr>
              <w:t>淮南市潘集区芦集镇潘三矿</w:t>
            </w:r>
          </w:p>
          <w:p w14:paraId="777B6704">
            <w:pPr>
              <w:spacing w:line="360" w:lineRule="auto"/>
              <w:ind w:firstLine="480" w:firstLineChars="200"/>
              <w:rPr>
                <w:rFonts w:hint="eastAsia"/>
                <w:color w:val="auto"/>
                <w:sz w:val="24"/>
                <w:highlight w:val="none"/>
              </w:rPr>
            </w:pPr>
            <w:r>
              <w:rPr>
                <w:color w:val="auto"/>
                <w:sz w:val="24"/>
                <w:highlight w:val="none"/>
              </w:rPr>
              <w:t>建设内容：</w:t>
            </w:r>
            <w:r>
              <w:rPr>
                <w:rFonts w:hint="eastAsia"/>
                <w:color w:val="auto"/>
                <w:sz w:val="24"/>
                <w:highlight w:val="none"/>
              </w:rPr>
              <w:t>本项目总投资5</w:t>
            </w:r>
            <w:r>
              <w:rPr>
                <w:rFonts w:hint="eastAsia"/>
                <w:color w:val="auto"/>
                <w:sz w:val="24"/>
                <w:highlight w:val="none"/>
                <w:lang w:val="en-US" w:eastAsia="zh-CN"/>
              </w:rPr>
              <w:t>5</w:t>
            </w:r>
            <w:r>
              <w:rPr>
                <w:rFonts w:hint="eastAsia"/>
                <w:color w:val="auto"/>
                <w:sz w:val="24"/>
                <w:highlight w:val="none"/>
              </w:rPr>
              <w:t>0万元，拟利用原淮南东方医院集团潘三医院现有建筑物主体结构进行改造建设，不新增用地，不改变原有建筑主体结构。项目主要对现有门诊楼、住院楼等建筑内部空间、机电系统及医疗专项工程进行改造装修，并配套建设医疗污水处理、医疗废物暂存、通风等环保设施。改造完成后，作为淮南东方医院集团肿瘤医院分院运营，建设综合医院一所，设置床位220张。</w:t>
            </w:r>
          </w:p>
          <w:p w14:paraId="29381A10">
            <w:pPr>
              <w:spacing w:line="360" w:lineRule="auto"/>
              <w:ind w:firstLine="480" w:firstLineChars="200"/>
              <w:rPr>
                <w:rFonts w:hint="eastAsia" w:eastAsia="宋体"/>
                <w:color w:val="auto"/>
                <w:sz w:val="24"/>
                <w:highlight w:val="yellow"/>
                <w:lang w:eastAsia="zh-CN"/>
              </w:rPr>
            </w:pPr>
            <w:r>
              <w:rPr>
                <w:rFonts w:hint="eastAsia"/>
                <w:color w:val="auto"/>
                <w:sz w:val="24"/>
                <w:highlight w:val="none"/>
              </w:rPr>
              <w:t>项目拟设置主要科室包括：精神科（精神病专业、精神卫生专业）；内科（呼吸内科专业、神经内科专业、心血管内科专业）；外科（普通外科专业、神经外科专业、骨科专业、泌尿外科专业）；妇产科；儿科；眼科；耳鼻咽喉科；口腔科；皮肤科；急诊医学科；麻醉科；医学检验科；医学影像科（CT诊断专业、心电诊断专业）；中医科（理疗科）。</w:t>
            </w:r>
          </w:p>
          <w:p w14:paraId="439F388B">
            <w:pPr>
              <w:autoSpaceDE w:val="0"/>
              <w:autoSpaceDN w:val="0"/>
              <w:spacing w:line="360" w:lineRule="auto"/>
              <w:ind w:firstLine="480" w:firstLineChars="200"/>
              <w:rPr>
                <w:color w:val="auto"/>
                <w:sz w:val="24"/>
              </w:rPr>
            </w:pPr>
            <w:r>
              <w:rPr>
                <w:color w:val="auto"/>
                <w:sz w:val="24"/>
              </w:rPr>
              <w:t>主要建设内容见下表</w:t>
            </w:r>
            <w:r>
              <w:rPr>
                <w:rFonts w:hint="eastAsia"/>
                <w:color w:val="auto"/>
                <w:sz w:val="24"/>
              </w:rPr>
              <w:t>。</w:t>
            </w:r>
          </w:p>
          <w:p w14:paraId="0C9D6C25">
            <w:pPr>
              <w:pStyle w:val="7"/>
              <w:spacing w:before="0" w:after="0" w:line="240" w:lineRule="auto"/>
              <w:ind w:right="0"/>
              <w:jc w:val="center"/>
              <w:rPr>
                <w:b/>
                <w:bCs/>
                <w:color w:val="auto"/>
                <w:sz w:val="21"/>
                <w:szCs w:val="21"/>
              </w:rPr>
            </w:pPr>
            <w:r>
              <w:rPr>
                <w:b/>
                <w:bCs/>
                <w:color w:val="auto"/>
                <w:sz w:val="21"/>
                <w:szCs w:val="21"/>
              </w:rPr>
              <w:t>表2-3  主要建设内容一览表</w:t>
            </w:r>
          </w:p>
          <w:tbl>
            <w:tblPr>
              <w:tblStyle w:val="14"/>
              <w:tblW w:w="495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3"/>
              <w:gridCol w:w="601"/>
              <w:gridCol w:w="602"/>
              <w:gridCol w:w="6067"/>
            </w:tblGrid>
            <w:tr w14:paraId="090682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0" w:type="pct"/>
                  <w:tcBorders>
                    <w:top w:val="single" w:color="auto" w:sz="4" w:space="0"/>
                    <w:left w:val="single" w:color="auto" w:sz="4" w:space="0"/>
                    <w:bottom w:val="single" w:color="auto" w:sz="4" w:space="0"/>
                    <w:right w:val="single" w:color="auto" w:sz="4" w:space="0"/>
                  </w:tcBorders>
                  <w:noWrap w:val="0"/>
                  <w:vAlign w:val="center"/>
                </w:tcPr>
                <w:p w14:paraId="01F4E6C5">
                  <w:pPr>
                    <w:jc w:val="center"/>
                    <w:rPr>
                      <w:b/>
                      <w:bCs/>
                      <w:color w:val="auto"/>
                      <w:szCs w:val="21"/>
                    </w:rPr>
                  </w:pPr>
                  <w:r>
                    <w:rPr>
                      <w:b/>
                      <w:bCs/>
                      <w:color w:val="auto"/>
                      <w:szCs w:val="21"/>
                    </w:rPr>
                    <w:t>工程</w:t>
                  </w:r>
                </w:p>
                <w:p w14:paraId="043C1A14">
                  <w:pPr>
                    <w:jc w:val="center"/>
                    <w:rPr>
                      <w:b/>
                      <w:bCs/>
                      <w:color w:val="auto"/>
                      <w:szCs w:val="21"/>
                    </w:rPr>
                  </w:pPr>
                  <w:r>
                    <w:rPr>
                      <w:b/>
                      <w:bCs/>
                      <w:color w:val="auto"/>
                      <w:szCs w:val="21"/>
                    </w:rPr>
                    <w:t>类别</w:t>
                  </w:r>
                </w:p>
              </w:tc>
              <w:tc>
                <w:tcPr>
                  <w:tcW w:w="739" w:type="pct"/>
                  <w:gridSpan w:val="2"/>
                  <w:tcBorders>
                    <w:top w:val="single" w:color="auto" w:sz="4" w:space="0"/>
                    <w:bottom w:val="single" w:color="auto" w:sz="4" w:space="0"/>
                    <w:right w:val="single" w:color="auto" w:sz="4" w:space="0"/>
                  </w:tcBorders>
                  <w:noWrap w:val="0"/>
                  <w:vAlign w:val="center"/>
                </w:tcPr>
                <w:p w14:paraId="403A495A">
                  <w:pPr>
                    <w:jc w:val="center"/>
                    <w:rPr>
                      <w:rFonts w:hint="eastAsia"/>
                      <w:b/>
                      <w:bCs/>
                      <w:color w:val="auto"/>
                      <w:szCs w:val="21"/>
                    </w:rPr>
                  </w:pPr>
                  <w:r>
                    <w:rPr>
                      <w:rFonts w:hint="eastAsia"/>
                      <w:b/>
                      <w:bCs/>
                      <w:color w:val="auto"/>
                      <w:szCs w:val="21"/>
                    </w:rPr>
                    <w:t>工程</w:t>
                  </w:r>
                </w:p>
                <w:p w14:paraId="7D89517B">
                  <w:pPr>
                    <w:jc w:val="center"/>
                    <w:rPr>
                      <w:b/>
                      <w:bCs/>
                      <w:color w:val="auto"/>
                      <w:szCs w:val="21"/>
                    </w:rPr>
                  </w:pPr>
                  <w:r>
                    <w:rPr>
                      <w:rFonts w:hint="eastAsia"/>
                      <w:b/>
                      <w:bCs/>
                      <w:color w:val="auto"/>
                      <w:szCs w:val="21"/>
                    </w:rPr>
                    <w:t>名称</w:t>
                  </w:r>
                </w:p>
              </w:tc>
              <w:tc>
                <w:tcPr>
                  <w:tcW w:w="3729" w:type="pct"/>
                  <w:tcBorders>
                    <w:top w:val="single" w:color="auto" w:sz="4" w:space="0"/>
                    <w:bottom w:val="single" w:color="auto" w:sz="4" w:space="0"/>
                    <w:right w:val="single" w:color="auto" w:sz="4" w:space="0"/>
                  </w:tcBorders>
                  <w:noWrap w:val="0"/>
                  <w:vAlign w:val="center"/>
                </w:tcPr>
                <w:p w14:paraId="78F238A4">
                  <w:pPr>
                    <w:jc w:val="center"/>
                    <w:rPr>
                      <w:rFonts w:hint="eastAsia"/>
                      <w:b/>
                      <w:bCs/>
                      <w:color w:val="auto"/>
                      <w:szCs w:val="21"/>
                    </w:rPr>
                  </w:pPr>
                  <w:r>
                    <w:rPr>
                      <w:rFonts w:hint="eastAsia"/>
                      <w:b/>
                      <w:bCs/>
                      <w:color w:val="auto"/>
                      <w:szCs w:val="21"/>
                    </w:rPr>
                    <w:t>工程内容及规模</w:t>
                  </w:r>
                </w:p>
              </w:tc>
            </w:tr>
            <w:tr w14:paraId="686FD5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0" w:type="pct"/>
                  <w:vMerge w:val="restart"/>
                  <w:tcBorders>
                    <w:left w:val="single" w:color="auto" w:sz="4" w:space="0"/>
                    <w:right w:val="single" w:color="auto" w:sz="4" w:space="0"/>
                  </w:tcBorders>
                  <w:noWrap w:val="0"/>
                  <w:vAlign w:val="center"/>
                </w:tcPr>
                <w:p w14:paraId="4A7935C7">
                  <w:pPr>
                    <w:jc w:val="center"/>
                    <w:rPr>
                      <w:color w:val="auto"/>
                      <w:szCs w:val="21"/>
                    </w:rPr>
                  </w:pPr>
                  <w:r>
                    <w:rPr>
                      <w:rFonts w:hint="eastAsia"/>
                      <w:b w:val="0"/>
                      <w:bCs w:val="0"/>
                      <w:color w:val="auto"/>
                      <w:szCs w:val="21"/>
                      <w:lang w:eastAsia="zh-CN"/>
                    </w:rPr>
                    <w:t>主体工程</w:t>
                  </w:r>
                </w:p>
              </w:tc>
              <w:tc>
                <w:tcPr>
                  <w:tcW w:w="369" w:type="pct"/>
                  <w:vMerge w:val="restart"/>
                  <w:tcBorders>
                    <w:top w:val="single" w:color="auto" w:sz="4" w:space="0"/>
                    <w:right w:val="single" w:color="auto" w:sz="4" w:space="0"/>
                  </w:tcBorders>
                  <w:noWrap w:val="0"/>
                  <w:vAlign w:val="center"/>
                </w:tcPr>
                <w:p w14:paraId="3B694DE2">
                  <w:pPr>
                    <w:jc w:val="center"/>
                    <w:rPr>
                      <w:rFonts w:hint="default"/>
                      <w:color w:val="auto"/>
                      <w:szCs w:val="21"/>
                      <w:lang w:val="en-US"/>
                    </w:rPr>
                  </w:pPr>
                  <w:r>
                    <w:rPr>
                      <w:rFonts w:hint="eastAsia"/>
                      <w:b w:val="0"/>
                      <w:bCs w:val="0"/>
                      <w:color w:val="auto"/>
                      <w:szCs w:val="21"/>
                      <w:lang w:val="en-US" w:eastAsia="zh-CN"/>
                    </w:rPr>
                    <w:t>门诊楼</w:t>
                  </w:r>
                </w:p>
              </w:tc>
              <w:tc>
                <w:tcPr>
                  <w:tcW w:w="370" w:type="pct"/>
                  <w:tcBorders>
                    <w:top w:val="single" w:color="auto" w:sz="4" w:space="0"/>
                    <w:bottom w:val="single" w:color="auto" w:sz="4" w:space="0"/>
                    <w:right w:val="single" w:color="auto" w:sz="4" w:space="0"/>
                  </w:tcBorders>
                  <w:noWrap w:val="0"/>
                  <w:vAlign w:val="center"/>
                </w:tcPr>
                <w:p w14:paraId="3E298ABB">
                  <w:pPr>
                    <w:jc w:val="center"/>
                    <w:rPr>
                      <w:rFonts w:hint="default"/>
                      <w:b w:val="0"/>
                      <w:bCs w:val="0"/>
                      <w:color w:val="auto"/>
                      <w:szCs w:val="21"/>
                      <w:lang w:val="en-US" w:eastAsia="zh-CN"/>
                    </w:rPr>
                  </w:pPr>
                  <w:r>
                    <w:rPr>
                      <w:rFonts w:hint="eastAsia"/>
                      <w:b w:val="0"/>
                      <w:bCs w:val="0"/>
                      <w:color w:val="auto"/>
                      <w:szCs w:val="21"/>
                      <w:lang w:val="en-US" w:eastAsia="zh-CN"/>
                    </w:rPr>
                    <w:t>1层</w:t>
                  </w:r>
                </w:p>
              </w:tc>
              <w:tc>
                <w:tcPr>
                  <w:tcW w:w="3729" w:type="pct"/>
                  <w:tcBorders>
                    <w:top w:val="single" w:color="auto" w:sz="4" w:space="0"/>
                    <w:bottom w:val="single" w:color="auto" w:sz="4" w:space="0"/>
                    <w:right w:val="single" w:color="auto" w:sz="4" w:space="0"/>
                  </w:tcBorders>
                  <w:noWrap w:val="0"/>
                  <w:vAlign w:val="center"/>
                </w:tcPr>
                <w:p w14:paraId="0B82C0EA">
                  <w:pPr>
                    <w:jc w:val="center"/>
                    <w:rPr>
                      <w:rFonts w:hint="default" w:hAnsi="宋体"/>
                      <w:bCs/>
                      <w:color w:val="auto"/>
                      <w:szCs w:val="21"/>
                      <w:lang w:val="en-US" w:eastAsia="zh-CN"/>
                    </w:rPr>
                  </w:pPr>
                  <w:r>
                    <w:rPr>
                      <w:rFonts w:hint="eastAsia"/>
                      <w:color w:val="auto"/>
                      <w:szCs w:val="21"/>
                      <w:highlight w:val="none"/>
                      <w:lang w:val="en-US" w:eastAsia="zh-CN"/>
                    </w:rPr>
                    <w:t>占地面积2210m</w:t>
                  </w:r>
                  <w:r>
                    <w:rPr>
                      <w:rFonts w:hint="eastAsia"/>
                      <w:color w:val="auto"/>
                      <w:szCs w:val="21"/>
                      <w:highlight w:val="none"/>
                      <w:vertAlign w:val="superscript"/>
                      <w:lang w:val="en-US" w:eastAsia="zh-CN"/>
                    </w:rPr>
                    <w:t>2</w:t>
                  </w:r>
                  <w:r>
                    <w:rPr>
                      <w:rFonts w:hint="eastAsia"/>
                      <w:color w:val="auto"/>
                      <w:szCs w:val="21"/>
                      <w:highlight w:val="none"/>
                      <w:lang w:val="en-US" w:eastAsia="zh-CN"/>
                    </w:rPr>
                    <w:t>，设置有诊室、收费处、门诊大厅、药房、医保窗口、放射科、急诊科</w:t>
                  </w:r>
                </w:p>
              </w:tc>
            </w:tr>
            <w:tr w14:paraId="3AC3C0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0" w:type="pct"/>
                  <w:vMerge w:val="continue"/>
                  <w:tcBorders>
                    <w:left w:val="single" w:color="auto" w:sz="4" w:space="0"/>
                    <w:right w:val="single" w:color="auto" w:sz="4" w:space="0"/>
                  </w:tcBorders>
                  <w:noWrap w:val="0"/>
                  <w:vAlign w:val="center"/>
                </w:tcPr>
                <w:p w14:paraId="76BCD2C5">
                  <w:pPr>
                    <w:jc w:val="center"/>
                    <w:rPr>
                      <w:rFonts w:hint="eastAsia"/>
                      <w:b w:val="0"/>
                      <w:bCs w:val="0"/>
                      <w:color w:val="auto"/>
                      <w:szCs w:val="21"/>
                      <w:lang w:eastAsia="zh-CN"/>
                    </w:rPr>
                  </w:pPr>
                </w:p>
              </w:tc>
              <w:tc>
                <w:tcPr>
                  <w:tcW w:w="369" w:type="pct"/>
                  <w:vMerge w:val="continue"/>
                  <w:tcBorders>
                    <w:bottom w:val="single" w:color="auto" w:sz="4" w:space="0"/>
                    <w:right w:val="single" w:color="auto" w:sz="4" w:space="0"/>
                  </w:tcBorders>
                  <w:noWrap w:val="0"/>
                  <w:vAlign w:val="center"/>
                </w:tcPr>
                <w:p w14:paraId="01BBD724">
                  <w:pPr>
                    <w:jc w:val="center"/>
                    <w:rPr>
                      <w:rFonts w:hint="default"/>
                      <w:b w:val="0"/>
                      <w:bCs w:val="0"/>
                      <w:color w:val="auto"/>
                      <w:szCs w:val="21"/>
                      <w:lang w:val="en-US" w:eastAsia="zh-CN"/>
                    </w:rPr>
                  </w:pPr>
                </w:p>
              </w:tc>
              <w:tc>
                <w:tcPr>
                  <w:tcW w:w="370" w:type="pct"/>
                  <w:tcBorders>
                    <w:top w:val="single" w:color="auto" w:sz="4" w:space="0"/>
                    <w:bottom w:val="single" w:color="auto" w:sz="4" w:space="0"/>
                    <w:right w:val="single" w:color="auto" w:sz="4" w:space="0"/>
                  </w:tcBorders>
                  <w:noWrap w:val="0"/>
                  <w:vAlign w:val="center"/>
                </w:tcPr>
                <w:p w14:paraId="113347E2">
                  <w:pPr>
                    <w:jc w:val="center"/>
                    <w:rPr>
                      <w:rFonts w:hint="default"/>
                      <w:b w:val="0"/>
                      <w:bCs w:val="0"/>
                      <w:color w:val="auto"/>
                      <w:szCs w:val="21"/>
                      <w:lang w:val="en-US" w:eastAsia="zh-CN"/>
                    </w:rPr>
                  </w:pPr>
                  <w:r>
                    <w:rPr>
                      <w:rFonts w:hint="eastAsia"/>
                      <w:b w:val="0"/>
                      <w:bCs w:val="0"/>
                      <w:color w:val="auto"/>
                      <w:szCs w:val="21"/>
                      <w:lang w:val="en-US" w:eastAsia="zh-CN"/>
                    </w:rPr>
                    <w:t>2层</w:t>
                  </w:r>
                </w:p>
              </w:tc>
              <w:tc>
                <w:tcPr>
                  <w:tcW w:w="3729" w:type="pct"/>
                  <w:tcBorders>
                    <w:top w:val="single" w:color="auto" w:sz="4" w:space="0"/>
                    <w:bottom w:val="single" w:color="auto" w:sz="4" w:space="0"/>
                    <w:right w:val="single" w:color="auto" w:sz="4" w:space="0"/>
                  </w:tcBorders>
                  <w:noWrap w:val="0"/>
                  <w:vAlign w:val="center"/>
                </w:tcPr>
                <w:p w14:paraId="7D8112A8">
                  <w:pPr>
                    <w:jc w:val="center"/>
                    <w:rPr>
                      <w:rFonts w:hint="default"/>
                      <w:color w:val="auto"/>
                      <w:szCs w:val="21"/>
                      <w:highlight w:val="none"/>
                      <w:lang w:val="en-US" w:eastAsia="zh-CN"/>
                    </w:rPr>
                  </w:pPr>
                  <w:r>
                    <w:rPr>
                      <w:rFonts w:hint="eastAsia"/>
                      <w:color w:val="auto"/>
                      <w:szCs w:val="21"/>
                      <w:highlight w:val="none"/>
                      <w:lang w:val="en-US" w:eastAsia="zh-CN"/>
                    </w:rPr>
                    <w:t>占地面积2210m</w:t>
                  </w:r>
                  <w:r>
                    <w:rPr>
                      <w:rFonts w:hint="eastAsia"/>
                      <w:color w:val="auto"/>
                      <w:szCs w:val="21"/>
                      <w:highlight w:val="none"/>
                      <w:vertAlign w:val="superscript"/>
                      <w:lang w:val="en-US" w:eastAsia="zh-CN"/>
                    </w:rPr>
                    <w:t>2</w:t>
                  </w:r>
                  <w:r>
                    <w:rPr>
                      <w:rFonts w:hint="eastAsia"/>
                      <w:color w:val="auto"/>
                      <w:szCs w:val="21"/>
                      <w:highlight w:val="none"/>
                      <w:lang w:val="en-US" w:eastAsia="zh-CN"/>
                    </w:rPr>
                    <w:t>，设置有职工休息区、办公区、理疗区、病案室、检验区</w:t>
                  </w:r>
                </w:p>
              </w:tc>
            </w:tr>
            <w:tr w14:paraId="5EFC24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0" w:type="pct"/>
                  <w:vMerge w:val="continue"/>
                  <w:tcBorders>
                    <w:left w:val="single" w:color="auto" w:sz="4" w:space="0"/>
                    <w:right w:val="single" w:color="auto" w:sz="4" w:space="0"/>
                  </w:tcBorders>
                  <w:noWrap w:val="0"/>
                  <w:vAlign w:val="center"/>
                </w:tcPr>
                <w:p w14:paraId="6354F003">
                  <w:pPr>
                    <w:jc w:val="center"/>
                    <w:rPr>
                      <w:rFonts w:hint="eastAsia"/>
                      <w:b w:val="0"/>
                      <w:bCs w:val="0"/>
                      <w:color w:val="auto"/>
                      <w:szCs w:val="21"/>
                      <w:lang w:eastAsia="zh-CN"/>
                    </w:rPr>
                  </w:pPr>
                </w:p>
              </w:tc>
              <w:tc>
                <w:tcPr>
                  <w:tcW w:w="739" w:type="pct"/>
                  <w:gridSpan w:val="2"/>
                  <w:tcBorders>
                    <w:bottom w:val="single" w:color="auto" w:sz="4" w:space="0"/>
                    <w:right w:val="single" w:color="auto" w:sz="4" w:space="0"/>
                  </w:tcBorders>
                  <w:noWrap w:val="0"/>
                  <w:vAlign w:val="center"/>
                </w:tcPr>
                <w:p w14:paraId="7D17CED7">
                  <w:pPr>
                    <w:jc w:val="center"/>
                    <w:rPr>
                      <w:rFonts w:hint="eastAsia"/>
                      <w:b w:val="0"/>
                      <w:bCs w:val="0"/>
                      <w:color w:val="auto"/>
                      <w:szCs w:val="21"/>
                      <w:lang w:val="en-US" w:eastAsia="zh-CN"/>
                    </w:rPr>
                  </w:pPr>
                  <w:r>
                    <w:rPr>
                      <w:rFonts w:hint="eastAsia"/>
                      <w:b w:val="0"/>
                      <w:bCs w:val="0"/>
                      <w:color w:val="auto"/>
                      <w:szCs w:val="21"/>
                      <w:lang w:val="en-US" w:eastAsia="zh-CN"/>
                    </w:rPr>
                    <w:t>住院部</w:t>
                  </w:r>
                </w:p>
              </w:tc>
              <w:tc>
                <w:tcPr>
                  <w:tcW w:w="3729" w:type="pct"/>
                  <w:tcBorders>
                    <w:top w:val="single" w:color="auto" w:sz="4" w:space="0"/>
                    <w:bottom w:val="single" w:color="auto" w:sz="4" w:space="0"/>
                    <w:right w:val="single" w:color="auto" w:sz="4" w:space="0"/>
                  </w:tcBorders>
                  <w:noWrap w:val="0"/>
                  <w:vAlign w:val="center"/>
                </w:tcPr>
                <w:p w14:paraId="2659ABA1">
                  <w:pPr>
                    <w:jc w:val="center"/>
                    <w:rPr>
                      <w:rFonts w:hint="default"/>
                      <w:color w:val="auto"/>
                      <w:szCs w:val="21"/>
                      <w:highlight w:val="none"/>
                      <w:lang w:val="en-US" w:eastAsia="zh-CN"/>
                    </w:rPr>
                  </w:pPr>
                  <w:r>
                    <w:rPr>
                      <w:rFonts w:hint="eastAsia"/>
                      <w:color w:val="auto"/>
                      <w:szCs w:val="21"/>
                      <w:highlight w:val="none"/>
                      <w:lang w:val="en-US" w:eastAsia="zh-CN"/>
                    </w:rPr>
                    <w:t>占地面积2763m</w:t>
                  </w:r>
                  <w:r>
                    <w:rPr>
                      <w:rFonts w:hint="eastAsia"/>
                      <w:color w:val="auto"/>
                      <w:szCs w:val="21"/>
                      <w:highlight w:val="none"/>
                      <w:vertAlign w:val="superscript"/>
                      <w:lang w:val="en-US" w:eastAsia="zh-CN"/>
                    </w:rPr>
                    <w:t>2</w:t>
                  </w:r>
                  <w:r>
                    <w:rPr>
                      <w:rFonts w:hint="eastAsia"/>
                      <w:color w:val="auto"/>
                      <w:szCs w:val="21"/>
                      <w:highlight w:val="none"/>
                      <w:lang w:val="en-US" w:eastAsia="zh-CN"/>
                    </w:rPr>
                    <w:t>，共4层。均为病房。</w:t>
                  </w:r>
                </w:p>
              </w:tc>
            </w:tr>
            <w:tr w14:paraId="1CB1A4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0" w:type="pct"/>
                  <w:vMerge w:val="restart"/>
                  <w:tcBorders>
                    <w:left w:val="single" w:color="auto" w:sz="4" w:space="0"/>
                    <w:right w:val="single" w:color="auto" w:sz="4" w:space="0"/>
                  </w:tcBorders>
                  <w:noWrap w:val="0"/>
                  <w:vAlign w:val="center"/>
                </w:tcPr>
                <w:p w14:paraId="68E0B50C">
                  <w:pPr>
                    <w:jc w:val="center"/>
                    <w:rPr>
                      <w:color w:val="auto"/>
                      <w:szCs w:val="21"/>
                    </w:rPr>
                  </w:pPr>
                  <w:r>
                    <w:rPr>
                      <w:color w:val="auto"/>
                      <w:szCs w:val="21"/>
                    </w:rPr>
                    <w:t>辅助工程</w:t>
                  </w:r>
                </w:p>
              </w:tc>
              <w:tc>
                <w:tcPr>
                  <w:tcW w:w="739" w:type="pct"/>
                  <w:gridSpan w:val="2"/>
                  <w:tcBorders>
                    <w:top w:val="single" w:color="auto" w:sz="4" w:space="0"/>
                    <w:bottom w:val="single" w:color="auto" w:sz="4" w:space="0"/>
                    <w:right w:val="single" w:color="auto" w:sz="4" w:space="0"/>
                  </w:tcBorders>
                  <w:noWrap w:val="0"/>
                  <w:vAlign w:val="center"/>
                </w:tcPr>
                <w:p w14:paraId="4EBE58B7">
                  <w:pPr>
                    <w:adjustRightInd w:val="0"/>
                    <w:jc w:val="center"/>
                    <w:rPr>
                      <w:rFonts w:hint="default" w:eastAsia="宋体"/>
                      <w:color w:val="auto"/>
                      <w:szCs w:val="21"/>
                      <w:lang w:val="en-US" w:eastAsia="zh-CN"/>
                    </w:rPr>
                  </w:pPr>
                  <w:r>
                    <w:rPr>
                      <w:rFonts w:hint="eastAsia"/>
                      <w:color w:val="auto"/>
                      <w:szCs w:val="21"/>
                      <w:highlight w:val="none"/>
                      <w:lang w:val="en-US" w:eastAsia="zh-CN"/>
                    </w:rPr>
                    <w:t>消防水池</w:t>
                  </w:r>
                </w:p>
              </w:tc>
              <w:tc>
                <w:tcPr>
                  <w:tcW w:w="3729" w:type="pct"/>
                  <w:tcBorders>
                    <w:top w:val="single" w:color="auto" w:sz="4" w:space="0"/>
                    <w:bottom w:val="single" w:color="auto" w:sz="4" w:space="0"/>
                    <w:right w:val="single" w:color="auto" w:sz="4" w:space="0"/>
                  </w:tcBorders>
                  <w:noWrap w:val="0"/>
                  <w:vAlign w:val="center"/>
                </w:tcPr>
                <w:p w14:paraId="223539CC">
                  <w:pPr>
                    <w:adjustRightInd w:val="0"/>
                    <w:jc w:val="center"/>
                    <w:rPr>
                      <w:rFonts w:hint="eastAsia" w:eastAsia="宋体"/>
                      <w:color w:val="auto"/>
                      <w:szCs w:val="21"/>
                      <w:lang w:val="en-US" w:eastAsia="zh-CN"/>
                    </w:rPr>
                  </w:pPr>
                  <w:r>
                    <w:rPr>
                      <w:rFonts w:hint="eastAsia" w:hAnsi="宋体"/>
                      <w:bCs/>
                      <w:color w:val="auto"/>
                      <w:szCs w:val="21"/>
                      <w:highlight w:val="none"/>
                      <w:lang w:val="en-US" w:eastAsia="zh-CN"/>
                    </w:rPr>
                    <w:t>住院楼西侧，约240</w:t>
                  </w:r>
                  <w:r>
                    <w:rPr>
                      <w:szCs w:val="21"/>
                      <w:highlight w:val="none"/>
                    </w:rPr>
                    <w:t>m</w:t>
                  </w:r>
                  <w:r>
                    <w:rPr>
                      <w:rFonts w:hint="eastAsia"/>
                      <w:szCs w:val="21"/>
                      <w:highlight w:val="none"/>
                      <w:vertAlign w:val="superscript"/>
                      <w:lang w:val="en-US" w:eastAsia="zh-CN"/>
                    </w:rPr>
                    <w:t>3</w:t>
                  </w:r>
                  <w:r>
                    <w:rPr>
                      <w:rFonts w:hint="eastAsia"/>
                      <w:szCs w:val="21"/>
                      <w:highlight w:val="none"/>
                      <w:vertAlign w:val="baseline"/>
                      <w:lang w:eastAsia="zh-CN"/>
                    </w:rPr>
                    <w:t>。</w:t>
                  </w:r>
                </w:p>
              </w:tc>
            </w:tr>
            <w:tr w14:paraId="5E12DC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0" w:type="pct"/>
                  <w:vMerge w:val="continue"/>
                  <w:tcBorders>
                    <w:left w:val="single" w:color="auto" w:sz="4" w:space="0"/>
                    <w:right w:val="single" w:color="auto" w:sz="4" w:space="0"/>
                  </w:tcBorders>
                  <w:noWrap w:val="0"/>
                  <w:vAlign w:val="center"/>
                </w:tcPr>
                <w:p w14:paraId="45093F71">
                  <w:pPr>
                    <w:jc w:val="center"/>
                    <w:rPr>
                      <w:color w:val="auto"/>
                      <w:szCs w:val="21"/>
                    </w:rPr>
                  </w:pPr>
                </w:p>
              </w:tc>
              <w:tc>
                <w:tcPr>
                  <w:tcW w:w="739" w:type="pct"/>
                  <w:gridSpan w:val="2"/>
                  <w:tcBorders>
                    <w:top w:val="single" w:color="auto" w:sz="4" w:space="0"/>
                    <w:bottom w:val="single" w:color="auto" w:sz="4" w:space="0"/>
                    <w:right w:val="single" w:color="auto" w:sz="4" w:space="0"/>
                  </w:tcBorders>
                  <w:noWrap w:val="0"/>
                  <w:vAlign w:val="center"/>
                </w:tcPr>
                <w:p w14:paraId="40E71B35">
                  <w:pPr>
                    <w:jc w:val="center"/>
                    <w:rPr>
                      <w:rFonts w:hint="eastAsia"/>
                      <w:color w:val="auto"/>
                      <w:szCs w:val="21"/>
                      <w:highlight w:val="none"/>
                      <w:lang w:eastAsia="zh-CN"/>
                    </w:rPr>
                  </w:pPr>
                  <w:r>
                    <w:rPr>
                      <w:rFonts w:hint="eastAsia"/>
                      <w:color w:val="auto"/>
                      <w:szCs w:val="21"/>
                      <w:highlight w:val="none"/>
                      <w:lang w:eastAsia="zh-CN"/>
                    </w:rPr>
                    <w:t>配电房</w:t>
                  </w:r>
                </w:p>
              </w:tc>
              <w:tc>
                <w:tcPr>
                  <w:tcW w:w="3729" w:type="pct"/>
                  <w:tcBorders>
                    <w:top w:val="single" w:color="auto" w:sz="4" w:space="0"/>
                    <w:bottom w:val="single" w:color="auto" w:sz="4" w:space="0"/>
                    <w:right w:val="single" w:color="auto" w:sz="4" w:space="0"/>
                  </w:tcBorders>
                  <w:noWrap w:val="0"/>
                  <w:vAlign w:val="center"/>
                </w:tcPr>
                <w:p w14:paraId="46CD2164">
                  <w:pPr>
                    <w:jc w:val="center"/>
                    <w:rPr>
                      <w:rFonts w:hint="eastAsia" w:hAnsi="宋体"/>
                      <w:color w:val="auto"/>
                      <w:szCs w:val="21"/>
                      <w:highlight w:val="none"/>
                      <w:lang w:eastAsia="zh-CN"/>
                    </w:rPr>
                  </w:pPr>
                  <w:r>
                    <w:rPr>
                      <w:rFonts w:hint="eastAsia" w:hAnsi="宋体"/>
                      <w:color w:val="auto"/>
                      <w:szCs w:val="21"/>
                      <w:highlight w:val="none"/>
                      <w:lang w:val="en-US" w:eastAsia="zh-CN"/>
                    </w:rPr>
                    <w:t>位于住院部1楼，</w:t>
                  </w:r>
                  <w:r>
                    <w:rPr>
                      <w:rFonts w:hint="eastAsia" w:hAnsi="宋体"/>
                      <w:color w:val="auto"/>
                      <w:szCs w:val="21"/>
                      <w:highlight w:val="none"/>
                      <w:lang w:eastAsia="zh-CN"/>
                    </w:rPr>
                    <w:t>占地面积约</w:t>
                  </w:r>
                  <w:r>
                    <w:rPr>
                      <w:rFonts w:hint="eastAsia" w:hAnsi="宋体"/>
                      <w:color w:val="auto"/>
                      <w:szCs w:val="21"/>
                      <w:highlight w:val="none"/>
                      <w:lang w:val="en-US" w:eastAsia="zh-CN"/>
                    </w:rPr>
                    <w:t>30</w:t>
                  </w:r>
                  <w:r>
                    <w:rPr>
                      <w:rFonts w:hint="eastAsia" w:hAnsi="宋体"/>
                      <w:color w:val="auto"/>
                      <w:szCs w:val="21"/>
                      <w:highlight w:val="none"/>
                      <w:lang w:eastAsia="zh-CN"/>
                    </w:rPr>
                    <w:t>m</w:t>
                  </w:r>
                  <w:r>
                    <w:rPr>
                      <w:rFonts w:hint="eastAsia" w:hAnsi="宋体"/>
                      <w:color w:val="auto"/>
                      <w:szCs w:val="21"/>
                      <w:highlight w:val="none"/>
                      <w:vertAlign w:val="superscript"/>
                      <w:lang w:eastAsia="zh-CN"/>
                    </w:rPr>
                    <w:t>2</w:t>
                  </w:r>
                  <w:r>
                    <w:rPr>
                      <w:rFonts w:hint="eastAsia" w:hAnsi="宋体"/>
                      <w:color w:val="auto"/>
                      <w:szCs w:val="21"/>
                      <w:highlight w:val="none"/>
                      <w:vertAlign w:val="baseline"/>
                      <w:lang w:eastAsia="zh-CN"/>
                    </w:rPr>
                    <w:t>。</w:t>
                  </w:r>
                </w:p>
              </w:tc>
            </w:tr>
            <w:tr w14:paraId="6D8E90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0" w:type="pct"/>
                  <w:vMerge w:val="continue"/>
                  <w:tcBorders>
                    <w:left w:val="single" w:color="auto" w:sz="4" w:space="0"/>
                    <w:right w:val="single" w:color="auto" w:sz="4" w:space="0"/>
                  </w:tcBorders>
                  <w:noWrap w:val="0"/>
                  <w:vAlign w:val="center"/>
                </w:tcPr>
                <w:p w14:paraId="42050AAF">
                  <w:pPr>
                    <w:jc w:val="center"/>
                    <w:rPr>
                      <w:color w:val="auto"/>
                      <w:szCs w:val="21"/>
                    </w:rPr>
                  </w:pPr>
                </w:p>
              </w:tc>
              <w:tc>
                <w:tcPr>
                  <w:tcW w:w="739" w:type="pct"/>
                  <w:gridSpan w:val="2"/>
                  <w:tcBorders>
                    <w:top w:val="single" w:color="auto" w:sz="4" w:space="0"/>
                    <w:bottom w:val="single" w:color="auto" w:sz="4" w:space="0"/>
                    <w:right w:val="single" w:color="auto" w:sz="4" w:space="0"/>
                  </w:tcBorders>
                  <w:noWrap w:val="0"/>
                  <w:vAlign w:val="center"/>
                </w:tcPr>
                <w:p w14:paraId="5887AA45">
                  <w:pPr>
                    <w:jc w:val="center"/>
                    <w:rPr>
                      <w:rFonts w:hint="default"/>
                      <w:color w:val="auto"/>
                      <w:szCs w:val="21"/>
                      <w:highlight w:val="none"/>
                      <w:lang w:val="en-US" w:eastAsia="zh-CN"/>
                    </w:rPr>
                  </w:pPr>
                  <w:r>
                    <w:rPr>
                      <w:rFonts w:hint="eastAsia"/>
                      <w:color w:val="auto"/>
                      <w:szCs w:val="21"/>
                      <w:highlight w:val="none"/>
                      <w:lang w:val="en-US" w:eastAsia="zh-CN"/>
                    </w:rPr>
                    <w:t>柴油发电机房</w:t>
                  </w:r>
                </w:p>
              </w:tc>
              <w:tc>
                <w:tcPr>
                  <w:tcW w:w="3729" w:type="pct"/>
                  <w:tcBorders>
                    <w:top w:val="single" w:color="auto" w:sz="4" w:space="0"/>
                    <w:bottom w:val="single" w:color="auto" w:sz="4" w:space="0"/>
                    <w:right w:val="single" w:color="auto" w:sz="4" w:space="0"/>
                  </w:tcBorders>
                  <w:noWrap w:val="0"/>
                  <w:vAlign w:val="center"/>
                </w:tcPr>
                <w:p w14:paraId="3F6CBB7C">
                  <w:pPr>
                    <w:jc w:val="center"/>
                    <w:rPr>
                      <w:rFonts w:hint="default" w:hAnsi="宋体"/>
                      <w:color w:val="auto"/>
                      <w:szCs w:val="21"/>
                      <w:highlight w:val="none"/>
                      <w:lang w:val="en-US" w:eastAsia="zh-CN"/>
                    </w:rPr>
                  </w:pPr>
                  <w:r>
                    <w:rPr>
                      <w:rFonts w:hint="eastAsia" w:hAnsi="宋体"/>
                      <w:color w:val="auto"/>
                      <w:szCs w:val="21"/>
                      <w:highlight w:val="none"/>
                      <w:lang w:val="en-US" w:eastAsia="zh-CN"/>
                    </w:rPr>
                    <w:t>位于院区西北侧，占地面积约30</w:t>
                  </w:r>
                  <w:r>
                    <w:rPr>
                      <w:rFonts w:hint="eastAsia" w:hAnsi="宋体"/>
                      <w:color w:val="auto"/>
                      <w:szCs w:val="21"/>
                      <w:highlight w:val="none"/>
                      <w:lang w:eastAsia="zh-CN"/>
                    </w:rPr>
                    <w:t>m</w:t>
                  </w:r>
                  <w:r>
                    <w:rPr>
                      <w:rFonts w:hint="eastAsia" w:hAnsi="宋体"/>
                      <w:color w:val="auto"/>
                      <w:szCs w:val="21"/>
                      <w:highlight w:val="none"/>
                      <w:vertAlign w:val="superscript"/>
                      <w:lang w:eastAsia="zh-CN"/>
                    </w:rPr>
                    <w:t>2</w:t>
                  </w:r>
                  <w:r>
                    <w:rPr>
                      <w:rFonts w:hint="eastAsia" w:hAnsi="宋体"/>
                      <w:color w:val="auto"/>
                      <w:szCs w:val="21"/>
                      <w:highlight w:val="none"/>
                      <w:vertAlign w:val="baseline"/>
                      <w:lang w:eastAsia="zh-CN"/>
                    </w:rPr>
                    <w:t>，</w:t>
                  </w:r>
                  <w:r>
                    <w:rPr>
                      <w:rFonts w:hint="eastAsia" w:hAnsi="宋体"/>
                      <w:color w:val="auto"/>
                      <w:szCs w:val="21"/>
                      <w:highlight w:val="none"/>
                      <w:lang w:eastAsia="zh-CN"/>
                    </w:rPr>
                    <w:t>放置备用柴油发电机</w:t>
                  </w:r>
                  <w:r>
                    <w:rPr>
                      <w:rFonts w:hint="eastAsia" w:hAnsi="宋体"/>
                      <w:color w:val="auto"/>
                      <w:szCs w:val="21"/>
                      <w:highlight w:val="none"/>
                      <w:lang w:val="en-US" w:eastAsia="zh-CN"/>
                    </w:rPr>
                    <w:t>1台</w:t>
                  </w:r>
                  <w:r>
                    <w:rPr>
                      <w:rFonts w:hint="eastAsia" w:hAnsi="宋体"/>
                      <w:color w:val="auto"/>
                      <w:szCs w:val="21"/>
                      <w:highlight w:val="none"/>
                      <w:lang w:eastAsia="zh-CN"/>
                    </w:rPr>
                    <w:t>。</w:t>
                  </w:r>
                </w:p>
              </w:tc>
            </w:tr>
            <w:tr w14:paraId="292E16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0" w:type="pct"/>
                  <w:vMerge w:val="restart"/>
                  <w:tcBorders>
                    <w:left w:val="single" w:color="auto" w:sz="4" w:space="0"/>
                    <w:right w:val="single" w:color="auto" w:sz="4" w:space="0"/>
                  </w:tcBorders>
                  <w:noWrap w:val="0"/>
                  <w:vAlign w:val="center"/>
                </w:tcPr>
                <w:p w14:paraId="42A58CA3">
                  <w:pPr>
                    <w:jc w:val="center"/>
                    <w:rPr>
                      <w:color w:val="auto"/>
                      <w:szCs w:val="21"/>
                    </w:rPr>
                  </w:pPr>
                  <w:r>
                    <w:rPr>
                      <w:rFonts w:hint="eastAsia"/>
                      <w:color w:val="auto"/>
                      <w:szCs w:val="21"/>
                      <w:lang w:val="en-US" w:eastAsia="zh-CN"/>
                    </w:rPr>
                    <w:t>/</w:t>
                  </w:r>
                  <w:r>
                    <w:rPr>
                      <w:color w:val="auto"/>
                      <w:szCs w:val="21"/>
                    </w:rPr>
                    <w:t>公用</w:t>
                  </w:r>
                </w:p>
                <w:p w14:paraId="03902AF9">
                  <w:pPr>
                    <w:jc w:val="center"/>
                    <w:rPr>
                      <w:color w:val="auto"/>
                      <w:szCs w:val="21"/>
                    </w:rPr>
                  </w:pPr>
                  <w:r>
                    <w:rPr>
                      <w:color w:val="auto"/>
                      <w:szCs w:val="21"/>
                    </w:rPr>
                    <w:t>工程</w:t>
                  </w:r>
                </w:p>
              </w:tc>
              <w:tc>
                <w:tcPr>
                  <w:tcW w:w="739" w:type="pct"/>
                  <w:gridSpan w:val="2"/>
                  <w:tcBorders>
                    <w:top w:val="single" w:color="auto" w:sz="4" w:space="0"/>
                    <w:bottom w:val="single" w:color="auto" w:sz="4" w:space="0"/>
                    <w:right w:val="single" w:color="auto" w:sz="4" w:space="0"/>
                  </w:tcBorders>
                  <w:noWrap w:val="0"/>
                  <w:vAlign w:val="center"/>
                </w:tcPr>
                <w:p w14:paraId="17C9A0D2">
                  <w:pPr>
                    <w:jc w:val="center"/>
                    <w:rPr>
                      <w:color w:val="auto"/>
                      <w:szCs w:val="21"/>
                      <w:highlight w:val="none"/>
                    </w:rPr>
                  </w:pPr>
                  <w:r>
                    <w:rPr>
                      <w:color w:val="auto"/>
                      <w:szCs w:val="21"/>
                      <w:highlight w:val="none"/>
                    </w:rPr>
                    <w:t>给水</w:t>
                  </w:r>
                </w:p>
              </w:tc>
              <w:tc>
                <w:tcPr>
                  <w:tcW w:w="3729" w:type="pct"/>
                  <w:tcBorders>
                    <w:top w:val="single" w:color="auto" w:sz="4" w:space="0"/>
                    <w:bottom w:val="single" w:color="auto" w:sz="4" w:space="0"/>
                    <w:right w:val="single" w:color="auto" w:sz="4" w:space="0"/>
                  </w:tcBorders>
                  <w:noWrap w:val="0"/>
                  <w:vAlign w:val="center"/>
                </w:tcPr>
                <w:p w14:paraId="21EDBF06">
                  <w:pPr>
                    <w:jc w:val="center"/>
                    <w:rPr>
                      <w:color w:val="auto"/>
                      <w:szCs w:val="21"/>
                      <w:highlight w:val="none"/>
                    </w:rPr>
                  </w:pPr>
                  <w:r>
                    <w:rPr>
                      <w:rFonts w:hint="eastAsia" w:hAnsi="宋体"/>
                      <w:color w:val="auto"/>
                      <w:szCs w:val="21"/>
                      <w:highlight w:val="none"/>
                    </w:rPr>
                    <w:t>由</w:t>
                  </w:r>
                  <w:r>
                    <w:rPr>
                      <w:rFonts w:hAnsi="宋体"/>
                      <w:color w:val="auto"/>
                      <w:szCs w:val="21"/>
                      <w:highlight w:val="none"/>
                    </w:rPr>
                    <w:t>市政供水管网</w:t>
                  </w:r>
                  <w:r>
                    <w:rPr>
                      <w:rFonts w:hint="eastAsia" w:hAnsi="宋体"/>
                      <w:color w:val="auto"/>
                      <w:szCs w:val="21"/>
                      <w:highlight w:val="none"/>
                      <w:lang w:val="en-US" w:eastAsia="zh-CN"/>
                    </w:rPr>
                    <w:t>提供水源</w:t>
                  </w:r>
                </w:p>
              </w:tc>
            </w:tr>
            <w:tr w14:paraId="10E0C3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0" w:type="pct"/>
                  <w:vMerge w:val="continue"/>
                  <w:tcBorders>
                    <w:left w:val="single" w:color="auto" w:sz="4" w:space="0"/>
                    <w:right w:val="single" w:color="auto" w:sz="4" w:space="0"/>
                  </w:tcBorders>
                  <w:noWrap w:val="0"/>
                  <w:vAlign w:val="center"/>
                </w:tcPr>
                <w:p w14:paraId="7FFFC9B9">
                  <w:pPr>
                    <w:widowControl/>
                    <w:jc w:val="center"/>
                    <w:rPr>
                      <w:color w:val="auto"/>
                      <w:szCs w:val="21"/>
                    </w:rPr>
                  </w:pPr>
                </w:p>
              </w:tc>
              <w:tc>
                <w:tcPr>
                  <w:tcW w:w="739" w:type="pct"/>
                  <w:gridSpan w:val="2"/>
                  <w:tcBorders>
                    <w:top w:val="single" w:color="auto" w:sz="4" w:space="0"/>
                    <w:bottom w:val="single" w:color="auto" w:sz="4" w:space="0"/>
                    <w:right w:val="single" w:color="auto" w:sz="4" w:space="0"/>
                  </w:tcBorders>
                  <w:noWrap w:val="0"/>
                  <w:vAlign w:val="center"/>
                </w:tcPr>
                <w:p w14:paraId="558E7EBF">
                  <w:pPr>
                    <w:jc w:val="center"/>
                    <w:rPr>
                      <w:color w:val="auto"/>
                      <w:szCs w:val="21"/>
                      <w:highlight w:val="none"/>
                    </w:rPr>
                  </w:pPr>
                  <w:r>
                    <w:rPr>
                      <w:color w:val="auto"/>
                      <w:szCs w:val="21"/>
                      <w:highlight w:val="none"/>
                    </w:rPr>
                    <w:t>供电</w:t>
                  </w:r>
                </w:p>
              </w:tc>
              <w:tc>
                <w:tcPr>
                  <w:tcW w:w="3729" w:type="pct"/>
                  <w:tcBorders>
                    <w:top w:val="single" w:color="auto" w:sz="4" w:space="0"/>
                    <w:bottom w:val="single" w:color="auto" w:sz="4" w:space="0"/>
                    <w:right w:val="single" w:color="auto" w:sz="4" w:space="0"/>
                  </w:tcBorders>
                  <w:noWrap w:val="0"/>
                  <w:vAlign w:val="center"/>
                </w:tcPr>
                <w:p w14:paraId="4ACE9856">
                  <w:pPr>
                    <w:jc w:val="center"/>
                    <w:rPr>
                      <w:rFonts w:hint="eastAsia"/>
                      <w:color w:val="auto"/>
                      <w:szCs w:val="21"/>
                      <w:highlight w:val="none"/>
                    </w:rPr>
                  </w:pPr>
                  <w:r>
                    <w:rPr>
                      <w:rFonts w:hint="eastAsia" w:hAnsi="宋体"/>
                      <w:color w:val="auto"/>
                      <w:szCs w:val="21"/>
                      <w:highlight w:val="none"/>
                    </w:rPr>
                    <w:t>由</w:t>
                  </w:r>
                  <w:r>
                    <w:rPr>
                      <w:rFonts w:hAnsi="宋体"/>
                      <w:color w:val="auto"/>
                      <w:szCs w:val="21"/>
                      <w:highlight w:val="none"/>
                    </w:rPr>
                    <w:t>市政电网供应</w:t>
                  </w:r>
                </w:p>
              </w:tc>
            </w:tr>
            <w:tr w14:paraId="7683DD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0" w:type="pct"/>
                  <w:vMerge w:val="continue"/>
                  <w:tcBorders>
                    <w:left w:val="single" w:color="auto" w:sz="4" w:space="0"/>
                    <w:right w:val="single" w:color="auto" w:sz="4" w:space="0"/>
                  </w:tcBorders>
                  <w:noWrap w:val="0"/>
                  <w:vAlign w:val="center"/>
                </w:tcPr>
                <w:p w14:paraId="0CFFD892">
                  <w:pPr>
                    <w:widowControl/>
                    <w:jc w:val="center"/>
                    <w:rPr>
                      <w:color w:val="auto"/>
                      <w:szCs w:val="21"/>
                    </w:rPr>
                  </w:pPr>
                </w:p>
              </w:tc>
              <w:tc>
                <w:tcPr>
                  <w:tcW w:w="739" w:type="pct"/>
                  <w:gridSpan w:val="2"/>
                  <w:tcBorders>
                    <w:top w:val="single" w:color="auto" w:sz="4" w:space="0"/>
                    <w:bottom w:val="single" w:color="auto" w:sz="4" w:space="0"/>
                    <w:right w:val="single" w:color="auto" w:sz="4" w:space="0"/>
                  </w:tcBorders>
                  <w:noWrap w:val="0"/>
                  <w:vAlign w:val="center"/>
                </w:tcPr>
                <w:p w14:paraId="5B9DC56F">
                  <w:pPr>
                    <w:jc w:val="center"/>
                    <w:rPr>
                      <w:rFonts w:hint="eastAsia" w:eastAsia="宋体"/>
                      <w:color w:val="auto"/>
                      <w:szCs w:val="21"/>
                      <w:highlight w:val="none"/>
                      <w:lang w:eastAsia="zh-CN"/>
                    </w:rPr>
                  </w:pPr>
                  <w:r>
                    <w:rPr>
                      <w:rFonts w:hint="eastAsia"/>
                      <w:color w:val="auto"/>
                      <w:szCs w:val="21"/>
                      <w:highlight w:val="none"/>
                      <w:lang w:eastAsia="zh-CN"/>
                    </w:rPr>
                    <w:t>供热及制冷</w:t>
                  </w:r>
                </w:p>
              </w:tc>
              <w:tc>
                <w:tcPr>
                  <w:tcW w:w="3729" w:type="pct"/>
                  <w:tcBorders>
                    <w:top w:val="single" w:color="auto" w:sz="4" w:space="0"/>
                    <w:bottom w:val="single" w:color="auto" w:sz="4" w:space="0"/>
                    <w:right w:val="single" w:color="auto" w:sz="4" w:space="0"/>
                  </w:tcBorders>
                  <w:noWrap w:val="0"/>
                  <w:vAlign w:val="center"/>
                </w:tcPr>
                <w:p w14:paraId="5706F415">
                  <w:pPr>
                    <w:jc w:val="center"/>
                    <w:rPr>
                      <w:rFonts w:hint="eastAsia" w:hAnsi="宋体"/>
                      <w:color w:val="auto"/>
                      <w:szCs w:val="21"/>
                      <w:highlight w:val="none"/>
                    </w:rPr>
                  </w:pPr>
                  <w:r>
                    <w:rPr>
                      <w:rFonts w:hint="eastAsia" w:hAnsi="宋体"/>
                      <w:color w:val="auto"/>
                      <w:szCs w:val="21"/>
                      <w:highlight w:val="none"/>
                    </w:rPr>
                    <w:t>夏季制冷、冬季采暖均采用空调</w:t>
                  </w:r>
                </w:p>
              </w:tc>
            </w:tr>
            <w:tr w14:paraId="583D0D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0" w:type="pct"/>
                  <w:vMerge w:val="restart"/>
                  <w:tcBorders>
                    <w:left w:val="single" w:color="auto" w:sz="4" w:space="0"/>
                    <w:right w:val="single" w:color="auto" w:sz="4" w:space="0"/>
                  </w:tcBorders>
                  <w:noWrap w:val="0"/>
                  <w:vAlign w:val="center"/>
                </w:tcPr>
                <w:p w14:paraId="1563D930">
                  <w:pPr>
                    <w:widowControl/>
                    <w:jc w:val="center"/>
                    <w:rPr>
                      <w:color w:val="auto"/>
                      <w:szCs w:val="21"/>
                      <w:highlight w:val="none"/>
                    </w:rPr>
                  </w:pPr>
                  <w:r>
                    <w:rPr>
                      <w:color w:val="auto"/>
                      <w:szCs w:val="21"/>
                      <w:highlight w:val="none"/>
                    </w:rPr>
                    <w:t>环保</w:t>
                  </w:r>
                </w:p>
                <w:p w14:paraId="7CA1429D">
                  <w:pPr>
                    <w:widowControl/>
                    <w:jc w:val="center"/>
                    <w:rPr>
                      <w:color w:val="auto"/>
                      <w:szCs w:val="21"/>
                      <w:highlight w:val="none"/>
                    </w:rPr>
                  </w:pPr>
                  <w:r>
                    <w:rPr>
                      <w:color w:val="auto"/>
                      <w:szCs w:val="21"/>
                      <w:highlight w:val="none"/>
                    </w:rPr>
                    <w:t>工程</w:t>
                  </w:r>
                </w:p>
              </w:tc>
              <w:tc>
                <w:tcPr>
                  <w:tcW w:w="739" w:type="pct"/>
                  <w:gridSpan w:val="2"/>
                  <w:tcBorders>
                    <w:top w:val="single" w:color="auto" w:sz="4" w:space="0"/>
                    <w:right w:val="single" w:color="auto" w:sz="4" w:space="0"/>
                  </w:tcBorders>
                  <w:noWrap w:val="0"/>
                  <w:vAlign w:val="center"/>
                </w:tcPr>
                <w:p w14:paraId="5A4FB1E4">
                  <w:pPr>
                    <w:jc w:val="center"/>
                    <w:rPr>
                      <w:color w:val="auto"/>
                      <w:szCs w:val="21"/>
                      <w:highlight w:val="none"/>
                    </w:rPr>
                  </w:pPr>
                  <w:r>
                    <w:rPr>
                      <w:color w:val="auto"/>
                      <w:szCs w:val="21"/>
                      <w:highlight w:val="none"/>
                    </w:rPr>
                    <w:t>废水</w:t>
                  </w:r>
                </w:p>
                <w:p w14:paraId="73A584DC">
                  <w:pPr>
                    <w:jc w:val="center"/>
                    <w:rPr>
                      <w:color w:val="auto"/>
                      <w:szCs w:val="21"/>
                      <w:highlight w:val="none"/>
                    </w:rPr>
                  </w:pPr>
                  <w:r>
                    <w:rPr>
                      <w:color w:val="auto"/>
                      <w:szCs w:val="21"/>
                      <w:highlight w:val="none"/>
                    </w:rPr>
                    <w:t>治理</w:t>
                  </w:r>
                </w:p>
              </w:tc>
              <w:tc>
                <w:tcPr>
                  <w:tcW w:w="3729" w:type="pct"/>
                  <w:tcBorders>
                    <w:top w:val="single" w:color="auto" w:sz="4" w:space="0"/>
                    <w:right w:val="single" w:color="auto" w:sz="4" w:space="0"/>
                  </w:tcBorders>
                  <w:noWrap w:val="0"/>
                  <w:vAlign w:val="center"/>
                </w:tcPr>
                <w:p w14:paraId="4E9F4B36">
                  <w:pPr>
                    <w:jc w:val="center"/>
                    <w:rPr>
                      <w:color w:val="auto"/>
                      <w:szCs w:val="21"/>
                      <w:highlight w:val="yellow"/>
                    </w:rPr>
                  </w:pPr>
                  <w:r>
                    <w:rPr>
                      <w:rFonts w:hint="eastAsia" w:ascii="宋体" w:hAnsi="宋体" w:cs="宋体"/>
                      <w:szCs w:val="21"/>
                    </w:rPr>
                    <w:t>生活污水</w:t>
                  </w:r>
                  <w:r>
                    <w:rPr>
                      <w:rFonts w:hint="eastAsia" w:ascii="宋体" w:hAnsi="宋体" w:cs="宋体"/>
                      <w:szCs w:val="21"/>
                      <w:lang w:eastAsia="zh-CN"/>
                    </w:rPr>
                    <w:t>、</w:t>
                  </w:r>
                  <w:r>
                    <w:rPr>
                      <w:rFonts w:hint="eastAsia" w:ascii="宋体" w:hAnsi="宋体" w:cs="宋体"/>
                      <w:szCs w:val="21"/>
                      <w:lang w:val="en-US" w:eastAsia="zh-CN"/>
                    </w:rPr>
                    <w:t>普通</w:t>
                  </w:r>
                  <w:r>
                    <w:rPr>
                      <w:rFonts w:hint="eastAsia" w:ascii="宋体" w:hAnsi="宋体" w:cs="宋体"/>
                      <w:szCs w:val="21"/>
                      <w:lang w:eastAsia="zh-CN"/>
                    </w:rPr>
                    <w:t>门诊废水、</w:t>
                  </w:r>
                  <w:r>
                    <w:rPr>
                      <w:rFonts w:hint="eastAsia" w:ascii="宋体" w:hAnsi="宋体" w:cs="宋体"/>
                      <w:szCs w:val="21"/>
                      <w:lang w:val="en-US" w:eastAsia="zh-CN"/>
                    </w:rPr>
                    <w:t>口腔科废水、</w:t>
                  </w:r>
                  <w:r>
                    <w:rPr>
                      <w:rFonts w:hint="eastAsia" w:ascii="宋体" w:hAnsi="宋体" w:cs="宋体"/>
                      <w:szCs w:val="21"/>
                      <w:lang w:eastAsia="zh-CN"/>
                    </w:rPr>
                    <w:t>病房废水、检验废水、</w:t>
                  </w:r>
                  <w:r>
                    <w:rPr>
                      <w:rFonts w:hint="eastAsia" w:ascii="宋体" w:hAnsi="宋体" w:cs="宋体"/>
                      <w:szCs w:val="21"/>
                      <w:lang w:val="en-US" w:eastAsia="zh-CN"/>
                    </w:rPr>
                    <w:t>手术室废水</w:t>
                  </w:r>
                  <w:r>
                    <w:rPr>
                      <w:rFonts w:hint="eastAsia"/>
                      <w:sz w:val="21"/>
                      <w:szCs w:val="21"/>
                      <w:lang w:eastAsia="zh-CN"/>
                    </w:rPr>
                    <w:t>经化粪池预处理后，与</w:t>
                  </w:r>
                  <w:r>
                    <w:rPr>
                      <w:rFonts w:hint="eastAsia"/>
                      <w:sz w:val="21"/>
                      <w:szCs w:val="21"/>
                      <w:lang w:val="en-US" w:eastAsia="zh-CN"/>
                    </w:rPr>
                    <w:t>浓水、</w:t>
                  </w:r>
                  <w:r>
                    <w:rPr>
                      <w:rFonts w:hint="eastAsia"/>
                      <w:sz w:val="21"/>
                      <w:szCs w:val="21"/>
                      <w:lang w:eastAsia="zh-CN"/>
                    </w:rPr>
                    <w:t>保洁废水一同进入医院自建污水处理站处理达标后，接管进入潘集区芦集镇再生水厂进一步处理。</w:t>
                  </w:r>
                  <w:r>
                    <w:rPr>
                      <w:rFonts w:hint="eastAsia"/>
                      <w:szCs w:val="21"/>
                      <w:lang w:eastAsia="zh-CN"/>
                    </w:rPr>
                    <w:t>医院污水处理站</w:t>
                  </w:r>
                  <w:r>
                    <w:rPr>
                      <w:rFonts w:hint="eastAsia"/>
                      <w:szCs w:val="21"/>
                    </w:rPr>
                    <w:t>采用“一级强化处理+消毒”工艺，处理规模为</w:t>
                  </w:r>
                  <w:r>
                    <w:rPr>
                      <w:rFonts w:hint="eastAsia"/>
                      <w:szCs w:val="21"/>
                      <w:lang w:val="en-US" w:eastAsia="zh-CN"/>
                    </w:rPr>
                    <w:t>65</w:t>
                  </w:r>
                  <w:r>
                    <w:rPr>
                      <w:rFonts w:hint="eastAsia"/>
                      <w:szCs w:val="21"/>
                    </w:rPr>
                    <w:t>t/d。</w:t>
                  </w:r>
                </w:p>
              </w:tc>
            </w:tr>
            <w:tr w14:paraId="173ACE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0" w:type="pct"/>
                  <w:vMerge w:val="continue"/>
                  <w:tcBorders>
                    <w:left w:val="single" w:color="auto" w:sz="4" w:space="0"/>
                    <w:right w:val="single" w:color="auto" w:sz="4" w:space="0"/>
                  </w:tcBorders>
                  <w:noWrap w:val="0"/>
                  <w:vAlign w:val="center"/>
                </w:tcPr>
                <w:p w14:paraId="0DF070CB">
                  <w:pPr>
                    <w:widowControl/>
                    <w:jc w:val="center"/>
                    <w:rPr>
                      <w:color w:val="auto"/>
                      <w:szCs w:val="21"/>
                      <w:highlight w:val="none"/>
                    </w:rPr>
                  </w:pPr>
                </w:p>
              </w:tc>
              <w:tc>
                <w:tcPr>
                  <w:tcW w:w="739" w:type="pct"/>
                  <w:gridSpan w:val="2"/>
                  <w:vMerge w:val="restart"/>
                  <w:tcBorders>
                    <w:top w:val="single" w:color="auto" w:sz="4" w:space="0"/>
                    <w:right w:val="single" w:color="auto" w:sz="4" w:space="0"/>
                  </w:tcBorders>
                  <w:noWrap w:val="0"/>
                  <w:vAlign w:val="center"/>
                </w:tcPr>
                <w:p w14:paraId="3503241D">
                  <w:pPr>
                    <w:jc w:val="center"/>
                    <w:rPr>
                      <w:rFonts w:hint="eastAsia"/>
                      <w:color w:val="auto"/>
                      <w:szCs w:val="21"/>
                      <w:highlight w:val="none"/>
                    </w:rPr>
                  </w:pPr>
                  <w:r>
                    <w:rPr>
                      <w:rFonts w:hint="eastAsia"/>
                      <w:color w:val="auto"/>
                      <w:szCs w:val="21"/>
                      <w:highlight w:val="none"/>
                    </w:rPr>
                    <w:t>废气</w:t>
                  </w:r>
                </w:p>
                <w:p w14:paraId="14CC3C5A">
                  <w:pPr>
                    <w:jc w:val="center"/>
                    <w:rPr>
                      <w:color w:val="auto"/>
                      <w:szCs w:val="21"/>
                      <w:highlight w:val="none"/>
                    </w:rPr>
                  </w:pPr>
                  <w:r>
                    <w:rPr>
                      <w:rFonts w:hint="eastAsia"/>
                      <w:color w:val="auto"/>
                      <w:szCs w:val="21"/>
                      <w:highlight w:val="none"/>
                    </w:rPr>
                    <w:t>治理</w:t>
                  </w:r>
                </w:p>
              </w:tc>
              <w:tc>
                <w:tcPr>
                  <w:tcW w:w="3729" w:type="pct"/>
                  <w:tcBorders>
                    <w:top w:val="single" w:color="auto" w:sz="4" w:space="0"/>
                    <w:right w:val="single" w:color="auto" w:sz="4" w:space="0"/>
                  </w:tcBorders>
                  <w:noWrap w:val="0"/>
                  <w:vAlign w:val="center"/>
                </w:tcPr>
                <w:p w14:paraId="02540E4B">
                  <w:pPr>
                    <w:pStyle w:val="12"/>
                    <w:spacing w:line="240" w:lineRule="auto"/>
                    <w:jc w:val="center"/>
                    <w:rPr>
                      <w:rFonts w:hint="eastAsia" w:ascii="Times New Roman" w:hAnsi="Times New Roman" w:eastAsia="宋体" w:cs="Times New Roman"/>
                      <w:snapToGrid w:val="0"/>
                      <w:color w:val="000000"/>
                      <w:kern w:val="0"/>
                      <w:sz w:val="21"/>
                      <w:szCs w:val="21"/>
                      <w:highlight w:val="none"/>
                      <w:lang w:val="en-US" w:eastAsia="zh-CN" w:bidi="ar-SA"/>
                    </w:rPr>
                  </w:pPr>
                  <w:r>
                    <w:rPr>
                      <w:rFonts w:hint="eastAsia"/>
                      <w:color w:val="auto"/>
                      <w:sz w:val="21"/>
                      <w:szCs w:val="21"/>
                      <w:highlight w:val="none"/>
                      <w:lang w:eastAsia="zh-CN"/>
                    </w:rPr>
                    <w:t>污水站恶臭：</w:t>
                  </w:r>
                  <w:r>
                    <w:rPr>
                      <w:rFonts w:hint="eastAsia"/>
                      <w:sz w:val="21"/>
                      <w:szCs w:val="21"/>
                      <w:highlight w:val="none"/>
                      <w:lang w:eastAsia="zh-CN"/>
                    </w:rPr>
                    <w:t>污水处理站为整体地埋式设计，</w:t>
                  </w:r>
                  <w:r>
                    <w:rPr>
                      <w:rFonts w:hint="default"/>
                      <w:sz w:val="21"/>
                      <w:szCs w:val="21"/>
                      <w:highlight w:val="none"/>
                    </w:rPr>
                    <w:t>加盖密闭，盖板上预留进、出气</w:t>
                  </w:r>
                  <w:r>
                    <w:rPr>
                      <w:rFonts w:hint="default" w:ascii="Times New Roman" w:hAnsi="Times New Roman" w:cs="Times New Roman"/>
                      <w:sz w:val="21"/>
                      <w:szCs w:val="21"/>
                      <w:highlight w:val="none"/>
                    </w:rPr>
                    <w:t>口</w:t>
                  </w:r>
                  <w:r>
                    <w:rPr>
                      <w:rFonts w:hint="default" w:ascii="Times New Roman" w:hAnsi="Times New Roman" w:cs="Times New Roman"/>
                      <w:sz w:val="21"/>
                      <w:szCs w:val="21"/>
                      <w:highlight w:val="none"/>
                      <w:lang w:eastAsia="zh-CN"/>
                    </w:rPr>
                    <w:t>，废气</w:t>
                  </w:r>
                  <w:r>
                    <w:rPr>
                      <w:rFonts w:hint="default" w:ascii="Times New Roman" w:hAnsi="Times New Roman" w:cs="Times New Roman"/>
                      <w:sz w:val="21"/>
                      <w:szCs w:val="21"/>
                      <w:highlight w:val="none"/>
                    </w:rPr>
                    <w:t>收集后通过</w:t>
                  </w:r>
                  <w:r>
                    <w:rPr>
                      <w:rFonts w:hint="eastAsia" w:ascii="Times New Roman" w:hAnsi="Times New Roman" w:cs="Times New Roman"/>
                      <w:sz w:val="21"/>
                      <w:szCs w:val="21"/>
                      <w:highlight w:val="none"/>
                      <w:lang w:eastAsia="zh-CN"/>
                    </w:rPr>
                    <w:t>“</w:t>
                  </w:r>
                  <w:r>
                    <w:rPr>
                      <w:rFonts w:hint="default" w:ascii="Times New Roman" w:hAnsi="Times New Roman" w:cs="Times New Roman"/>
                      <w:sz w:val="21"/>
                      <w:szCs w:val="21"/>
                      <w:highlight w:val="none"/>
                      <w:lang w:eastAsia="zh-CN"/>
                    </w:rPr>
                    <w:t>二级</w:t>
                  </w:r>
                  <w:r>
                    <w:rPr>
                      <w:rFonts w:hint="default" w:ascii="Times New Roman" w:hAnsi="Times New Roman" w:cs="Times New Roman"/>
                      <w:sz w:val="21"/>
                      <w:szCs w:val="21"/>
                      <w:highlight w:val="none"/>
                    </w:rPr>
                    <w:t>活性炭吸附</w:t>
                  </w:r>
                  <w:r>
                    <w:rPr>
                      <w:rFonts w:hint="eastAsia" w:ascii="Times New Roman" w:hAnsi="Times New Roman" w:cs="Times New Roman"/>
                      <w:sz w:val="21"/>
                      <w:szCs w:val="21"/>
                      <w:highlight w:val="none"/>
                      <w:lang w:eastAsia="zh-CN"/>
                    </w:rPr>
                    <w:t>”</w:t>
                  </w:r>
                  <w:r>
                    <w:rPr>
                      <w:rFonts w:hint="default" w:ascii="Times New Roman" w:hAnsi="Times New Roman" w:cs="Times New Roman"/>
                      <w:sz w:val="21"/>
                      <w:szCs w:val="21"/>
                      <w:highlight w:val="none"/>
                    </w:rPr>
                    <w:t>处理后</w:t>
                  </w:r>
                  <w:r>
                    <w:rPr>
                      <w:rFonts w:hint="default" w:ascii="Times New Roman" w:hAnsi="Times New Roman" w:cs="Times New Roman"/>
                      <w:sz w:val="21"/>
                      <w:szCs w:val="21"/>
                      <w:highlight w:val="none"/>
                      <w:lang w:eastAsia="zh-CN"/>
                    </w:rPr>
                    <w:t>通过</w:t>
                  </w:r>
                  <w:r>
                    <w:rPr>
                      <w:rFonts w:hint="default" w:ascii="Times New Roman" w:hAnsi="Times New Roman" w:cs="Times New Roman"/>
                      <w:sz w:val="21"/>
                      <w:szCs w:val="21"/>
                      <w:highlight w:val="none"/>
                      <w:lang w:val="en-US" w:eastAsia="zh-CN"/>
                    </w:rPr>
                    <w:t>1根15m高排气筒DA001排放</w:t>
                  </w:r>
                  <w:r>
                    <w:rPr>
                      <w:rFonts w:hint="default" w:ascii="Times New Roman" w:hAnsi="Times New Roman" w:cs="Times New Roman"/>
                      <w:sz w:val="21"/>
                      <w:szCs w:val="21"/>
                      <w:highlight w:val="none"/>
                    </w:rPr>
                    <w:t>。</w:t>
                  </w:r>
                </w:p>
              </w:tc>
            </w:tr>
            <w:tr w14:paraId="3F9EFB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0" w:type="pct"/>
                  <w:vMerge w:val="continue"/>
                  <w:tcBorders>
                    <w:left w:val="single" w:color="auto" w:sz="4" w:space="0"/>
                    <w:right w:val="single" w:color="auto" w:sz="4" w:space="0"/>
                  </w:tcBorders>
                  <w:noWrap w:val="0"/>
                  <w:vAlign w:val="center"/>
                </w:tcPr>
                <w:p w14:paraId="4169ABEA">
                  <w:pPr>
                    <w:widowControl/>
                    <w:jc w:val="center"/>
                    <w:rPr>
                      <w:color w:val="auto"/>
                      <w:szCs w:val="21"/>
                      <w:highlight w:val="none"/>
                    </w:rPr>
                  </w:pPr>
                </w:p>
              </w:tc>
              <w:tc>
                <w:tcPr>
                  <w:tcW w:w="739" w:type="pct"/>
                  <w:gridSpan w:val="2"/>
                  <w:vMerge w:val="continue"/>
                  <w:tcBorders>
                    <w:right w:val="single" w:color="auto" w:sz="4" w:space="0"/>
                  </w:tcBorders>
                  <w:noWrap w:val="0"/>
                  <w:vAlign w:val="center"/>
                </w:tcPr>
                <w:p w14:paraId="7AADF8E5">
                  <w:pPr>
                    <w:jc w:val="center"/>
                    <w:rPr>
                      <w:color w:val="auto"/>
                      <w:szCs w:val="21"/>
                      <w:highlight w:val="yellow"/>
                    </w:rPr>
                  </w:pPr>
                </w:p>
              </w:tc>
              <w:tc>
                <w:tcPr>
                  <w:tcW w:w="3729" w:type="pct"/>
                  <w:tcBorders>
                    <w:top w:val="single" w:color="auto" w:sz="4" w:space="0"/>
                    <w:right w:val="single" w:color="auto" w:sz="4" w:space="0"/>
                  </w:tcBorders>
                  <w:noWrap w:val="0"/>
                  <w:vAlign w:val="center"/>
                </w:tcPr>
                <w:p w14:paraId="79123005">
                  <w:pPr>
                    <w:pStyle w:val="12"/>
                    <w:spacing w:line="240" w:lineRule="auto"/>
                    <w:jc w:val="center"/>
                    <w:rPr>
                      <w:rFonts w:hint="eastAsia"/>
                      <w:color w:val="auto"/>
                      <w:szCs w:val="21"/>
                      <w:highlight w:val="none"/>
                    </w:rPr>
                  </w:pPr>
                  <w:r>
                    <w:rPr>
                      <w:rFonts w:hint="eastAsia" w:ascii="Times New Roman" w:hAnsi="Times New Roman" w:eastAsia="宋体" w:cs="Times New Roman"/>
                      <w:color w:val="000000"/>
                      <w:sz w:val="21"/>
                      <w:szCs w:val="21"/>
                      <w:highlight w:val="none"/>
                    </w:rPr>
                    <w:t>备用柴油发电机废气</w:t>
                  </w:r>
                  <w:r>
                    <w:rPr>
                      <w:rFonts w:hint="eastAsia" w:cs="Times New Roman"/>
                      <w:color w:val="000000"/>
                      <w:sz w:val="21"/>
                      <w:szCs w:val="21"/>
                      <w:highlight w:val="none"/>
                      <w:lang w:eastAsia="zh-CN"/>
                    </w:rPr>
                    <w:t>：</w:t>
                  </w:r>
                  <w:r>
                    <w:rPr>
                      <w:rFonts w:hint="eastAsia" w:ascii="Times New Roman" w:hAnsi="Times New Roman" w:eastAsia="宋体" w:cs="Times New Roman"/>
                      <w:snapToGrid w:val="0"/>
                      <w:color w:val="000000"/>
                      <w:kern w:val="0"/>
                      <w:sz w:val="21"/>
                      <w:szCs w:val="21"/>
                      <w:highlight w:val="none"/>
                      <w:lang w:val="en-US" w:eastAsia="zh-CN" w:bidi="ar-SA"/>
                    </w:rPr>
                    <w:t>由专用排气管道引至楼顶并高于楼顶排放。</w:t>
                  </w:r>
                </w:p>
              </w:tc>
            </w:tr>
            <w:tr w14:paraId="642460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0" w:type="pct"/>
                  <w:vMerge w:val="continue"/>
                  <w:tcBorders>
                    <w:left w:val="single" w:color="auto" w:sz="4" w:space="0"/>
                    <w:right w:val="single" w:color="auto" w:sz="4" w:space="0"/>
                  </w:tcBorders>
                  <w:noWrap w:val="0"/>
                  <w:vAlign w:val="center"/>
                </w:tcPr>
                <w:p w14:paraId="227A8ED7">
                  <w:pPr>
                    <w:widowControl/>
                    <w:jc w:val="center"/>
                    <w:rPr>
                      <w:color w:val="auto"/>
                      <w:szCs w:val="21"/>
                      <w:highlight w:val="none"/>
                    </w:rPr>
                  </w:pPr>
                </w:p>
              </w:tc>
              <w:tc>
                <w:tcPr>
                  <w:tcW w:w="739" w:type="pct"/>
                  <w:gridSpan w:val="2"/>
                  <w:vMerge w:val="continue"/>
                  <w:tcBorders>
                    <w:right w:val="single" w:color="auto" w:sz="4" w:space="0"/>
                  </w:tcBorders>
                  <w:noWrap w:val="0"/>
                  <w:vAlign w:val="center"/>
                </w:tcPr>
                <w:p w14:paraId="3448343C">
                  <w:pPr>
                    <w:jc w:val="center"/>
                    <w:rPr>
                      <w:color w:val="auto"/>
                      <w:szCs w:val="21"/>
                      <w:highlight w:val="yellow"/>
                    </w:rPr>
                  </w:pPr>
                </w:p>
              </w:tc>
              <w:tc>
                <w:tcPr>
                  <w:tcW w:w="3729" w:type="pct"/>
                  <w:tcBorders>
                    <w:top w:val="single" w:color="auto" w:sz="4" w:space="0"/>
                    <w:right w:val="single" w:color="auto" w:sz="4" w:space="0"/>
                  </w:tcBorders>
                  <w:noWrap w:val="0"/>
                  <w:vAlign w:val="center"/>
                </w:tcPr>
                <w:p w14:paraId="1690A99D">
                  <w:pPr>
                    <w:jc w:val="center"/>
                    <w:rPr>
                      <w:rFonts w:hint="eastAsia" w:eastAsia="宋体"/>
                      <w:color w:val="auto"/>
                      <w:szCs w:val="21"/>
                      <w:highlight w:val="none"/>
                      <w:lang w:eastAsia="zh-CN"/>
                    </w:rPr>
                  </w:pPr>
                  <w:r>
                    <w:rPr>
                      <w:rFonts w:hint="eastAsia"/>
                      <w:color w:val="auto"/>
                      <w:szCs w:val="21"/>
                      <w:highlight w:val="none"/>
                    </w:rPr>
                    <w:t>病区内各楼层设置机械抽排风系统</w:t>
                  </w:r>
                  <w:r>
                    <w:rPr>
                      <w:rFonts w:hint="eastAsia"/>
                      <w:color w:val="auto"/>
                      <w:szCs w:val="21"/>
                      <w:highlight w:val="none"/>
                      <w:lang w:eastAsia="zh-CN"/>
                    </w:rPr>
                    <w:t>。</w:t>
                  </w:r>
                </w:p>
              </w:tc>
            </w:tr>
            <w:tr w14:paraId="1F632E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0" w:type="pct"/>
                  <w:vMerge w:val="continue"/>
                  <w:tcBorders>
                    <w:left w:val="single" w:color="auto" w:sz="4" w:space="0"/>
                    <w:right w:val="single" w:color="auto" w:sz="4" w:space="0"/>
                  </w:tcBorders>
                  <w:noWrap w:val="0"/>
                  <w:vAlign w:val="center"/>
                </w:tcPr>
                <w:p w14:paraId="49AD46A6">
                  <w:pPr>
                    <w:widowControl/>
                    <w:jc w:val="center"/>
                    <w:rPr>
                      <w:color w:val="auto"/>
                      <w:szCs w:val="21"/>
                      <w:highlight w:val="none"/>
                    </w:rPr>
                  </w:pPr>
                </w:p>
              </w:tc>
              <w:tc>
                <w:tcPr>
                  <w:tcW w:w="739" w:type="pct"/>
                  <w:gridSpan w:val="2"/>
                  <w:vMerge w:val="continue"/>
                  <w:tcBorders>
                    <w:bottom w:val="single" w:color="auto" w:sz="4" w:space="0"/>
                    <w:right w:val="single" w:color="auto" w:sz="4" w:space="0"/>
                  </w:tcBorders>
                  <w:noWrap w:val="0"/>
                  <w:vAlign w:val="center"/>
                </w:tcPr>
                <w:p w14:paraId="73DFB342">
                  <w:pPr>
                    <w:jc w:val="center"/>
                    <w:rPr>
                      <w:color w:val="auto"/>
                      <w:szCs w:val="21"/>
                      <w:highlight w:val="yellow"/>
                    </w:rPr>
                  </w:pPr>
                </w:p>
              </w:tc>
              <w:tc>
                <w:tcPr>
                  <w:tcW w:w="3729" w:type="pct"/>
                  <w:tcBorders>
                    <w:top w:val="single" w:color="auto" w:sz="4" w:space="0"/>
                    <w:right w:val="single" w:color="auto" w:sz="4" w:space="0"/>
                  </w:tcBorders>
                  <w:noWrap w:val="0"/>
                  <w:vAlign w:val="center"/>
                </w:tcPr>
                <w:p w14:paraId="569788DA">
                  <w:pPr>
                    <w:jc w:val="center"/>
                    <w:rPr>
                      <w:rFonts w:hint="eastAsia" w:eastAsia="宋体"/>
                      <w:color w:val="auto"/>
                      <w:szCs w:val="21"/>
                      <w:highlight w:val="none"/>
                      <w:lang w:eastAsia="zh-CN"/>
                    </w:rPr>
                  </w:pPr>
                  <w:r>
                    <w:rPr>
                      <w:rFonts w:hint="eastAsia"/>
                      <w:color w:val="auto"/>
                      <w:szCs w:val="21"/>
                      <w:highlight w:val="none"/>
                      <w:lang w:eastAsia="zh-CN"/>
                    </w:rPr>
                    <w:t>检验废气设置专门的排气管道引至屋顶排放。</w:t>
                  </w:r>
                </w:p>
              </w:tc>
            </w:tr>
            <w:tr w14:paraId="17AF97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0" w:type="pct"/>
                  <w:vMerge w:val="continue"/>
                  <w:tcBorders>
                    <w:left w:val="single" w:color="auto" w:sz="4" w:space="0"/>
                    <w:right w:val="single" w:color="auto" w:sz="4" w:space="0"/>
                  </w:tcBorders>
                  <w:noWrap w:val="0"/>
                  <w:vAlign w:val="center"/>
                </w:tcPr>
                <w:p w14:paraId="7A934359">
                  <w:pPr>
                    <w:widowControl/>
                    <w:jc w:val="center"/>
                    <w:rPr>
                      <w:color w:val="auto"/>
                      <w:szCs w:val="21"/>
                      <w:highlight w:val="none"/>
                    </w:rPr>
                  </w:pPr>
                </w:p>
              </w:tc>
              <w:tc>
                <w:tcPr>
                  <w:tcW w:w="739" w:type="pct"/>
                  <w:gridSpan w:val="2"/>
                  <w:tcBorders>
                    <w:bottom w:val="single" w:color="auto" w:sz="4" w:space="0"/>
                    <w:right w:val="single" w:color="auto" w:sz="4" w:space="0"/>
                  </w:tcBorders>
                  <w:noWrap w:val="0"/>
                  <w:vAlign w:val="center"/>
                </w:tcPr>
                <w:p w14:paraId="0B716D58">
                  <w:pPr>
                    <w:jc w:val="center"/>
                    <w:rPr>
                      <w:color w:val="auto"/>
                      <w:szCs w:val="21"/>
                      <w:highlight w:val="none"/>
                    </w:rPr>
                  </w:pPr>
                  <w:r>
                    <w:rPr>
                      <w:color w:val="auto"/>
                      <w:szCs w:val="21"/>
                      <w:highlight w:val="none"/>
                    </w:rPr>
                    <w:t>噪声</w:t>
                  </w:r>
                </w:p>
                <w:p w14:paraId="32D5BF70">
                  <w:pPr>
                    <w:jc w:val="center"/>
                    <w:rPr>
                      <w:color w:val="auto"/>
                      <w:szCs w:val="21"/>
                      <w:highlight w:val="none"/>
                    </w:rPr>
                  </w:pPr>
                  <w:r>
                    <w:rPr>
                      <w:color w:val="auto"/>
                      <w:szCs w:val="21"/>
                      <w:highlight w:val="none"/>
                    </w:rPr>
                    <w:t>治理</w:t>
                  </w:r>
                </w:p>
              </w:tc>
              <w:tc>
                <w:tcPr>
                  <w:tcW w:w="3729" w:type="pct"/>
                  <w:tcBorders>
                    <w:top w:val="single" w:color="auto" w:sz="4" w:space="0"/>
                    <w:right w:val="single" w:color="auto" w:sz="4" w:space="0"/>
                  </w:tcBorders>
                  <w:noWrap w:val="0"/>
                  <w:vAlign w:val="center"/>
                </w:tcPr>
                <w:p w14:paraId="675BFC16">
                  <w:pPr>
                    <w:jc w:val="center"/>
                    <w:rPr>
                      <w:rFonts w:hint="eastAsia" w:eastAsia="宋体"/>
                      <w:color w:val="auto"/>
                      <w:szCs w:val="21"/>
                      <w:highlight w:val="none"/>
                      <w:lang w:val="en-US" w:eastAsia="zh-CN"/>
                    </w:rPr>
                  </w:pPr>
                  <w:r>
                    <w:rPr>
                      <w:color w:val="auto"/>
                      <w:szCs w:val="21"/>
                      <w:highlight w:val="none"/>
                    </w:rPr>
                    <w:t>选取低噪声设备，厂房隔声，基础减</w:t>
                  </w:r>
                  <w:r>
                    <w:rPr>
                      <w:rFonts w:hint="eastAsia"/>
                      <w:color w:val="auto"/>
                      <w:szCs w:val="21"/>
                      <w:highlight w:val="none"/>
                    </w:rPr>
                    <w:t>振</w:t>
                  </w:r>
                  <w:r>
                    <w:rPr>
                      <w:rFonts w:hint="eastAsia"/>
                      <w:color w:val="auto"/>
                      <w:szCs w:val="21"/>
                      <w:highlight w:val="none"/>
                      <w:lang w:eastAsia="zh-CN"/>
                    </w:rPr>
                    <w:t>。</w:t>
                  </w:r>
                </w:p>
              </w:tc>
            </w:tr>
            <w:tr w14:paraId="37BD01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0" w:type="pct"/>
                  <w:vMerge w:val="continue"/>
                  <w:tcBorders>
                    <w:left w:val="single" w:color="auto" w:sz="4" w:space="0"/>
                    <w:right w:val="single" w:color="auto" w:sz="4" w:space="0"/>
                  </w:tcBorders>
                  <w:noWrap w:val="0"/>
                  <w:vAlign w:val="center"/>
                </w:tcPr>
                <w:p w14:paraId="59939A83">
                  <w:pPr>
                    <w:widowControl/>
                    <w:jc w:val="center"/>
                    <w:rPr>
                      <w:color w:val="auto"/>
                      <w:szCs w:val="21"/>
                      <w:highlight w:val="none"/>
                    </w:rPr>
                  </w:pPr>
                </w:p>
              </w:tc>
              <w:tc>
                <w:tcPr>
                  <w:tcW w:w="739" w:type="pct"/>
                  <w:gridSpan w:val="2"/>
                  <w:tcBorders>
                    <w:top w:val="single" w:color="auto" w:sz="4" w:space="0"/>
                    <w:bottom w:val="single" w:color="auto" w:sz="4" w:space="0"/>
                    <w:right w:val="single" w:color="auto" w:sz="4" w:space="0"/>
                  </w:tcBorders>
                  <w:noWrap w:val="0"/>
                  <w:vAlign w:val="center"/>
                </w:tcPr>
                <w:p w14:paraId="27BA977C">
                  <w:pPr>
                    <w:widowControl/>
                    <w:jc w:val="center"/>
                    <w:rPr>
                      <w:color w:val="auto"/>
                      <w:szCs w:val="21"/>
                      <w:highlight w:val="none"/>
                    </w:rPr>
                  </w:pPr>
                  <w:r>
                    <w:rPr>
                      <w:color w:val="auto"/>
                      <w:szCs w:val="21"/>
                      <w:highlight w:val="none"/>
                    </w:rPr>
                    <w:t>固废</w:t>
                  </w:r>
                </w:p>
                <w:p w14:paraId="3AF66A67">
                  <w:pPr>
                    <w:widowControl/>
                    <w:jc w:val="center"/>
                    <w:rPr>
                      <w:color w:val="auto"/>
                      <w:szCs w:val="21"/>
                      <w:highlight w:val="none"/>
                    </w:rPr>
                  </w:pPr>
                  <w:r>
                    <w:rPr>
                      <w:color w:val="auto"/>
                      <w:szCs w:val="21"/>
                      <w:highlight w:val="none"/>
                    </w:rPr>
                    <w:t>治理</w:t>
                  </w:r>
                </w:p>
              </w:tc>
              <w:tc>
                <w:tcPr>
                  <w:tcW w:w="3729" w:type="pct"/>
                  <w:tcBorders>
                    <w:top w:val="single" w:color="auto" w:sz="4" w:space="0"/>
                    <w:bottom w:val="single" w:color="auto" w:sz="4" w:space="0"/>
                    <w:right w:val="single" w:color="auto" w:sz="4" w:space="0"/>
                  </w:tcBorders>
                  <w:noWrap w:val="0"/>
                  <w:vAlign w:val="center"/>
                </w:tcPr>
                <w:p w14:paraId="0BA874AF">
                  <w:pPr>
                    <w:jc w:val="center"/>
                    <w:rPr>
                      <w:rFonts w:hint="eastAsia" w:ascii="Times" w:hAnsi="Times"/>
                      <w:color w:val="auto"/>
                      <w:szCs w:val="21"/>
                      <w:highlight w:val="none"/>
                    </w:rPr>
                  </w:pPr>
                  <w:r>
                    <w:rPr>
                      <w:rFonts w:hint="eastAsia"/>
                      <w:color w:val="auto"/>
                      <w:szCs w:val="21"/>
                      <w:highlight w:val="none"/>
                    </w:rPr>
                    <w:t>一般固废：</w:t>
                  </w:r>
                  <w:r>
                    <w:rPr>
                      <w:rFonts w:hint="eastAsia"/>
                      <w:color w:val="auto"/>
                      <w:highlight w:val="none"/>
                    </w:rPr>
                    <w:t>位于</w:t>
                  </w:r>
                  <w:r>
                    <w:rPr>
                      <w:rFonts w:hint="eastAsia"/>
                      <w:color w:val="auto"/>
                      <w:szCs w:val="21"/>
                      <w:highlight w:val="none"/>
                      <w:lang w:val="en-US" w:eastAsia="zh-CN"/>
                    </w:rPr>
                    <w:t>院区东侧</w:t>
                  </w:r>
                  <w:r>
                    <w:rPr>
                      <w:rFonts w:hint="eastAsia"/>
                      <w:color w:val="auto"/>
                      <w:highlight w:val="none"/>
                    </w:rPr>
                    <w:t>，设置一般固废暂存间，面积约10m</w:t>
                  </w:r>
                  <w:r>
                    <w:rPr>
                      <w:rFonts w:hint="eastAsia"/>
                      <w:color w:val="auto"/>
                      <w:highlight w:val="none"/>
                      <w:vertAlign w:val="superscript"/>
                    </w:rPr>
                    <w:t>2</w:t>
                  </w:r>
                  <w:r>
                    <w:rPr>
                      <w:rFonts w:hint="eastAsia"/>
                      <w:color w:val="auto"/>
                      <w:highlight w:val="none"/>
                    </w:rPr>
                    <w:t>，</w:t>
                  </w:r>
                  <w:r>
                    <w:rPr>
                      <w:rFonts w:hint="eastAsia"/>
                      <w:color w:val="auto"/>
                      <w:szCs w:val="21"/>
                      <w:highlight w:val="none"/>
                    </w:rPr>
                    <w:t>暂存一般固废</w:t>
                  </w:r>
                  <w:r>
                    <w:rPr>
                      <w:rFonts w:hint="eastAsia" w:ascii="Times" w:hAnsi="Times"/>
                      <w:color w:val="auto"/>
                      <w:szCs w:val="21"/>
                      <w:highlight w:val="none"/>
                    </w:rPr>
                    <w:t>。</w:t>
                  </w:r>
                </w:p>
                <w:p w14:paraId="6B7332ED">
                  <w:pPr>
                    <w:pStyle w:val="12"/>
                    <w:spacing w:line="240" w:lineRule="auto"/>
                    <w:jc w:val="center"/>
                    <w:rPr>
                      <w:rFonts w:hint="eastAsia" w:ascii="Times" w:hAnsi="Times" w:eastAsia="宋体"/>
                      <w:color w:val="auto"/>
                      <w:sz w:val="21"/>
                      <w:szCs w:val="21"/>
                      <w:highlight w:val="none"/>
                      <w:lang w:eastAsia="zh-CN"/>
                    </w:rPr>
                  </w:pPr>
                  <w:r>
                    <w:rPr>
                      <w:rFonts w:hint="eastAsia" w:ascii="Times" w:hAnsi="Times"/>
                      <w:color w:val="auto"/>
                      <w:sz w:val="21"/>
                      <w:szCs w:val="21"/>
                      <w:highlight w:val="none"/>
                    </w:rPr>
                    <w:t>危险废物：</w:t>
                  </w:r>
                  <w:r>
                    <w:rPr>
                      <w:rFonts w:hint="eastAsia" w:ascii="Times" w:hAnsi="Times"/>
                      <w:color w:val="auto"/>
                      <w:sz w:val="21"/>
                      <w:szCs w:val="21"/>
                      <w:highlight w:val="none"/>
                      <w:lang w:eastAsia="zh-CN"/>
                    </w:rPr>
                    <w:t>位于院区东侧，设置1处</w:t>
                  </w:r>
                  <w:r>
                    <w:rPr>
                      <w:rFonts w:hint="eastAsia" w:ascii="Times New Roman" w:hAnsi="Times New Roman" w:eastAsia="宋体" w:cs="Times New Roman"/>
                      <w:color w:val="auto"/>
                      <w:kern w:val="0"/>
                      <w:sz w:val="21"/>
                      <w:szCs w:val="21"/>
                      <w:highlight w:val="none"/>
                      <w:lang w:val="en-US" w:eastAsia="zh-CN" w:bidi="ar-SA"/>
                    </w:rPr>
                    <w:t>医疗废物暂存间</w:t>
                  </w:r>
                  <w:r>
                    <w:rPr>
                      <w:rFonts w:hint="eastAsia" w:ascii="Times" w:hAnsi="Times"/>
                      <w:color w:val="auto"/>
                      <w:sz w:val="21"/>
                      <w:szCs w:val="21"/>
                      <w:highlight w:val="none"/>
                      <w:lang w:eastAsia="zh-CN"/>
                    </w:rPr>
                    <w:t>，占地面积</w:t>
                  </w:r>
                  <w:r>
                    <w:rPr>
                      <w:rFonts w:hint="eastAsia" w:ascii="Times" w:hAnsi="Times"/>
                      <w:color w:val="auto"/>
                      <w:sz w:val="21"/>
                      <w:szCs w:val="21"/>
                      <w:highlight w:val="none"/>
                      <w:lang w:val="en-US" w:eastAsia="zh-CN"/>
                    </w:rPr>
                    <w:t>3</w:t>
                  </w:r>
                  <w:r>
                    <w:rPr>
                      <w:rFonts w:hint="eastAsia" w:ascii="Times" w:hAnsi="Times"/>
                      <w:color w:val="auto"/>
                      <w:sz w:val="21"/>
                      <w:szCs w:val="21"/>
                      <w:highlight w:val="none"/>
                      <w:lang w:eastAsia="zh-CN"/>
                    </w:rPr>
                    <w:t>0m</w:t>
                  </w:r>
                  <w:r>
                    <w:rPr>
                      <w:rFonts w:hint="eastAsia" w:ascii="Times" w:hAnsi="Times"/>
                      <w:color w:val="auto"/>
                      <w:sz w:val="21"/>
                      <w:szCs w:val="21"/>
                      <w:highlight w:val="none"/>
                      <w:vertAlign w:val="superscript"/>
                      <w:lang w:eastAsia="zh-CN"/>
                    </w:rPr>
                    <w:t>2</w:t>
                  </w:r>
                  <w:r>
                    <w:rPr>
                      <w:rFonts w:hint="eastAsia" w:ascii="Times" w:hAnsi="Times"/>
                      <w:color w:val="auto"/>
                      <w:sz w:val="21"/>
                      <w:szCs w:val="21"/>
                      <w:highlight w:val="none"/>
                      <w:lang w:eastAsia="zh-CN"/>
                    </w:rPr>
                    <w:t>，暂存医疗废物，定期交有资质单位处理。在污水处理站</w:t>
                  </w:r>
                  <w:r>
                    <w:rPr>
                      <w:rFonts w:hint="eastAsia" w:ascii="Times" w:hAnsi="Times"/>
                      <w:color w:val="auto"/>
                      <w:sz w:val="21"/>
                      <w:szCs w:val="21"/>
                      <w:highlight w:val="none"/>
                      <w:lang w:val="en-US" w:eastAsia="zh-CN"/>
                    </w:rPr>
                    <w:t>北</w:t>
                  </w:r>
                  <w:r>
                    <w:rPr>
                      <w:rFonts w:hint="eastAsia" w:ascii="Times" w:hAnsi="Times"/>
                      <w:color w:val="auto"/>
                      <w:sz w:val="21"/>
                      <w:szCs w:val="21"/>
                      <w:highlight w:val="none"/>
                      <w:lang w:eastAsia="zh-CN"/>
                    </w:rPr>
                    <w:t>侧设置</w:t>
                  </w:r>
                  <w:r>
                    <w:rPr>
                      <w:rFonts w:hint="eastAsia" w:ascii="Times New Roman" w:hAnsi="Times New Roman" w:eastAsia="宋体" w:cs="Times New Roman"/>
                      <w:color w:val="auto"/>
                      <w:kern w:val="0"/>
                      <w:sz w:val="21"/>
                      <w:szCs w:val="21"/>
                      <w:highlight w:val="none"/>
                      <w:lang w:val="en-US" w:eastAsia="zh-CN" w:bidi="ar-SA"/>
                    </w:rPr>
                    <w:t>危废暂存间</w:t>
                  </w:r>
                  <w:r>
                    <w:rPr>
                      <w:rFonts w:hint="eastAsia" w:ascii="Times" w:hAnsi="Times"/>
                      <w:color w:val="auto"/>
                      <w:sz w:val="21"/>
                      <w:szCs w:val="21"/>
                      <w:highlight w:val="none"/>
                      <w:lang w:eastAsia="zh-CN"/>
                    </w:rPr>
                    <w:t>一间，约20m</w:t>
                  </w:r>
                  <w:r>
                    <w:rPr>
                      <w:rFonts w:hint="eastAsia" w:ascii="Times" w:hAnsi="Times"/>
                      <w:color w:val="auto"/>
                      <w:sz w:val="21"/>
                      <w:szCs w:val="21"/>
                      <w:highlight w:val="none"/>
                      <w:vertAlign w:val="superscript"/>
                      <w:lang w:eastAsia="zh-CN"/>
                    </w:rPr>
                    <w:t>2</w:t>
                  </w:r>
                  <w:r>
                    <w:rPr>
                      <w:rFonts w:hint="eastAsia" w:ascii="Times" w:hAnsi="Times"/>
                      <w:color w:val="auto"/>
                      <w:sz w:val="21"/>
                      <w:szCs w:val="21"/>
                      <w:highlight w:val="none"/>
                      <w:lang w:eastAsia="zh-CN"/>
                    </w:rPr>
                    <w:t>，暂存产生的栅渣等，交有资质单位进行处理</w:t>
                  </w:r>
                  <w:r>
                    <w:rPr>
                      <w:rFonts w:hint="eastAsia" w:ascii="Times" w:hAnsi="Times"/>
                      <w:color w:val="auto"/>
                      <w:sz w:val="21"/>
                      <w:szCs w:val="21"/>
                      <w:highlight w:val="none"/>
                    </w:rPr>
                    <w:t>。</w:t>
                  </w:r>
                  <w:r>
                    <w:rPr>
                      <w:rFonts w:ascii="Segoe UI" w:hAnsi="Segoe UI" w:eastAsia="Segoe UI" w:cs="Segoe UI"/>
                      <w:b w:val="0"/>
                      <w:bCs w:val="0"/>
                      <w:i w:val="0"/>
                      <w:iCs w:val="0"/>
                      <w:caps w:val="0"/>
                      <w:color w:val="0F1115"/>
                      <w:spacing w:val="0"/>
                      <w:sz w:val="21"/>
                      <w:szCs w:val="21"/>
                      <w:shd w:val="clear" w:fill="FFFFFF"/>
                    </w:rPr>
                    <w:t>污泥经消毒后按一般固废管理</w:t>
                  </w:r>
                  <w:r>
                    <w:rPr>
                      <w:rFonts w:hint="eastAsia" w:ascii="Segoe UI" w:hAnsi="Segoe UI" w:eastAsia="宋体" w:cs="Segoe UI"/>
                      <w:b w:val="0"/>
                      <w:bCs w:val="0"/>
                      <w:i w:val="0"/>
                      <w:iCs w:val="0"/>
                      <w:caps w:val="0"/>
                      <w:color w:val="0F1115"/>
                      <w:spacing w:val="0"/>
                      <w:sz w:val="21"/>
                      <w:szCs w:val="21"/>
                      <w:shd w:val="clear" w:fill="FFFFFF"/>
                      <w:lang w:eastAsia="zh-CN"/>
                    </w:rPr>
                    <w:t>。</w:t>
                  </w:r>
                </w:p>
                <w:p w14:paraId="11D5D746">
                  <w:pPr>
                    <w:pStyle w:val="12"/>
                    <w:spacing w:line="240" w:lineRule="auto"/>
                    <w:jc w:val="center"/>
                    <w:rPr>
                      <w:rFonts w:hint="eastAsia" w:ascii="Times" w:hAnsi="Times" w:eastAsia="宋体"/>
                      <w:color w:val="auto"/>
                      <w:sz w:val="21"/>
                      <w:szCs w:val="21"/>
                      <w:highlight w:val="none"/>
                      <w:lang w:eastAsia="zh-CN"/>
                    </w:rPr>
                  </w:pPr>
                  <w:r>
                    <w:rPr>
                      <w:rFonts w:hint="eastAsia" w:ascii="Times" w:hAnsi="Times"/>
                      <w:color w:val="auto"/>
                      <w:sz w:val="21"/>
                      <w:szCs w:val="21"/>
                      <w:highlight w:val="none"/>
                    </w:rPr>
                    <w:t>生活垃圾：设置垃圾桶进行分类收集，交环卫部门清运</w:t>
                  </w:r>
                  <w:r>
                    <w:rPr>
                      <w:rFonts w:hint="eastAsia" w:ascii="Times" w:hAnsi="Times"/>
                      <w:color w:val="auto"/>
                      <w:sz w:val="21"/>
                      <w:szCs w:val="21"/>
                      <w:highlight w:val="none"/>
                      <w:lang w:eastAsia="zh-CN"/>
                    </w:rPr>
                    <w:t>。</w:t>
                  </w:r>
                </w:p>
              </w:tc>
            </w:tr>
            <w:tr w14:paraId="418442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0" w:type="pct"/>
                  <w:vMerge w:val="restart"/>
                  <w:tcBorders>
                    <w:left w:val="single" w:color="auto" w:sz="4" w:space="0"/>
                    <w:right w:val="single" w:color="auto" w:sz="4" w:space="0"/>
                  </w:tcBorders>
                  <w:noWrap w:val="0"/>
                  <w:vAlign w:val="center"/>
                </w:tcPr>
                <w:p w14:paraId="543D8A2E">
                  <w:pPr>
                    <w:widowControl/>
                    <w:jc w:val="center"/>
                    <w:rPr>
                      <w:rFonts w:hint="eastAsia"/>
                      <w:color w:val="auto"/>
                      <w:szCs w:val="21"/>
                      <w:highlight w:val="yellow"/>
                    </w:rPr>
                  </w:pPr>
                  <w:r>
                    <w:rPr>
                      <w:rFonts w:hint="eastAsia"/>
                      <w:color w:val="auto"/>
                      <w:szCs w:val="21"/>
                      <w:highlight w:val="none"/>
                    </w:rPr>
                    <w:t>其他</w:t>
                  </w:r>
                </w:p>
              </w:tc>
              <w:tc>
                <w:tcPr>
                  <w:tcW w:w="739" w:type="pct"/>
                  <w:gridSpan w:val="2"/>
                  <w:tcBorders>
                    <w:top w:val="single" w:color="auto" w:sz="4" w:space="0"/>
                    <w:bottom w:val="single" w:color="auto" w:sz="4" w:space="0"/>
                    <w:right w:val="single" w:color="auto" w:sz="4" w:space="0"/>
                  </w:tcBorders>
                  <w:noWrap w:val="0"/>
                  <w:vAlign w:val="center"/>
                </w:tcPr>
                <w:p w14:paraId="615A857F">
                  <w:pPr>
                    <w:pStyle w:val="21"/>
                    <w:widowControl w:val="0"/>
                    <w:pBdr>
                      <w:left w:val="none" w:color="auto" w:sz="0" w:space="0"/>
                      <w:bottom w:val="none" w:color="auto" w:sz="0" w:space="0"/>
                      <w:right w:val="none" w:color="auto" w:sz="0" w:space="0"/>
                    </w:pBdr>
                    <w:spacing w:before="0" w:after="0"/>
                    <w:textAlignment w:val="auto"/>
                    <w:rPr>
                      <w:color w:val="auto"/>
                      <w:szCs w:val="21"/>
                      <w:highlight w:val="none"/>
                    </w:rPr>
                  </w:pPr>
                  <w:r>
                    <w:rPr>
                      <w:rFonts w:hint="eastAsia" w:ascii="Times New Roman" w:hAnsi="Times New Roman"/>
                      <w:color w:val="auto"/>
                      <w:sz w:val="21"/>
                      <w:szCs w:val="21"/>
                      <w:highlight w:val="none"/>
                    </w:rPr>
                    <w:t>地下水、土壤防治</w:t>
                  </w:r>
                </w:p>
              </w:tc>
              <w:tc>
                <w:tcPr>
                  <w:tcW w:w="3729" w:type="pct"/>
                  <w:tcBorders>
                    <w:top w:val="single" w:color="auto" w:sz="4" w:space="0"/>
                    <w:bottom w:val="single" w:color="auto" w:sz="4" w:space="0"/>
                    <w:right w:val="single" w:color="auto" w:sz="4" w:space="0"/>
                  </w:tcBorders>
                  <w:noWrap w:val="0"/>
                  <w:vAlign w:val="center"/>
                </w:tcPr>
                <w:p w14:paraId="3E97C140">
                  <w:pPr>
                    <w:jc w:val="center"/>
                    <w:rPr>
                      <w:rFonts w:hint="eastAsia" w:ascii="Times" w:hAnsi="Times"/>
                      <w:color w:val="auto"/>
                      <w:szCs w:val="21"/>
                      <w:highlight w:val="none"/>
                    </w:rPr>
                  </w:pPr>
                  <w:r>
                    <w:rPr>
                      <w:rFonts w:hint="eastAsia"/>
                      <w:bCs/>
                      <w:color w:val="auto"/>
                      <w:szCs w:val="21"/>
                      <w:highlight w:val="none"/>
                    </w:rPr>
                    <w:t>对</w:t>
                  </w:r>
                  <w:r>
                    <w:rPr>
                      <w:rFonts w:hint="eastAsia"/>
                      <w:bCs/>
                      <w:color w:val="auto"/>
                      <w:szCs w:val="21"/>
                      <w:highlight w:val="none"/>
                      <w:lang w:eastAsia="zh-CN"/>
                    </w:rPr>
                    <w:t>化粪池、污水处理站、医疗废物暂存间、危险废物暂存间、柴油存储间</w:t>
                  </w:r>
                  <w:r>
                    <w:rPr>
                      <w:rFonts w:hint="eastAsia"/>
                      <w:color w:val="auto"/>
                      <w:szCs w:val="21"/>
                      <w:highlight w:val="none"/>
                    </w:rPr>
                    <w:t>进行重点防渗</w:t>
                  </w:r>
                  <w:r>
                    <w:rPr>
                      <w:rFonts w:hint="eastAsia"/>
                      <w:color w:val="auto"/>
                      <w:szCs w:val="21"/>
                      <w:highlight w:val="none"/>
                      <w:lang w:eastAsia="zh-CN"/>
                    </w:rPr>
                    <w:t>：</w:t>
                  </w:r>
                  <w:r>
                    <w:rPr>
                      <w:rFonts w:hint="eastAsia" w:ascii="Times New Roman" w:hAnsi="Times New Roman" w:eastAsia="宋体"/>
                      <w:color w:val="auto"/>
                      <w:szCs w:val="21"/>
                      <w:highlight w:val="none"/>
                      <w:lang w:val="en-US" w:eastAsia="zh-CN"/>
                    </w:rPr>
                    <w:t>采用高密度聚乙烯材料或其他人工防渗材料防渗，防渗系数≤1.0×10</w:t>
                  </w:r>
                  <w:r>
                    <w:rPr>
                      <w:rFonts w:hint="eastAsia" w:ascii="Times New Roman" w:hAnsi="Times New Roman" w:eastAsia="宋体"/>
                      <w:color w:val="auto"/>
                      <w:szCs w:val="21"/>
                      <w:highlight w:val="none"/>
                      <w:vertAlign w:val="superscript"/>
                      <w:lang w:val="en-US" w:eastAsia="zh-CN"/>
                    </w:rPr>
                    <w:t>-10</w:t>
                  </w:r>
                  <w:r>
                    <w:rPr>
                      <w:rFonts w:hint="eastAsia" w:ascii="Times New Roman" w:hAnsi="Times New Roman" w:eastAsia="宋体"/>
                      <w:color w:val="auto"/>
                      <w:szCs w:val="21"/>
                      <w:highlight w:val="none"/>
                      <w:lang w:val="en-US" w:eastAsia="zh-CN"/>
                    </w:rPr>
                    <w:t>cm/s。</w:t>
                  </w:r>
                  <w:r>
                    <w:rPr>
                      <w:rFonts w:hint="eastAsia"/>
                      <w:color w:val="auto"/>
                      <w:szCs w:val="21"/>
                      <w:highlight w:val="none"/>
                      <w:lang w:eastAsia="zh-CN"/>
                    </w:rPr>
                    <w:t>一般固废区进行一般防渗：</w:t>
                  </w:r>
                  <w:r>
                    <w:rPr>
                      <w:rFonts w:hint="eastAsia" w:ascii="Times New Roman" w:hAnsi="Times New Roman" w:eastAsia="宋体"/>
                      <w:color w:val="auto"/>
                      <w:szCs w:val="21"/>
                      <w:highlight w:val="none"/>
                      <w:lang w:val="en-US" w:eastAsia="zh-CN"/>
                    </w:rPr>
                    <w:t>防渗采用硬化防渗水泥地面防渗，防渗系数≤1.0×10</w:t>
                  </w:r>
                  <w:r>
                    <w:rPr>
                      <w:rFonts w:hint="eastAsia" w:ascii="Times New Roman" w:hAnsi="Times New Roman" w:eastAsia="宋体"/>
                      <w:color w:val="auto"/>
                      <w:szCs w:val="21"/>
                      <w:highlight w:val="none"/>
                      <w:vertAlign w:val="superscript"/>
                      <w:lang w:val="en-US" w:eastAsia="zh-CN"/>
                    </w:rPr>
                    <w:t>-7</w:t>
                  </w:r>
                  <w:r>
                    <w:rPr>
                      <w:rFonts w:hint="eastAsia" w:ascii="Times New Roman" w:hAnsi="Times New Roman" w:eastAsia="宋体"/>
                      <w:color w:val="auto"/>
                      <w:szCs w:val="21"/>
                      <w:highlight w:val="none"/>
                      <w:lang w:val="en-US" w:eastAsia="zh-CN"/>
                    </w:rPr>
                    <w:t>cm/s</w:t>
                  </w:r>
                  <w:r>
                    <w:rPr>
                      <w:rFonts w:hint="eastAsia" w:ascii="Times New Roman"/>
                      <w:color w:val="auto"/>
                      <w:sz w:val="21"/>
                      <w:szCs w:val="21"/>
                      <w:highlight w:val="none"/>
                    </w:rPr>
                    <w:t>。</w:t>
                  </w:r>
                  <w:r>
                    <w:rPr>
                      <w:rFonts w:hint="eastAsia" w:ascii="Times New Roman"/>
                      <w:color w:val="auto"/>
                      <w:sz w:val="21"/>
                      <w:szCs w:val="21"/>
                      <w:highlight w:val="none"/>
                      <w:lang w:eastAsia="zh-CN"/>
                    </w:rPr>
                    <w:t>医院其他区域</w:t>
                  </w:r>
                  <w:r>
                    <w:rPr>
                      <w:rFonts w:hint="eastAsia"/>
                      <w:color w:val="auto"/>
                      <w:szCs w:val="21"/>
                      <w:highlight w:val="none"/>
                    </w:rPr>
                    <w:t>进行简单防渗</w:t>
                  </w:r>
                  <w:r>
                    <w:rPr>
                      <w:rFonts w:hint="eastAsia"/>
                      <w:color w:val="auto"/>
                      <w:szCs w:val="21"/>
                      <w:highlight w:val="none"/>
                      <w:lang w:eastAsia="zh-CN"/>
                    </w:rPr>
                    <w:t>。</w:t>
                  </w:r>
                </w:p>
              </w:tc>
            </w:tr>
            <w:tr w14:paraId="72E40D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30" w:type="pct"/>
                  <w:vMerge w:val="continue"/>
                  <w:tcBorders>
                    <w:left w:val="single" w:color="auto" w:sz="4" w:space="0"/>
                    <w:right w:val="single" w:color="auto" w:sz="4" w:space="0"/>
                  </w:tcBorders>
                  <w:noWrap w:val="0"/>
                  <w:vAlign w:val="center"/>
                </w:tcPr>
                <w:p w14:paraId="5D63E095">
                  <w:pPr>
                    <w:widowControl/>
                    <w:jc w:val="center"/>
                    <w:rPr>
                      <w:rFonts w:hint="eastAsia"/>
                      <w:color w:val="auto"/>
                      <w:szCs w:val="21"/>
                      <w:highlight w:val="yellow"/>
                    </w:rPr>
                  </w:pPr>
                </w:p>
              </w:tc>
              <w:tc>
                <w:tcPr>
                  <w:tcW w:w="739" w:type="pct"/>
                  <w:gridSpan w:val="2"/>
                  <w:tcBorders>
                    <w:top w:val="single" w:color="auto" w:sz="4" w:space="0"/>
                    <w:right w:val="single" w:color="auto" w:sz="4" w:space="0"/>
                  </w:tcBorders>
                  <w:noWrap w:val="0"/>
                  <w:vAlign w:val="center"/>
                </w:tcPr>
                <w:p w14:paraId="394A646B">
                  <w:pPr>
                    <w:pStyle w:val="21"/>
                    <w:widowControl w:val="0"/>
                    <w:pBdr>
                      <w:left w:val="none" w:color="auto" w:sz="0" w:space="0"/>
                      <w:bottom w:val="none" w:color="auto" w:sz="0" w:space="0"/>
                      <w:right w:val="none" w:color="auto" w:sz="0" w:space="0"/>
                    </w:pBdr>
                    <w:spacing w:before="0" w:after="0"/>
                    <w:textAlignment w:val="auto"/>
                    <w:rPr>
                      <w:color w:val="auto"/>
                      <w:szCs w:val="21"/>
                      <w:highlight w:val="none"/>
                    </w:rPr>
                  </w:pPr>
                  <w:r>
                    <w:rPr>
                      <w:rFonts w:hint="eastAsia" w:ascii="Times New Roman" w:hAnsi="Times New Roman"/>
                      <w:color w:val="auto"/>
                      <w:sz w:val="21"/>
                      <w:szCs w:val="21"/>
                      <w:highlight w:val="none"/>
                    </w:rPr>
                    <w:t>环境风险</w:t>
                  </w:r>
                </w:p>
              </w:tc>
              <w:tc>
                <w:tcPr>
                  <w:tcW w:w="3729" w:type="pct"/>
                  <w:tcBorders>
                    <w:top w:val="single" w:color="auto" w:sz="4" w:space="0"/>
                    <w:right w:val="single" w:color="auto" w:sz="4" w:space="0"/>
                  </w:tcBorders>
                  <w:noWrap w:val="0"/>
                  <w:vAlign w:val="center"/>
                </w:tcPr>
                <w:p w14:paraId="17E259C6">
                  <w:pPr>
                    <w:jc w:val="center"/>
                    <w:rPr>
                      <w:rFonts w:hint="eastAsia" w:ascii="Times" w:hAnsi="Times" w:eastAsia="宋体"/>
                      <w:color w:val="auto"/>
                      <w:szCs w:val="21"/>
                      <w:highlight w:val="none"/>
                      <w:lang w:eastAsia="zh-CN"/>
                    </w:rPr>
                  </w:pPr>
                  <w:r>
                    <w:rPr>
                      <w:rFonts w:hint="eastAsia"/>
                      <w:color w:val="auto"/>
                      <w:highlight w:val="none"/>
                      <w:lang w:eastAsia="zh-CN"/>
                    </w:rPr>
                    <w:t>分区防渗，</w:t>
                  </w:r>
                  <w:r>
                    <w:rPr>
                      <w:rFonts w:hint="eastAsia"/>
                      <w:bCs/>
                      <w:color w:val="auto"/>
                      <w:szCs w:val="21"/>
                      <w:highlight w:val="none"/>
                      <w:lang w:eastAsia="zh-CN"/>
                    </w:rPr>
                    <w:t>医疗废物暂存间、危险废物暂存间、柴油存储间</w:t>
                  </w:r>
                  <w:r>
                    <w:rPr>
                      <w:rFonts w:hint="eastAsia"/>
                      <w:color w:val="auto"/>
                      <w:szCs w:val="21"/>
                      <w:highlight w:val="none"/>
                    </w:rPr>
                    <w:t>进行重点防渗</w:t>
                  </w:r>
                  <w:r>
                    <w:rPr>
                      <w:rFonts w:hint="eastAsia"/>
                      <w:color w:val="auto"/>
                      <w:szCs w:val="21"/>
                      <w:highlight w:val="none"/>
                      <w:lang w:eastAsia="zh-CN"/>
                    </w:rPr>
                    <w:t>；柴油存储间四周设置围堰，</w:t>
                  </w:r>
                  <w:r>
                    <w:rPr>
                      <w:rFonts w:ascii="Times New Roman" w:hAnsi="Times New Roman"/>
                      <w:color w:val="auto"/>
                      <w:highlight w:val="none"/>
                    </w:rPr>
                    <w:t>加强厂区管理，设备定期维护、保养，确保废水稳定达标排放</w:t>
                  </w:r>
                  <w:r>
                    <w:rPr>
                      <w:rFonts w:hint="eastAsia" w:ascii="Times New Roman" w:hAnsi="Times New Roman"/>
                      <w:color w:val="auto"/>
                      <w:highlight w:val="none"/>
                      <w:lang w:eastAsia="zh-CN"/>
                    </w:rPr>
                    <w:t>，</w:t>
                  </w:r>
                  <w:r>
                    <w:rPr>
                      <w:rFonts w:ascii="Times New Roman" w:hAnsi="Times New Roman"/>
                      <w:color w:val="auto"/>
                      <w:highlight w:val="none"/>
                    </w:rPr>
                    <w:t>污水处理站配套建设1座事故应急池，有效容积</w:t>
                  </w:r>
                  <w:r>
                    <w:rPr>
                      <w:rFonts w:hint="eastAsia"/>
                      <w:color w:val="auto"/>
                      <w:highlight w:val="none"/>
                      <w:lang w:val="en-US" w:eastAsia="zh-CN"/>
                    </w:rPr>
                    <w:t>2</w:t>
                  </w:r>
                  <w:r>
                    <w:rPr>
                      <w:rFonts w:hint="eastAsia" w:ascii="Times New Roman" w:hAnsi="Times New Roman"/>
                      <w:color w:val="auto"/>
                      <w:highlight w:val="none"/>
                      <w:lang w:val="en-US" w:eastAsia="zh-CN"/>
                    </w:rPr>
                    <w:t>0</w:t>
                  </w:r>
                  <w:r>
                    <w:rPr>
                      <w:rFonts w:ascii="Times New Roman" w:hAnsi="Times New Roman"/>
                      <w:color w:val="auto"/>
                      <w:highlight w:val="none"/>
                    </w:rPr>
                    <w:t>m</w:t>
                  </w:r>
                  <w:r>
                    <w:rPr>
                      <w:rFonts w:ascii="Times New Roman" w:hAnsi="Times New Roman"/>
                      <w:color w:val="auto"/>
                      <w:highlight w:val="none"/>
                      <w:vertAlign w:val="superscript"/>
                    </w:rPr>
                    <w:t>3</w:t>
                  </w:r>
                  <w:r>
                    <w:rPr>
                      <w:rFonts w:ascii="Times New Roman" w:hAnsi="Times New Roman"/>
                      <w:color w:val="auto"/>
                      <w:highlight w:val="none"/>
                    </w:rPr>
                    <w:t>，用于收集事故状态下废水。</w:t>
                  </w:r>
                </w:p>
              </w:tc>
            </w:tr>
          </w:tbl>
          <w:p w14:paraId="75E1A0B4">
            <w:pPr>
              <w:pStyle w:val="7"/>
              <w:spacing w:before="0" w:after="0" w:line="240" w:lineRule="auto"/>
              <w:ind w:right="0"/>
              <w:jc w:val="center"/>
              <w:rPr>
                <w:b/>
                <w:bCs/>
                <w:color w:val="auto"/>
                <w:sz w:val="21"/>
                <w:szCs w:val="21"/>
              </w:rPr>
            </w:pPr>
          </w:p>
          <w:p w14:paraId="2F6E0377">
            <w:pPr>
              <w:autoSpaceDE w:val="0"/>
              <w:autoSpaceDN w:val="0"/>
              <w:spacing w:line="360" w:lineRule="auto"/>
              <w:ind w:firstLine="482" w:firstLineChars="200"/>
              <w:rPr>
                <w:rFonts w:hint="eastAsia" w:eastAsia="宋体"/>
                <w:b/>
                <w:bCs/>
                <w:color w:val="auto"/>
                <w:sz w:val="24"/>
                <w:lang w:eastAsia="zh-CN"/>
              </w:rPr>
            </w:pPr>
            <w:r>
              <w:rPr>
                <w:rFonts w:hint="eastAsia"/>
                <w:b/>
                <w:bCs/>
                <w:color w:val="auto"/>
                <w:sz w:val="24"/>
                <w:lang w:eastAsia="zh-CN"/>
              </w:rPr>
              <w:t>3.医疗规模</w:t>
            </w:r>
          </w:p>
          <w:p w14:paraId="53A76783">
            <w:pPr>
              <w:autoSpaceDE w:val="0"/>
              <w:autoSpaceDN w:val="0"/>
              <w:spacing w:line="360" w:lineRule="auto"/>
              <w:ind w:firstLine="480" w:firstLineChars="200"/>
              <w:rPr>
                <w:b/>
                <w:bCs/>
                <w:color w:val="auto"/>
                <w:szCs w:val="21"/>
              </w:rPr>
            </w:pPr>
            <w:r>
              <w:rPr>
                <w:rFonts w:hint="eastAsia"/>
                <w:color w:val="auto"/>
                <w:sz w:val="24"/>
              </w:rPr>
              <w:t>本项目</w:t>
            </w:r>
            <w:r>
              <w:rPr>
                <w:rFonts w:hint="eastAsia"/>
                <w:color w:val="auto"/>
                <w:sz w:val="24"/>
                <w:lang w:eastAsia="zh-CN"/>
              </w:rPr>
              <w:t>设计规模见下表</w:t>
            </w:r>
            <w:r>
              <w:rPr>
                <w:rFonts w:hint="eastAsia"/>
                <w:color w:val="auto"/>
                <w:sz w:val="24"/>
              </w:rPr>
              <w:t>。</w:t>
            </w:r>
          </w:p>
          <w:p w14:paraId="13C8718D">
            <w:pPr>
              <w:pStyle w:val="7"/>
              <w:spacing w:before="0" w:after="0" w:line="240" w:lineRule="auto"/>
              <w:ind w:right="0"/>
              <w:jc w:val="center"/>
              <w:rPr>
                <w:rFonts w:hint="eastAsia" w:eastAsia="宋体"/>
                <w:b/>
                <w:bCs/>
                <w:color w:val="auto"/>
                <w:sz w:val="21"/>
                <w:szCs w:val="21"/>
                <w:lang w:eastAsia="zh-CN"/>
              </w:rPr>
            </w:pPr>
            <w:r>
              <w:rPr>
                <w:b/>
                <w:bCs/>
                <w:color w:val="auto"/>
                <w:sz w:val="21"/>
                <w:szCs w:val="21"/>
              </w:rPr>
              <w:t>表2-4  项目</w:t>
            </w:r>
            <w:r>
              <w:rPr>
                <w:rFonts w:hint="eastAsia"/>
                <w:b/>
                <w:bCs/>
                <w:color w:val="auto"/>
                <w:sz w:val="21"/>
                <w:szCs w:val="21"/>
                <w:lang w:eastAsia="zh-CN"/>
              </w:rPr>
              <w:t>规模及科室情况一览表</w:t>
            </w:r>
          </w:p>
          <w:tbl>
            <w:tblPr>
              <w:tblStyle w:val="14"/>
              <w:tblW w:w="495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88"/>
              <w:gridCol w:w="3645"/>
            </w:tblGrid>
            <w:tr w14:paraId="3EFC78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jc w:val="center"/>
              </w:trPr>
              <w:tc>
                <w:tcPr>
                  <w:tcW w:w="2759" w:type="pct"/>
                  <w:noWrap w:val="0"/>
                  <w:vAlign w:val="center"/>
                </w:tcPr>
                <w:p w14:paraId="0BDE7F9B">
                  <w:pPr>
                    <w:jc w:val="center"/>
                    <w:rPr>
                      <w:rFonts w:hint="eastAsia"/>
                      <w:color w:val="auto"/>
                    </w:rPr>
                  </w:pPr>
                  <w:r>
                    <w:rPr>
                      <w:rFonts w:hint="eastAsia"/>
                      <w:color w:val="auto"/>
                      <w:lang w:eastAsia="zh-CN"/>
                    </w:rPr>
                    <w:t>项目</w:t>
                  </w:r>
                </w:p>
              </w:tc>
              <w:tc>
                <w:tcPr>
                  <w:tcW w:w="2240" w:type="pct"/>
                  <w:noWrap w:val="0"/>
                  <w:vAlign w:val="center"/>
                </w:tcPr>
                <w:p w14:paraId="6CFD048E">
                  <w:pPr>
                    <w:jc w:val="center"/>
                    <w:rPr>
                      <w:rFonts w:hint="eastAsia" w:eastAsia="宋体"/>
                      <w:color w:val="auto"/>
                      <w:lang w:eastAsia="zh-CN"/>
                    </w:rPr>
                  </w:pPr>
                  <w:r>
                    <w:rPr>
                      <w:rFonts w:hint="eastAsia"/>
                      <w:color w:val="auto"/>
                      <w:lang w:eastAsia="zh-CN"/>
                    </w:rPr>
                    <w:t>规模</w:t>
                  </w:r>
                </w:p>
              </w:tc>
            </w:tr>
            <w:tr w14:paraId="1F3BD8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6" w:hRule="atLeast"/>
                <w:jc w:val="center"/>
              </w:trPr>
              <w:tc>
                <w:tcPr>
                  <w:tcW w:w="2759" w:type="pct"/>
                  <w:noWrap w:val="0"/>
                  <w:vAlign w:val="center"/>
                </w:tcPr>
                <w:p w14:paraId="20A4E472">
                  <w:pPr>
                    <w:jc w:val="center"/>
                    <w:rPr>
                      <w:rFonts w:hint="default" w:eastAsia="宋体"/>
                      <w:color w:val="auto"/>
                      <w:lang w:val="en-US" w:eastAsia="zh-CN"/>
                    </w:rPr>
                  </w:pPr>
                  <w:r>
                    <w:rPr>
                      <w:rFonts w:hint="eastAsia"/>
                      <w:color w:val="auto"/>
                      <w:lang w:val="en-US" w:eastAsia="zh-CN"/>
                    </w:rPr>
                    <w:t>病床数</w:t>
                  </w:r>
                </w:p>
              </w:tc>
              <w:tc>
                <w:tcPr>
                  <w:tcW w:w="2240" w:type="pct"/>
                  <w:noWrap w:val="0"/>
                  <w:vAlign w:val="center"/>
                </w:tcPr>
                <w:p w14:paraId="292266F0">
                  <w:pPr>
                    <w:jc w:val="center"/>
                    <w:rPr>
                      <w:rFonts w:hint="default" w:eastAsia="宋体"/>
                      <w:color w:val="auto"/>
                      <w:lang w:val="en-US" w:eastAsia="zh-CN"/>
                    </w:rPr>
                  </w:pPr>
                  <w:r>
                    <w:rPr>
                      <w:rFonts w:hint="eastAsia"/>
                      <w:color w:val="auto"/>
                      <w:lang w:val="en-US" w:eastAsia="zh-CN"/>
                    </w:rPr>
                    <w:t>220张</w:t>
                  </w:r>
                </w:p>
              </w:tc>
            </w:tr>
            <w:tr w14:paraId="3C9C56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2" w:hRule="atLeast"/>
                <w:jc w:val="center"/>
              </w:trPr>
              <w:tc>
                <w:tcPr>
                  <w:tcW w:w="2759" w:type="pct"/>
                  <w:noWrap w:val="0"/>
                  <w:vAlign w:val="center"/>
                </w:tcPr>
                <w:p w14:paraId="356713AB">
                  <w:pPr>
                    <w:spacing w:before="120" w:beforeLines="50" w:after="120" w:afterLines="50"/>
                    <w:jc w:val="center"/>
                    <w:outlineLvl w:val="1"/>
                    <w:rPr>
                      <w:rFonts w:hint="default"/>
                      <w:color w:val="auto"/>
                      <w:szCs w:val="21"/>
                      <w:lang w:val="en-US" w:eastAsia="zh-CN"/>
                    </w:rPr>
                  </w:pPr>
                  <w:r>
                    <w:rPr>
                      <w:rFonts w:hint="eastAsia"/>
                      <w:color w:val="auto"/>
                      <w:szCs w:val="21"/>
                      <w:lang w:val="en-US" w:eastAsia="zh-CN"/>
                    </w:rPr>
                    <w:t>日均门诊人数</w:t>
                  </w:r>
                </w:p>
              </w:tc>
              <w:tc>
                <w:tcPr>
                  <w:tcW w:w="2240" w:type="pct"/>
                  <w:noWrap w:val="0"/>
                  <w:vAlign w:val="center"/>
                </w:tcPr>
                <w:p w14:paraId="55BF2B28">
                  <w:pPr>
                    <w:spacing w:before="120" w:beforeLines="50" w:after="120" w:afterLines="50"/>
                    <w:jc w:val="center"/>
                    <w:outlineLvl w:val="1"/>
                    <w:rPr>
                      <w:rFonts w:hint="default"/>
                      <w:color w:val="auto"/>
                      <w:szCs w:val="21"/>
                      <w:lang w:val="en-US" w:eastAsia="zh-CN"/>
                    </w:rPr>
                  </w:pPr>
                  <w:r>
                    <w:rPr>
                      <w:rFonts w:hint="eastAsia"/>
                      <w:color w:val="auto"/>
                      <w:szCs w:val="21"/>
                      <w:lang w:val="en-US" w:eastAsia="zh-CN"/>
                    </w:rPr>
                    <w:t>150人</w:t>
                  </w:r>
                </w:p>
              </w:tc>
            </w:tr>
          </w:tbl>
          <w:p w14:paraId="4C0A2862">
            <w:pPr>
              <w:rPr>
                <w:color w:val="auto"/>
              </w:rPr>
            </w:pPr>
          </w:p>
          <w:p w14:paraId="1B044DA3">
            <w:pPr>
              <w:pStyle w:val="19"/>
              <w:spacing w:line="360" w:lineRule="auto"/>
              <w:ind w:firstLine="482" w:firstLineChars="200"/>
              <w:rPr>
                <w:rFonts w:ascii="Times New Roman"/>
                <w:b/>
                <w:color w:val="auto"/>
                <w:sz w:val="24"/>
                <w:szCs w:val="24"/>
              </w:rPr>
            </w:pPr>
            <w:r>
              <w:rPr>
                <w:rFonts w:ascii="Times New Roman"/>
                <w:b/>
                <w:color w:val="auto"/>
                <w:sz w:val="24"/>
                <w:szCs w:val="24"/>
              </w:rPr>
              <w:t>4</w:t>
            </w:r>
            <w:r>
              <w:rPr>
                <w:rFonts w:hint="eastAsia" w:ascii="Times New Roman"/>
                <w:b/>
                <w:color w:val="auto"/>
                <w:sz w:val="24"/>
                <w:szCs w:val="24"/>
                <w:lang w:eastAsia="zh-CN"/>
              </w:rPr>
              <w:t>.</w:t>
            </w:r>
            <w:r>
              <w:rPr>
                <w:rFonts w:ascii="Times New Roman"/>
                <w:b/>
                <w:color w:val="auto"/>
                <w:sz w:val="24"/>
                <w:szCs w:val="24"/>
              </w:rPr>
              <w:t>主要原辅料量</w:t>
            </w:r>
          </w:p>
          <w:p w14:paraId="609501EC">
            <w:pPr>
              <w:pStyle w:val="7"/>
              <w:spacing w:before="0" w:after="0" w:line="240" w:lineRule="auto"/>
              <w:ind w:right="0"/>
              <w:jc w:val="center"/>
              <w:rPr>
                <w:b/>
                <w:bCs/>
                <w:color w:val="auto"/>
                <w:sz w:val="21"/>
                <w:szCs w:val="21"/>
              </w:rPr>
            </w:pPr>
          </w:p>
          <w:p w14:paraId="00EA8BF2">
            <w:pPr>
              <w:pStyle w:val="7"/>
              <w:spacing w:before="0" w:after="0" w:line="240" w:lineRule="auto"/>
              <w:ind w:right="0"/>
              <w:jc w:val="center"/>
              <w:rPr>
                <w:b/>
                <w:bCs/>
                <w:color w:val="auto"/>
                <w:sz w:val="21"/>
                <w:szCs w:val="21"/>
              </w:rPr>
            </w:pPr>
          </w:p>
          <w:p w14:paraId="04FAF0C7">
            <w:pPr>
              <w:pStyle w:val="7"/>
              <w:spacing w:before="0" w:after="0" w:line="240" w:lineRule="auto"/>
              <w:ind w:right="0"/>
              <w:jc w:val="center"/>
              <w:rPr>
                <w:b/>
                <w:bCs/>
                <w:color w:val="auto"/>
                <w:sz w:val="21"/>
                <w:szCs w:val="21"/>
              </w:rPr>
            </w:pPr>
          </w:p>
          <w:p w14:paraId="037699FB">
            <w:pPr>
              <w:pStyle w:val="7"/>
              <w:spacing w:before="0" w:after="0" w:line="240" w:lineRule="auto"/>
              <w:ind w:right="0"/>
              <w:jc w:val="center"/>
              <w:rPr>
                <w:b/>
                <w:bCs/>
                <w:color w:val="auto"/>
                <w:sz w:val="21"/>
                <w:szCs w:val="21"/>
              </w:rPr>
            </w:pPr>
          </w:p>
          <w:p w14:paraId="50074885">
            <w:pPr>
              <w:pStyle w:val="7"/>
              <w:spacing w:before="0" w:after="0" w:line="240" w:lineRule="auto"/>
              <w:ind w:right="0"/>
              <w:jc w:val="center"/>
              <w:rPr>
                <w:b/>
                <w:bCs/>
                <w:color w:val="auto"/>
                <w:sz w:val="21"/>
                <w:szCs w:val="21"/>
              </w:rPr>
            </w:pPr>
          </w:p>
          <w:p w14:paraId="31899C7B">
            <w:pPr>
              <w:pStyle w:val="7"/>
              <w:spacing w:before="0" w:after="0" w:line="240" w:lineRule="auto"/>
              <w:ind w:right="0"/>
              <w:jc w:val="center"/>
              <w:rPr>
                <w:b/>
                <w:bCs/>
                <w:color w:val="auto"/>
                <w:sz w:val="21"/>
                <w:szCs w:val="21"/>
              </w:rPr>
            </w:pPr>
            <w:r>
              <w:rPr>
                <w:b/>
                <w:bCs/>
                <w:color w:val="auto"/>
                <w:sz w:val="21"/>
                <w:szCs w:val="21"/>
              </w:rPr>
              <w:t>表2-5  项目主要原辅材料一览表</w:t>
            </w:r>
          </w:p>
          <w:tbl>
            <w:tblPr>
              <w:tblStyle w:val="14"/>
              <w:tblW w:w="494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8"/>
              <w:gridCol w:w="1545"/>
              <w:gridCol w:w="615"/>
              <w:gridCol w:w="960"/>
              <w:gridCol w:w="1725"/>
              <w:gridCol w:w="1305"/>
              <w:gridCol w:w="1492"/>
            </w:tblGrid>
            <w:tr w14:paraId="37F912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9" w:hRule="atLeast"/>
                <w:jc w:val="center"/>
              </w:trPr>
              <w:tc>
                <w:tcPr>
                  <w:tcW w:w="1250" w:type="pct"/>
                  <w:gridSpan w:val="2"/>
                  <w:noWrap w:val="0"/>
                  <w:vAlign w:val="center"/>
                </w:tcPr>
                <w:p w14:paraId="2FC2D3D1">
                  <w:pPr>
                    <w:jc w:val="center"/>
                    <w:rPr>
                      <w:b/>
                      <w:bCs/>
                      <w:szCs w:val="21"/>
                    </w:rPr>
                  </w:pPr>
                  <w:r>
                    <w:rPr>
                      <w:b/>
                      <w:bCs/>
                      <w:szCs w:val="21"/>
                    </w:rPr>
                    <w:t>名称</w:t>
                  </w:r>
                </w:p>
              </w:tc>
              <w:tc>
                <w:tcPr>
                  <w:tcW w:w="378" w:type="pct"/>
                  <w:noWrap w:val="0"/>
                  <w:vAlign w:val="center"/>
                </w:tcPr>
                <w:p w14:paraId="63F96B15">
                  <w:pPr>
                    <w:jc w:val="center"/>
                    <w:rPr>
                      <w:b/>
                      <w:bCs/>
                      <w:szCs w:val="21"/>
                    </w:rPr>
                  </w:pPr>
                  <w:r>
                    <w:rPr>
                      <w:b/>
                      <w:bCs/>
                      <w:szCs w:val="21"/>
                    </w:rPr>
                    <w:t>单位</w:t>
                  </w:r>
                </w:p>
              </w:tc>
              <w:tc>
                <w:tcPr>
                  <w:tcW w:w="590" w:type="pct"/>
                  <w:noWrap w:val="0"/>
                  <w:vAlign w:val="center"/>
                </w:tcPr>
                <w:p w14:paraId="20860A09">
                  <w:pPr>
                    <w:jc w:val="center"/>
                    <w:rPr>
                      <w:b/>
                      <w:bCs/>
                      <w:szCs w:val="21"/>
                    </w:rPr>
                  </w:pPr>
                  <w:r>
                    <w:rPr>
                      <w:b/>
                      <w:bCs/>
                      <w:szCs w:val="21"/>
                    </w:rPr>
                    <w:t>年用量</w:t>
                  </w:r>
                </w:p>
              </w:tc>
              <w:tc>
                <w:tcPr>
                  <w:tcW w:w="1060" w:type="pct"/>
                  <w:noWrap w:val="0"/>
                  <w:vAlign w:val="center"/>
                </w:tcPr>
                <w:p w14:paraId="668E858A">
                  <w:pPr>
                    <w:jc w:val="center"/>
                    <w:rPr>
                      <w:b/>
                      <w:bCs/>
                      <w:szCs w:val="21"/>
                    </w:rPr>
                  </w:pPr>
                  <w:r>
                    <w:rPr>
                      <w:b/>
                      <w:bCs/>
                      <w:szCs w:val="21"/>
                    </w:rPr>
                    <w:t>最大储存量及储存周期</w:t>
                  </w:r>
                </w:p>
              </w:tc>
              <w:tc>
                <w:tcPr>
                  <w:tcW w:w="802" w:type="pct"/>
                  <w:noWrap w:val="0"/>
                  <w:vAlign w:val="center"/>
                </w:tcPr>
                <w:p w14:paraId="6C32DED5">
                  <w:pPr>
                    <w:jc w:val="center"/>
                    <w:rPr>
                      <w:b/>
                      <w:bCs/>
                      <w:szCs w:val="21"/>
                    </w:rPr>
                  </w:pPr>
                  <w:r>
                    <w:rPr>
                      <w:b/>
                      <w:bCs/>
                      <w:szCs w:val="21"/>
                    </w:rPr>
                    <w:t>备注</w:t>
                  </w:r>
                </w:p>
              </w:tc>
              <w:tc>
                <w:tcPr>
                  <w:tcW w:w="917" w:type="pct"/>
                  <w:noWrap w:val="0"/>
                  <w:vAlign w:val="center"/>
                </w:tcPr>
                <w:p w14:paraId="7E2D70AD">
                  <w:pPr>
                    <w:jc w:val="center"/>
                    <w:rPr>
                      <w:b/>
                      <w:bCs/>
                      <w:szCs w:val="21"/>
                    </w:rPr>
                  </w:pPr>
                  <w:r>
                    <w:rPr>
                      <w:b/>
                      <w:bCs/>
                      <w:szCs w:val="21"/>
                    </w:rPr>
                    <w:t>暂存位置</w:t>
                  </w:r>
                </w:p>
              </w:tc>
            </w:tr>
            <w:tr w14:paraId="03DC53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00" w:type="pct"/>
                  <w:vMerge w:val="restart"/>
                  <w:noWrap w:val="0"/>
                  <w:vAlign w:val="center"/>
                </w:tcPr>
                <w:p w14:paraId="08E6F7B4">
                  <w:pPr>
                    <w:widowControl/>
                    <w:jc w:val="center"/>
                    <w:rPr>
                      <w:szCs w:val="21"/>
                    </w:rPr>
                  </w:pPr>
                  <w:r>
                    <w:rPr>
                      <w:szCs w:val="21"/>
                    </w:rPr>
                    <w:t>医疗用品</w:t>
                  </w:r>
                </w:p>
              </w:tc>
              <w:tc>
                <w:tcPr>
                  <w:tcW w:w="950" w:type="pct"/>
                  <w:noWrap w:val="0"/>
                  <w:vAlign w:val="center"/>
                </w:tcPr>
                <w:p w14:paraId="3E218811">
                  <w:pPr>
                    <w:jc w:val="center"/>
                    <w:rPr>
                      <w:szCs w:val="21"/>
                    </w:rPr>
                  </w:pPr>
                  <w:r>
                    <w:rPr>
                      <w:szCs w:val="21"/>
                    </w:rPr>
                    <w:t>一次性输液管</w:t>
                  </w:r>
                </w:p>
              </w:tc>
              <w:tc>
                <w:tcPr>
                  <w:tcW w:w="378" w:type="pct"/>
                  <w:noWrap w:val="0"/>
                  <w:vAlign w:val="center"/>
                </w:tcPr>
                <w:p w14:paraId="5416A3E6">
                  <w:pPr>
                    <w:jc w:val="center"/>
                    <w:rPr>
                      <w:szCs w:val="21"/>
                    </w:rPr>
                  </w:pPr>
                  <w:r>
                    <w:rPr>
                      <w:szCs w:val="21"/>
                    </w:rPr>
                    <w:t>个</w:t>
                  </w:r>
                </w:p>
              </w:tc>
              <w:tc>
                <w:tcPr>
                  <w:tcW w:w="590" w:type="pct"/>
                  <w:noWrap w:val="0"/>
                  <w:vAlign w:val="center"/>
                </w:tcPr>
                <w:p w14:paraId="4E60FBA7">
                  <w:pPr>
                    <w:jc w:val="center"/>
                    <w:rPr>
                      <w:szCs w:val="21"/>
                    </w:rPr>
                  </w:pPr>
                  <w:r>
                    <w:rPr>
                      <w:rFonts w:hint="eastAsia"/>
                      <w:szCs w:val="21"/>
                      <w:lang w:val="en-US" w:eastAsia="zh-CN"/>
                    </w:rPr>
                    <w:t>1.65</w:t>
                  </w:r>
                  <w:r>
                    <w:rPr>
                      <w:szCs w:val="21"/>
                    </w:rPr>
                    <w:t>万</w:t>
                  </w:r>
                </w:p>
              </w:tc>
              <w:tc>
                <w:tcPr>
                  <w:tcW w:w="1060" w:type="pct"/>
                  <w:noWrap w:val="0"/>
                  <w:vAlign w:val="center"/>
                </w:tcPr>
                <w:p w14:paraId="5BFEE824">
                  <w:pPr>
                    <w:jc w:val="center"/>
                    <w:rPr>
                      <w:szCs w:val="21"/>
                    </w:rPr>
                  </w:pPr>
                  <w:r>
                    <w:rPr>
                      <w:szCs w:val="21"/>
                    </w:rPr>
                    <w:t>1</w:t>
                  </w:r>
                  <w:r>
                    <w:rPr>
                      <w:rFonts w:hint="eastAsia"/>
                      <w:szCs w:val="21"/>
                      <w:lang w:val="en-US" w:eastAsia="zh-CN"/>
                    </w:rPr>
                    <w:t>375支</w:t>
                  </w:r>
                  <w:r>
                    <w:rPr>
                      <w:szCs w:val="21"/>
                    </w:rPr>
                    <w:t>，30天</w:t>
                  </w:r>
                </w:p>
              </w:tc>
              <w:tc>
                <w:tcPr>
                  <w:tcW w:w="802" w:type="pct"/>
                  <w:noWrap w:val="0"/>
                  <w:vAlign w:val="center"/>
                </w:tcPr>
                <w:p w14:paraId="0EC658BD">
                  <w:pPr>
                    <w:jc w:val="center"/>
                    <w:rPr>
                      <w:szCs w:val="21"/>
                    </w:rPr>
                  </w:pPr>
                  <w:r>
                    <w:rPr>
                      <w:szCs w:val="21"/>
                    </w:rPr>
                    <w:t>外购</w:t>
                  </w:r>
                </w:p>
              </w:tc>
              <w:tc>
                <w:tcPr>
                  <w:tcW w:w="917" w:type="pct"/>
                  <w:vMerge w:val="restart"/>
                  <w:noWrap w:val="0"/>
                  <w:vAlign w:val="center"/>
                </w:tcPr>
                <w:p w14:paraId="2BB4160D">
                  <w:pPr>
                    <w:jc w:val="center"/>
                    <w:rPr>
                      <w:szCs w:val="21"/>
                      <w:highlight w:val="cyan"/>
                    </w:rPr>
                  </w:pPr>
                  <w:r>
                    <w:rPr>
                      <w:rFonts w:hint="eastAsia"/>
                      <w:szCs w:val="21"/>
                      <w:highlight w:val="none"/>
                      <w:lang w:val="en-US" w:eastAsia="zh-CN"/>
                    </w:rPr>
                    <w:t>门诊楼1层耗材库</w:t>
                  </w:r>
                  <w:r>
                    <w:rPr>
                      <w:szCs w:val="21"/>
                      <w:highlight w:val="none"/>
                    </w:rPr>
                    <w:t>，占地约10m</w:t>
                  </w:r>
                  <w:r>
                    <w:rPr>
                      <w:szCs w:val="21"/>
                      <w:highlight w:val="none"/>
                      <w:vertAlign w:val="superscript"/>
                    </w:rPr>
                    <w:t>2</w:t>
                  </w:r>
                </w:p>
              </w:tc>
            </w:tr>
            <w:tr w14:paraId="35AEFC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00" w:type="pct"/>
                  <w:vMerge w:val="continue"/>
                  <w:noWrap w:val="0"/>
                  <w:vAlign w:val="center"/>
                </w:tcPr>
                <w:p w14:paraId="56FEE7AC">
                  <w:pPr>
                    <w:jc w:val="center"/>
                    <w:rPr>
                      <w:szCs w:val="21"/>
                    </w:rPr>
                  </w:pPr>
                </w:p>
              </w:tc>
              <w:tc>
                <w:tcPr>
                  <w:tcW w:w="950" w:type="pct"/>
                  <w:noWrap w:val="0"/>
                  <w:vAlign w:val="center"/>
                </w:tcPr>
                <w:p w14:paraId="03C55FB0">
                  <w:pPr>
                    <w:jc w:val="center"/>
                    <w:rPr>
                      <w:szCs w:val="21"/>
                    </w:rPr>
                  </w:pPr>
                  <w:r>
                    <w:rPr>
                      <w:szCs w:val="21"/>
                    </w:rPr>
                    <w:t>一次性注射器</w:t>
                  </w:r>
                </w:p>
              </w:tc>
              <w:tc>
                <w:tcPr>
                  <w:tcW w:w="378" w:type="pct"/>
                  <w:noWrap w:val="0"/>
                  <w:vAlign w:val="center"/>
                </w:tcPr>
                <w:p w14:paraId="1C918DEA">
                  <w:pPr>
                    <w:jc w:val="center"/>
                    <w:rPr>
                      <w:szCs w:val="21"/>
                    </w:rPr>
                  </w:pPr>
                  <w:r>
                    <w:rPr>
                      <w:szCs w:val="21"/>
                    </w:rPr>
                    <w:t>个</w:t>
                  </w:r>
                </w:p>
              </w:tc>
              <w:tc>
                <w:tcPr>
                  <w:tcW w:w="590" w:type="pct"/>
                  <w:noWrap w:val="0"/>
                  <w:vAlign w:val="center"/>
                </w:tcPr>
                <w:p w14:paraId="7C4E917B">
                  <w:pPr>
                    <w:jc w:val="center"/>
                    <w:rPr>
                      <w:szCs w:val="21"/>
                    </w:rPr>
                  </w:pPr>
                  <w:r>
                    <w:rPr>
                      <w:rFonts w:hint="eastAsia"/>
                      <w:szCs w:val="21"/>
                      <w:lang w:val="en-US" w:eastAsia="zh-CN"/>
                    </w:rPr>
                    <w:t>1.74</w:t>
                  </w:r>
                  <w:r>
                    <w:rPr>
                      <w:szCs w:val="21"/>
                    </w:rPr>
                    <w:t>万</w:t>
                  </w:r>
                </w:p>
              </w:tc>
              <w:tc>
                <w:tcPr>
                  <w:tcW w:w="1060" w:type="pct"/>
                  <w:noWrap w:val="0"/>
                  <w:vAlign w:val="center"/>
                </w:tcPr>
                <w:p w14:paraId="74B6DE90">
                  <w:pPr>
                    <w:jc w:val="center"/>
                    <w:rPr>
                      <w:szCs w:val="21"/>
                    </w:rPr>
                  </w:pPr>
                  <w:r>
                    <w:rPr>
                      <w:szCs w:val="21"/>
                    </w:rPr>
                    <w:t>1</w:t>
                  </w:r>
                  <w:r>
                    <w:rPr>
                      <w:rFonts w:hint="eastAsia"/>
                      <w:szCs w:val="21"/>
                      <w:lang w:val="en-US" w:eastAsia="zh-CN"/>
                    </w:rPr>
                    <w:t>450支</w:t>
                  </w:r>
                  <w:r>
                    <w:rPr>
                      <w:szCs w:val="21"/>
                    </w:rPr>
                    <w:t>，30天</w:t>
                  </w:r>
                </w:p>
              </w:tc>
              <w:tc>
                <w:tcPr>
                  <w:tcW w:w="802" w:type="pct"/>
                  <w:noWrap w:val="0"/>
                  <w:vAlign w:val="center"/>
                </w:tcPr>
                <w:p w14:paraId="010A2D2B">
                  <w:pPr>
                    <w:jc w:val="center"/>
                    <w:rPr>
                      <w:szCs w:val="21"/>
                    </w:rPr>
                  </w:pPr>
                  <w:r>
                    <w:rPr>
                      <w:szCs w:val="21"/>
                    </w:rPr>
                    <w:t>外购</w:t>
                  </w:r>
                </w:p>
              </w:tc>
              <w:tc>
                <w:tcPr>
                  <w:tcW w:w="917" w:type="pct"/>
                  <w:vMerge w:val="continue"/>
                  <w:noWrap w:val="0"/>
                  <w:vAlign w:val="center"/>
                </w:tcPr>
                <w:p w14:paraId="1FD5045C">
                  <w:pPr>
                    <w:jc w:val="center"/>
                    <w:rPr>
                      <w:szCs w:val="21"/>
                      <w:highlight w:val="cyan"/>
                    </w:rPr>
                  </w:pPr>
                </w:p>
              </w:tc>
            </w:tr>
            <w:tr w14:paraId="29AACE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00" w:type="pct"/>
                  <w:vMerge w:val="continue"/>
                  <w:noWrap w:val="0"/>
                  <w:vAlign w:val="center"/>
                </w:tcPr>
                <w:p w14:paraId="77307684">
                  <w:pPr>
                    <w:jc w:val="center"/>
                    <w:rPr>
                      <w:szCs w:val="21"/>
                    </w:rPr>
                  </w:pPr>
                </w:p>
              </w:tc>
              <w:tc>
                <w:tcPr>
                  <w:tcW w:w="950" w:type="pct"/>
                  <w:noWrap w:val="0"/>
                  <w:vAlign w:val="center"/>
                </w:tcPr>
                <w:p w14:paraId="6026B926">
                  <w:pPr>
                    <w:jc w:val="center"/>
                    <w:rPr>
                      <w:szCs w:val="21"/>
                    </w:rPr>
                  </w:pPr>
                  <w:r>
                    <w:rPr>
                      <w:szCs w:val="21"/>
                    </w:rPr>
                    <w:t>一次性手套</w:t>
                  </w:r>
                </w:p>
              </w:tc>
              <w:tc>
                <w:tcPr>
                  <w:tcW w:w="378" w:type="pct"/>
                  <w:noWrap w:val="0"/>
                  <w:vAlign w:val="center"/>
                </w:tcPr>
                <w:p w14:paraId="0DA9F377">
                  <w:pPr>
                    <w:jc w:val="center"/>
                    <w:rPr>
                      <w:szCs w:val="21"/>
                    </w:rPr>
                  </w:pPr>
                  <w:r>
                    <w:rPr>
                      <w:szCs w:val="21"/>
                    </w:rPr>
                    <w:t>套</w:t>
                  </w:r>
                </w:p>
              </w:tc>
              <w:tc>
                <w:tcPr>
                  <w:tcW w:w="590" w:type="pct"/>
                  <w:noWrap w:val="0"/>
                  <w:vAlign w:val="center"/>
                </w:tcPr>
                <w:p w14:paraId="4ACC6B1E">
                  <w:pPr>
                    <w:jc w:val="center"/>
                    <w:rPr>
                      <w:szCs w:val="21"/>
                    </w:rPr>
                  </w:pPr>
                  <w:r>
                    <w:rPr>
                      <w:szCs w:val="21"/>
                    </w:rPr>
                    <w:t>1</w:t>
                  </w:r>
                  <w:r>
                    <w:rPr>
                      <w:rFonts w:hint="eastAsia"/>
                      <w:szCs w:val="21"/>
                      <w:lang w:val="en-US" w:eastAsia="zh-CN"/>
                    </w:rPr>
                    <w:t>.75</w:t>
                  </w:r>
                  <w:r>
                    <w:rPr>
                      <w:szCs w:val="21"/>
                    </w:rPr>
                    <w:t>万</w:t>
                  </w:r>
                </w:p>
              </w:tc>
              <w:tc>
                <w:tcPr>
                  <w:tcW w:w="1060" w:type="pct"/>
                  <w:noWrap w:val="0"/>
                  <w:vAlign w:val="center"/>
                </w:tcPr>
                <w:p w14:paraId="1E12A4DF">
                  <w:pPr>
                    <w:jc w:val="center"/>
                    <w:rPr>
                      <w:szCs w:val="21"/>
                    </w:rPr>
                  </w:pPr>
                  <w:r>
                    <w:rPr>
                      <w:rFonts w:hint="eastAsia"/>
                      <w:szCs w:val="21"/>
                      <w:lang w:val="en-US" w:eastAsia="zh-CN"/>
                    </w:rPr>
                    <w:t>1400套</w:t>
                  </w:r>
                  <w:r>
                    <w:rPr>
                      <w:szCs w:val="21"/>
                    </w:rPr>
                    <w:t>，30天</w:t>
                  </w:r>
                </w:p>
              </w:tc>
              <w:tc>
                <w:tcPr>
                  <w:tcW w:w="802" w:type="pct"/>
                  <w:noWrap w:val="0"/>
                  <w:vAlign w:val="center"/>
                </w:tcPr>
                <w:p w14:paraId="3A1E42FC">
                  <w:pPr>
                    <w:jc w:val="center"/>
                    <w:rPr>
                      <w:szCs w:val="21"/>
                    </w:rPr>
                  </w:pPr>
                  <w:r>
                    <w:rPr>
                      <w:szCs w:val="21"/>
                    </w:rPr>
                    <w:t>外购</w:t>
                  </w:r>
                </w:p>
              </w:tc>
              <w:tc>
                <w:tcPr>
                  <w:tcW w:w="917" w:type="pct"/>
                  <w:vMerge w:val="continue"/>
                  <w:noWrap w:val="0"/>
                  <w:vAlign w:val="center"/>
                </w:tcPr>
                <w:p w14:paraId="4ACA1365">
                  <w:pPr>
                    <w:jc w:val="center"/>
                    <w:rPr>
                      <w:szCs w:val="21"/>
                      <w:highlight w:val="cyan"/>
                    </w:rPr>
                  </w:pPr>
                </w:p>
              </w:tc>
            </w:tr>
            <w:tr w14:paraId="263083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00" w:type="pct"/>
                  <w:vMerge w:val="continue"/>
                  <w:noWrap w:val="0"/>
                  <w:vAlign w:val="center"/>
                </w:tcPr>
                <w:p w14:paraId="226C55C4">
                  <w:pPr>
                    <w:jc w:val="center"/>
                    <w:rPr>
                      <w:szCs w:val="21"/>
                    </w:rPr>
                  </w:pPr>
                </w:p>
              </w:tc>
              <w:tc>
                <w:tcPr>
                  <w:tcW w:w="950" w:type="pct"/>
                  <w:noWrap w:val="0"/>
                  <w:vAlign w:val="center"/>
                </w:tcPr>
                <w:p w14:paraId="369280A5">
                  <w:pPr>
                    <w:jc w:val="center"/>
                    <w:rPr>
                      <w:szCs w:val="21"/>
                    </w:rPr>
                  </w:pPr>
                  <w:r>
                    <w:rPr>
                      <w:szCs w:val="21"/>
                    </w:rPr>
                    <w:t>一次性棉签</w:t>
                  </w:r>
                </w:p>
              </w:tc>
              <w:tc>
                <w:tcPr>
                  <w:tcW w:w="378" w:type="pct"/>
                  <w:noWrap w:val="0"/>
                  <w:vAlign w:val="center"/>
                </w:tcPr>
                <w:p w14:paraId="3C96C9EC">
                  <w:pPr>
                    <w:jc w:val="center"/>
                    <w:rPr>
                      <w:szCs w:val="21"/>
                    </w:rPr>
                  </w:pPr>
                  <w:r>
                    <w:rPr>
                      <w:szCs w:val="21"/>
                    </w:rPr>
                    <w:t>只</w:t>
                  </w:r>
                </w:p>
              </w:tc>
              <w:tc>
                <w:tcPr>
                  <w:tcW w:w="590" w:type="pct"/>
                  <w:noWrap w:val="0"/>
                  <w:vAlign w:val="center"/>
                </w:tcPr>
                <w:p w14:paraId="7502DF9A">
                  <w:pPr>
                    <w:jc w:val="center"/>
                    <w:rPr>
                      <w:szCs w:val="21"/>
                    </w:rPr>
                  </w:pPr>
                  <w:r>
                    <w:rPr>
                      <w:rFonts w:hint="eastAsia"/>
                      <w:szCs w:val="21"/>
                      <w:lang w:val="en-US" w:eastAsia="zh-CN"/>
                    </w:rPr>
                    <w:t>21</w:t>
                  </w:r>
                  <w:r>
                    <w:rPr>
                      <w:szCs w:val="21"/>
                    </w:rPr>
                    <w:t>万</w:t>
                  </w:r>
                </w:p>
              </w:tc>
              <w:tc>
                <w:tcPr>
                  <w:tcW w:w="1060" w:type="pct"/>
                  <w:noWrap w:val="0"/>
                  <w:vAlign w:val="center"/>
                </w:tcPr>
                <w:p w14:paraId="3284955F">
                  <w:pPr>
                    <w:jc w:val="center"/>
                    <w:rPr>
                      <w:szCs w:val="21"/>
                    </w:rPr>
                  </w:pPr>
                  <w:r>
                    <w:rPr>
                      <w:rFonts w:hint="eastAsia"/>
                      <w:szCs w:val="21"/>
                      <w:lang w:val="en-US" w:eastAsia="zh-CN"/>
                    </w:rPr>
                    <w:t>1.75</w:t>
                  </w:r>
                  <w:r>
                    <w:rPr>
                      <w:szCs w:val="21"/>
                    </w:rPr>
                    <w:t>万，30天</w:t>
                  </w:r>
                </w:p>
              </w:tc>
              <w:tc>
                <w:tcPr>
                  <w:tcW w:w="802" w:type="pct"/>
                  <w:noWrap w:val="0"/>
                  <w:vAlign w:val="center"/>
                </w:tcPr>
                <w:p w14:paraId="125440D4">
                  <w:pPr>
                    <w:jc w:val="center"/>
                    <w:rPr>
                      <w:szCs w:val="21"/>
                    </w:rPr>
                  </w:pPr>
                  <w:r>
                    <w:rPr>
                      <w:szCs w:val="21"/>
                    </w:rPr>
                    <w:t>外购</w:t>
                  </w:r>
                </w:p>
              </w:tc>
              <w:tc>
                <w:tcPr>
                  <w:tcW w:w="917" w:type="pct"/>
                  <w:vMerge w:val="continue"/>
                  <w:noWrap w:val="0"/>
                  <w:vAlign w:val="center"/>
                </w:tcPr>
                <w:p w14:paraId="51903808">
                  <w:pPr>
                    <w:jc w:val="center"/>
                    <w:rPr>
                      <w:szCs w:val="21"/>
                      <w:highlight w:val="cyan"/>
                    </w:rPr>
                  </w:pPr>
                </w:p>
              </w:tc>
            </w:tr>
            <w:tr w14:paraId="343DC8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00" w:type="pct"/>
                  <w:vMerge w:val="continue"/>
                  <w:noWrap w:val="0"/>
                  <w:vAlign w:val="center"/>
                </w:tcPr>
                <w:p w14:paraId="1EAC7FC1">
                  <w:pPr>
                    <w:jc w:val="center"/>
                    <w:rPr>
                      <w:szCs w:val="21"/>
                    </w:rPr>
                  </w:pPr>
                </w:p>
              </w:tc>
              <w:tc>
                <w:tcPr>
                  <w:tcW w:w="950" w:type="pct"/>
                  <w:noWrap w:val="0"/>
                  <w:vAlign w:val="center"/>
                </w:tcPr>
                <w:p w14:paraId="31F6C12C">
                  <w:pPr>
                    <w:jc w:val="center"/>
                    <w:rPr>
                      <w:rFonts w:hint="eastAsia" w:eastAsia="宋体"/>
                      <w:szCs w:val="21"/>
                      <w:lang w:eastAsia="zh-CN"/>
                    </w:rPr>
                  </w:pPr>
                  <w:r>
                    <w:rPr>
                      <w:rFonts w:hint="eastAsia"/>
                      <w:szCs w:val="21"/>
                      <w:lang w:eastAsia="zh-CN"/>
                    </w:rPr>
                    <w:t>一次性口罩</w:t>
                  </w:r>
                </w:p>
              </w:tc>
              <w:tc>
                <w:tcPr>
                  <w:tcW w:w="378" w:type="pct"/>
                  <w:noWrap w:val="0"/>
                  <w:vAlign w:val="center"/>
                </w:tcPr>
                <w:p w14:paraId="40C51A5D">
                  <w:pPr>
                    <w:jc w:val="center"/>
                    <w:rPr>
                      <w:rFonts w:hint="eastAsia" w:eastAsia="宋体"/>
                      <w:szCs w:val="21"/>
                      <w:lang w:eastAsia="zh-CN"/>
                    </w:rPr>
                  </w:pPr>
                  <w:r>
                    <w:rPr>
                      <w:rFonts w:hint="eastAsia"/>
                      <w:szCs w:val="21"/>
                      <w:lang w:eastAsia="zh-CN"/>
                    </w:rPr>
                    <w:t>只</w:t>
                  </w:r>
                </w:p>
              </w:tc>
              <w:tc>
                <w:tcPr>
                  <w:tcW w:w="590" w:type="pct"/>
                  <w:noWrap w:val="0"/>
                  <w:vAlign w:val="center"/>
                </w:tcPr>
                <w:p w14:paraId="41C4B82B">
                  <w:pPr>
                    <w:jc w:val="center"/>
                    <w:rPr>
                      <w:rFonts w:hint="eastAsia" w:eastAsia="宋体"/>
                      <w:szCs w:val="21"/>
                      <w:lang w:val="en-US" w:eastAsia="zh-CN"/>
                    </w:rPr>
                  </w:pPr>
                  <w:r>
                    <w:rPr>
                      <w:rFonts w:hint="eastAsia"/>
                      <w:szCs w:val="21"/>
                      <w:lang w:val="en-US" w:eastAsia="zh-CN"/>
                    </w:rPr>
                    <w:t>1.2万</w:t>
                  </w:r>
                </w:p>
              </w:tc>
              <w:tc>
                <w:tcPr>
                  <w:tcW w:w="1060" w:type="pct"/>
                  <w:noWrap w:val="0"/>
                  <w:vAlign w:val="center"/>
                </w:tcPr>
                <w:p w14:paraId="1E499640">
                  <w:pPr>
                    <w:jc w:val="center"/>
                    <w:rPr>
                      <w:rFonts w:hint="default" w:eastAsia="宋体"/>
                      <w:szCs w:val="21"/>
                      <w:lang w:val="en-US" w:eastAsia="zh-CN"/>
                    </w:rPr>
                  </w:pPr>
                  <w:r>
                    <w:rPr>
                      <w:rFonts w:hint="eastAsia"/>
                      <w:szCs w:val="21"/>
                      <w:lang w:val="en-US" w:eastAsia="zh-CN"/>
                    </w:rPr>
                    <w:t>1000只，30天</w:t>
                  </w:r>
                </w:p>
              </w:tc>
              <w:tc>
                <w:tcPr>
                  <w:tcW w:w="802" w:type="pct"/>
                  <w:noWrap w:val="0"/>
                  <w:vAlign w:val="center"/>
                </w:tcPr>
                <w:p w14:paraId="778CD04D">
                  <w:pPr>
                    <w:jc w:val="center"/>
                    <w:rPr>
                      <w:rFonts w:hint="eastAsia" w:eastAsia="宋体"/>
                      <w:szCs w:val="21"/>
                      <w:lang w:eastAsia="zh-CN"/>
                    </w:rPr>
                  </w:pPr>
                  <w:r>
                    <w:rPr>
                      <w:rFonts w:hint="eastAsia"/>
                      <w:szCs w:val="21"/>
                      <w:lang w:eastAsia="zh-CN"/>
                    </w:rPr>
                    <w:t>外购</w:t>
                  </w:r>
                </w:p>
              </w:tc>
              <w:tc>
                <w:tcPr>
                  <w:tcW w:w="917" w:type="pct"/>
                  <w:vMerge w:val="continue"/>
                  <w:noWrap w:val="0"/>
                  <w:vAlign w:val="center"/>
                </w:tcPr>
                <w:p w14:paraId="56579252">
                  <w:pPr>
                    <w:jc w:val="center"/>
                    <w:rPr>
                      <w:szCs w:val="21"/>
                      <w:highlight w:val="cyan"/>
                    </w:rPr>
                  </w:pPr>
                </w:p>
              </w:tc>
            </w:tr>
            <w:tr w14:paraId="5D916D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00" w:type="pct"/>
                  <w:vMerge w:val="continue"/>
                  <w:noWrap w:val="0"/>
                  <w:vAlign w:val="center"/>
                </w:tcPr>
                <w:p w14:paraId="47769B8A">
                  <w:pPr>
                    <w:jc w:val="center"/>
                    <w:rPr>
                      <w:szCs w:val="21"/>
                    </w:rPr>
                  </w:pPr>
                </w:p>
              </w:tc>
              <w:tc>
                <w:tcPr>
                  <w:tcW w:w="950" w:type="pct"/>
                  <w:noWrap w:val="0"/>
                  <w:vAlign w:val="center"/>
                </w:tcPr>
                <w:p w14:paraId="452ABA16">
                  <w:pPr>
                    <w:jc w:val="center"/>
                    <w:rPr>
                      <w:rFonts w:hint="eastAsia" w:eastAsia="宋体"/>
                      <w:szCs w:val="21"/>
                      <w:lang w:eastAsia="zh-CN"/>
                    </w:rPr>
                  </w:pPr>
                  <w:r>
                    <w:rPr>
                      <w:rFonts w:hint="eastAsia"/>
                      <w:szCs w:val="21"/>
                      <w:lang w:eastAsia="zh-CN"/>
                    </w:rPr>
                    <w:t>棉球</w:t>
                  </w:r>
                </w:p>
              </w:tc>
              <w:tc>
                <w:tcPr>
                  <w:tcW w:w="378" w:type="pct"/>
                  <w:noWrap w:val="0"/>
                  <w:vAlign w:val="center"/>
                </w:tcPr>
                <w:p w14:paraId="2421D623">
                  <w:pPr>
                    <w:jc w:val="center"/>
                    <w:rPr>
                      <w:rFonts w:hint="eastAsia" w:eastAsia="宋体"/>
                      <w:szCs w:val="21"/>
                      <w:lang w:eastAsia="zh-CN"/>
                    </w:rPr>
                  </w:pPr>
                  <w:r>
                    <w:rPr>
                      <w:rFonts w:hint="eastAsia"/>
                      <w:szCs w:val="21"/>
                      <w:lang w:eastAsia="zh-CN"/>
                    </w:rPr>
                    <w:t>袋</w:t>
                  </w:r>
                </w:p>
              </w:tc>
              <w:tc>
                <w:tcPr>
                  <w:tcW w:w="590" w:type="pct"/>
                  <w:noWrap w:val="0"/>
                  <w:vAlign w:val="center"/>
                </w:tcPr>
                <w:p w14:paraId="35E3A044">
                  <w:pPr>
                    <w:jc w:val="center"/>
                    <w:rPr>
                      <w:rFonts w:hint="default" w:eastAsia="宋体"/>
                      <w:szCs w:val="21"/>
                      <w:lang w:val="en-US" w:eastAsia="zh-CN"/>
                    </w:rPr>
                  </w:pPr>
                  <w:r>
                    <w:rPr>
                      <w:rFonts w:hint="eastAsia"/>
                      <w:szCs w:val="21"/>
                      <w:lang w:val="en-US" w:eastAsia="zh-CN"/>
                    </w:rPr>
                    <w:t>120</w:t>
                  </w:r>
                </w:p>
              </w:tc>
              <w:tc>
                <w:tcPr>
                  <w:tcW w:w="1060" w:type="pct"/>
                  <w:noWrap w:val="0"/>
                  <w:vAlign w:val="center"/>
                </w:tcPr>
                <w:p w14:paraId="0367978A">
                  <w:pPr>
                    <w:jc w:val="center"/>
                    <w:rPr>
                      <w:rFonts w:hint="default" w:eastAsia="宋体"/>
                      <w:szCs w:val="21"/>
                      <w:lang w:val="en-US" w:eastAsia="zh-CN"/>
                    </w:rPr>
                  </w:pPr>
                  <w:r>
                    <w:rPr>
                      <w:rFonts w:hint="eastAsia"/>
                      <w:szCs w:val="21"/>
                      <w:lang w:val="en-US" w:eastAsia="zh-CN"/>
                    </w:rPr>
                    <w:t>1袋，30天</w:t>
                  </w:r>
                </w:p>
              </w:tc>
              <w:tc>
                <w:tcPr>
                  <w:tcW w:w="802" w:type="pct"/>
                  <w:noWrap w:val="0"/>
                  <w:vAlign w:val="center"/>
                </w:tcPr>
                <w:p w14:paraId="72FF55D3">
                  <w:pPr>
                    <w:jc w:val="center"/>
                    <w:rPr>
                      <w:rFonts w:hint="eastAsia" w:eastAsia="宋体"/>
                      <w:szCs w:val="21"/>
                      <w:lang w:eastAsia="zh-CN"/>
                    </w:rPr>
                  </w:pPr>
                  <w:r>
                    <w:rPr>
                      <w:rFonts w:hint="eastAsia"/>
                      <w:szCs w:val="21"/>
                      <w:lang w:eastAsia="zh-CN"/>
                    </w:rPr>
                    <w:t>外购</w:t>
                  </w:r>
                </w:p>
              </w:tc>
              <w:tc>
                <w:tcPr>
                  <w:tcW w:w="917" w:type="pct"/>
                  <w:vMerge w:val="continue"/>
                  <w:noWrap w:val="0"/>
                  <w:vAlign w:val="center"/>
                </w:tcPr>
                <w:p w14:paraId="57CE4585">
                  <w:pPr>
                    <w:jc w:val="center"/>
                    <w:rPr>
                      <w:szCs w:val="21"/>
                      <w:highlight w:val="cyan"/>
                    </w:rPr>
                  </w:pPr>
                </w:p>
              </w:tc>
            </w:tr>
            <w:tr w14:paraId="2F53A4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00" w:type="pct"/>
                  <w:vMerge w:val="continue"/>
                  <w:noWrap w:val="0"/>
                  <w:vAlign w:val="center"/>
                </w:tcPr>
                <w:p w14:paraId="2AEA463D">
                  <w:pPr>
                    <w:jc w:val="center"/>
                    <w:rPr>
                      <w:szCs w:val="21"/>
                    </w:rPr>
                  </w:pPr>
                </w:p>
              </w:tc>
              <w:tc>
                <w:tcPr>
                  <w:tcW w:w="950" w:type="pct"/>
                  <w:noWrap w:val="0"/>
                  <w:vAlign w:val="center"/>
                </w:tcPr>
                <w:p w14:paraId="5FC2D213">
                  <w:pPr>
                    <w:jc w:val="center"/>
                    <w:rPr>
                      <w:rFonts w:hint="eastAsia" w:eastAsia="宋体"/>
                      <w:szCs w:val="21"/>
                      <w:lang w:eastAsia="zh-CN"/>
                    </w:rPr>
                  </w:pPr>
                  <w:r>
                    <w:rPr>
                      <w:rFonts w:hint="eastAsia"/>
                      <w:szCs w:val="21"/>
                      <w:lang w:eastAsia="zh-CN"/>
                    </w:rPr>
                    <w:t>纱布</w:t>
                  </w:r>
                </w:p>
              </w:tc>
              <w:tc>
                <w:tcPr>
                  <w:tcW w:w="378" w:type="pct"/>
                  <w:noWrap w:val="0"/>
                  <w:vAlign w:val="center"/>
                </w:tcPr>
                <w:p w14:paraId="669BD406">
                  <w:pPr>
                    <w:jc w:val="center"/>
                    <w:rPr>
                      <w:rFonts w:hint="eastAsia" w:eastAsia="宋体"/>
                      <w:szCs w:val="21"/>
                      <w:lang w:eastAsia="zh-CN"/>
                    </w:rPr>
                  </w:pPr>
                  <w:r>
                    <w:rPr>
                      <w:rFonts w:hint="eastAsia"/>
                      <w:szCs w:val="21"/>
                      <w:lang w:eastAsia="zh-CN"/>
                    </w:rPr>
                    <w:t>包</w:t>
                  </w:r>
                </w:p>
              </w:tc>
              <w:tc>
                <w:tcPr>
                  <w:tcW w:w="590" w:type="pct"/>
                  <w:noWrap w:val="0"/>
                  <w:vAlign w:val="center"/>
                </w:tcPr>
                <w:p w14:paraId="02EF8C53">
                  <w:pPr>
                    <w:jc w:val="center"/>
                    <w:rPr>
                      <w:rFonts w:hint="default" w:eastAsia="宋体"/>
                      <w:szCs w:val="21"/>
                      <w:lang w:val="en-US" w:eastAsia="zh-CN"/>
                    </w:rPr>
                  </w:pPr>
                  <w:r>
                    <w:rPr>
                      <w:rFonts w:hint="eastAsia"/>
                      <w:szCs w:val="21"/>
                      <w:lang w:val="en-US" w:eastAsia="zh-CN"/>
                    </w:rPr>
                    <w:t>260</w:t>
                  </w:r>
                </w:p>
              </w:tc>
              <w:tc>
                <w:tcPr>
                  <w:tcW w:w="1060" w:type="pct"/>
                  <w:noWrap w:val="0"/>
                  <w:vAlign w:val="center"/>
                </w:tcPr>
                <w:p w14:paraId="1AD690D4">
                  <w:pPr>
                    <w:jc w:val="center"/>
                    <w:rPr>
                      <w:rFonts w:hint="default" w:eastAsia="宋体"/>
                      <w:szCs w:val="21"/>
                      <w:lang w:val="en-US" w:eastAsia="zh-CN"/>
                    </w:rPr>
                  </w:pPr>
                  <w:r>
                    <w:rPr>
                      <w:rFonts w:hint="eastAsia"/>
                      <w:szCs w:val="21"/>
                      <w:lang w:val="en-US" w:eastAsia="zh-CN"/>
                    </w:rPr>
                    <w:t>21包，30天</w:t>
                  </w:r>
                </w:p>
              </w:tc>
              <w:tc>
                <w:tcPr>
                  <w:tcW w:w="802" w:type="pct"/>
                  <w:noWrap w:val="0"/>
                  <w:vAlign w:val="center"/>
                </w:tcPr>
                <w:p w14:paraId="280425DF">
                  <w:pPr>
                    <w:jc w:val="center"/>
                    <w:rPr>
                      <w:rFonts w:hint="eastAsia" w:eastAsia="宋体"/>
                      <w:szCs w:val="21"/>
                      <w:lang w:eastAsia="zh-CN"/>
                    </w:rPr>
                  </w:pPr>
                  <w:r>
                    <w:rPr>
                      <w:rFonts w:hint="eastAsia"/>
                      <w:szCs w:val="21"/>
                      <w:lang w:eastAsia="zh-CN"/>
                    </w:rPr>
                    <w:t>外购</w:t>
                  </w:r>
                </w:p>
              </w:tc>
              <w:tc>
                <w:tcPr>
                  <w:tcW w:w="917" w:type="pct"/>
                  <w:vMerge w:val="continue"/>
                  <w:noWrap w:val="0"/>
                  <w:vAlign w:val="center"/>
                </w:tcPr>
                <w:p w14:paraId="11CE7C45">
                  <w:pPr>
                    <w:jc w:val="center"/>
                    <w:rPr>
                      <w:szCs w:val="21"/>
                      <w:highlight w:val="cyan"/>
                    </w:rPr>
                  </w:pPr>
                </w:p>
              </w:tc>
            </w:tr>
            <w:tr w14:paraId="5575AD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00" w:type="pct"/>
                  <w:vMerge w:val="restart"/>
                  <w:noWrap w:val="0"/>
                  <w:vAlign w:val="center"/>
                </w:tcPr>
                <w:p w14:paraId="26E0A4A5">
                  <w:pPr>
                    <w:jc w:val="center"/>
                    <w:rPr>
                      <w:rFonts w:hint="eastAsia" w:eastAsia="宋体"/>
                      <w:szCs w:val="21"/>
                      <w:lang w:val="en-US" w:eastAsia="zh-CN"/>
                    </w:rPr>
                  </w:pPr>
                  <w:r>
                    <w:rPr>
                      <w:rFonts w:hint="eastAsia"/>
                      <w:szCs w:val="21"/>
                      <w:lang w:val="en-US" w:eastAsia="zh-CN"/>
                    </w:rPr>
                    <w:t>药品</w:t>
                  </w:r>
                </w:p>
              </w:tc>
              <w:tc>
                <w:tcPr>
                  <w:tcW w:w="950" w:type="pct"/>
                  <w:noWrap w:val="0"/>
                  <w:vAlign w:val="center"/>
                </w:tcPr>
                <w:p w14:paraId="5E954E66">
                  <w:pPr>
                    <w:spacing w:line="240" w:lineRule="auto"/>
                    <w:jc w:val="center"/>
                    <w:rPr>
                      <w:rFonts w:hint="eastAsia"/>
                      <w:szCs w:val="21"/>
                      <w:lang w:eastAsia="zh-CN"/>
                    </w:rPr>
                  </w:pPr>
                  <w:r>
                    <w:rPr>
                      <w:rFonts w:hint="eastAsia" w:ascii="Times New Roman" w:hAnsi="Times New Roman" w:eastAsia="宋体" w:cs="Times New Roman"/>
                      <w:b w:val="0"/>
                      <w:bCs/>
                      <w:sz w:val="21"/>
                      <w:szCs w:val="21"/>
                      <w:lang w:val="en-US" w:eastAsia="zh-CN"/>
                    </w:rPr>
                    <w:t>针剂药品</w:t>
                  </w:r>
                </w:p>
              </w:tc>
              <w:tc>
                <w:tcPr>
                  <w:tcW w:w="378" w:type="pct"/>
                  <w:noWrap w:val="0"/>
                  <w:vAlign w:val="center"/>
                </w:tcPr>
                <w:p w14:paraId="33741104">
                  <w:pPr>
                    <w:jc w:val="center"/>
                    <w:rPr>
                      <w:rFonts w:hint="default"/>
                      <w:szCs w:val="21"/>
                      <w:lang w:val="en-US" w:eastAsia="zh-CN"/>
                    </w:rPr>
                  </w:pPr>
                  <w:r>
                    <w:rPr>
                      <w:rFonts w:hint="eastAsia"/>
                      <w:szCs w:val="21"/>
                      <w:lang w:val="en-US" w:eastAsia="zh-CN"/>
                    </w:rPr>
                    <w:t>支</w:t>
                  </w:r>
                </w:p>
              </w:tc>
              <w:tc>
                <w:tcPr>
                  <w:tcW w:w="590" w:type="pct"/>
                  <w:noWrap w:val="0"/>
                  <w:vAlign w:val="center"/>
                </w:tcPr>
                <w:p w14:paraId="5349319F">
                  <w:pPr>
                    <w:jc w:val="center"/>
                    <w:rPr>
                      <w:rFonts w:hint="default"/>
                      <w:szCs w:val="21"/>
                      <w:lang w:val="en-US" w:eastAsia="zh-CN"/>
                    </w:rPr>
                  </w:pPr>
                  <w:r>
                    <w:rPr>
                      <w:rFonts w:hint="eastAsia"/>
                      <w:szCs w:val="21"/>
                      <w:lang w:val="en-US" w:eastAsia="zh-CN"/>
                    </w:rPr>
                    <w:t>10万</w:t>
                  </w:r>
                </w:p>
              </w:tc>
              <w:tc>
                <w:tcPr>
                  <w:tcW w:w="1060" w:type="pct"/>
                  <w:noWrap w:val="0"/>
                  <w:vAlign w:val="center"/>
                </w:tcPr>
                <w:p w14:paraId="2AA1B93D">
                  <w:pPr>
                    <w:jc w:val="center"/>
                    <w:rPr>
                      <w:rFonts w:hint="default"/>
                      <w:szCs w:val="21"/>
                      <w:lang w:val="en-US" w:eastAsia="zh-CN"/>
                    </w:rPr>
                  </w:pPr>
                  <w:r>
                    <w:rPr>
                      <w:rFonts w:hint="eastAsia"/>
                      <w:szCs w:val="21"/>
                      <w:lang w:val="en-US" w:eastAsia="zh-CN"/>
                    </w:rPr>
                    <w:t>1300支，5天</w:t>
                  </w:r>
                </w:p>
              </w:tc>
              <w:tc>
                <w:tcPr>
                  <w:tcW w:w="802" w:type="pct"/>
                  <w:noWrap w:val="0"/>
                  <w:vAlign w:val="center"/>
                </w:tcPr>
                <w:p w14:paraId="1A5566C3">
                  <w:pPr>
                    <w:jc w:val="center"/>
                    <w:rPr>
                      <w:rFonts w:hint="eastAsia"/>
                      <w:szCs w:val="21"/>
                      <w:lang w:eastAsia="zh-CN"/>
                    </w:rPr>
                  </w:pPr>
                  <w:r>
                    <w:rPr>
                      <w:rFonts w:hint="eastAsia"/>
                      <w:szCs w:val="21"/>
                      <w:lang w:eastAsia="zh-CN"/>
                    </w:rPr>
                    <w:t>外购</w:t>
                  </w:r>
                </w:p>
              </w:tc>
              <w:tc>
                <w:tcPr>
                  <w:tcW w:w="917" w:type="pct"/>
                  <w:vMerge w:val="restart"/>
                  <w:noWrap w:val="0"/>
                  <w:vAlign w:val="center"/>
                </w:tcPr>
                <w:p w14:paraId="1615AC2E">
                  <w:pPr>
                    <w:jc w:val="center"/>
                    <w:rPr>
                      <w:rFonts w:hint="eastAsia" w:eastAsia="宋体"/>
                      <w:szCs w:val="21"/>
                      <w:highlight w:val="cyan"/>
                      <w:lang w:val="en-US" w:eastAsia="zh-CN"/>
                    </w:rPr>
                  </w:pPr>
                  <w:r>
                    <w:rPr>
                      <w:rFonts w:hint="eastAsia"/>
                      <w:color w:val="auto"/>
                      <w:szCs w:val="21"/>
                      <w:highlight w:val="none"/>
                      <w:lang w:val="en-US" w:eastAsia="zh-CN"/>
                    </w:rPr>
                    <w:t>药房</w:t>
                  </w:r>
                </w:p>
              </w:tc>
            </w:tr>
            <w:tr w14:paraId="78D1FE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00" w:type="pct"/>
                  <w:vMerge w:val="continue"/>
                  <w:noWrap w:val="0"/>
                  <w:vAlign w:val="center"/>
                </w:tcPr>
                <w:p w14:paraId="57CD58A3">
                  <w:pPr>
                    <w:jc w:val="center"/>
                    <w:rPr>
                      <w:szCs w:val="21"/>
                    </w:rPr>
                  </w:pPr>
                </w:p>
              </w:tc>
              <w:tc>
                <w:tcPr>
                  <w:tcW w:w="950" w:type="pct"/>
                  <w:noWrap w:val="0"/>
                  <w:vAlign w:val="center"/>
                </w:tcPr>
                <w:p w14:paraId="1B0B4DD7">
                  <w:pPr>
                    <w:spacing w:line="240" w:lineRule="auto"/>
                    <w:jc w:val="center"/>
                    <w:rPr>
                      <w:rFonts w:hint="eastAsia"/>
                      <w:szCs w:val="21"/>
                      <w:lang w:eastAsia="zh-CN"/>
                    </w:rPr>
                  </w:pPr>
                  <w:r>
                    <w:rPr>
                      <w:rFonts w:hint="eastAsia" w:ascii="Times New Roman" w:hAnsi="Times New Roman" w:eastAsia="宋体" w:cs="Times New Roman"/>
                      <w:b w:val="0"/>
                      <w:bCs/>
                      <w:sz w:val="21"/>
                      <w:szCs w:val="21"/>
                      <w:lang w:val="en-US" w:eastAsia="zh-CN"/>
                    </w:rPr>
                    <w:t>口服药剂</w:t>
                  </w:r>
                </w:p>
              </w:tc>
              <w:tc>
                <w:tcPr>
                  <w:tcW w:w="378" w:type="pct"/>
                  <w:noWrap w:val="0"/>
                  <w:vAlign w:val="center"/>
                </w:tcPr>
                <w:p w14:paraId="397B46CE">
                  <w:pPr>
                    <w:jc w:val="center"/>
                    <w:rPr>
                      <w:rFonts w:hint="default"/>
                      <w:szCs w:val="21"/>
                      <w:lang w:val="en-US" w:eastAsia="zh-CN"/>
                    </w:rPr>
                  </w:pPr>
                  <w:r>
                    <w:rPr>
                      <w:rFonts w:hint="eastAsia"/>
                      <w:szCs w:val="21"/>
                      <w:lang w:val="en-US" w:eastAsia="zh-CN"/>
                    </w:rPr>
                    <w:t>盒</w:t>
                  </w:r>
                </w:p>
              </w:tc>
              <w:tc>
                <w:tcPr>
                  <w:tcW w:w="590" w:type="pct"/>
                  <w:noWrap w:val="0"/>
                  <w:vAlign w:val="center"/>
                </w:tcPr>
                <w:p w14:paraId="15A8FB5F">
                  <w:pPr>
                    <w:jc w:val="center"/>
                    <w:rPr>
                      <w:rFonts w:hint="default"/>
                      <w:szCs w:val="21"/>
                      <w:lang w:val="en-US" w:eastAsia="zh-CN"/>
                    </w:rPr>
                  </w:pPr>
                  <w:r>
                    <w:rPr>
                      <w:rFonts w:hint="eastAsia"/>
                      <w:szCs w:val="21"/>
                      <w:lang w:val="en-US" w:eastAsia="zh-CN"/>
                    </w:rPr>
                    <w:t>2.6万</w:t>
                  </w:r>
                </w:p>
              </w:tc>
              <w:tc>
                <w:tcPr>
                  <w:tcW w:w="1060" w:type="pct"/>
                  <w:noWrap w:val="0"/>
                  <w:vAlign w:val="center"/>
                </w:tcPr>
                <w:p w14:paraId="72FA2E4A">
                  <w:pPr>
                    <w:jc w:val="center"/>
                    <w:rPr>
                      <w:rFonts w:hint="default"/>
                      <w:szCs w:val="21"/>
                      <w:lang w:val="en-US" w:eastAsia="zh-CN"/>
                    </w:rPr>
                  </w:pPr>
                  <w:r>
                    <w:rPr>
                      <w:rFonts w:hint="eastAsia"/>
                      <w:szCs w:val="21"/>
                      <w:lang w:val="en-US" w:eastAsia="zh-CN"/>
                    </w:rPr>
                    <w:t>400盒，5天</w:t>
                  </w:r>
                </w:p>
              </w:tc>
              <w:tc>
                <w:tcPr>
                  <w:tcW w:w="802" w:type="pct"/>
                  <w:noWrap w:val="0"/>
                  <w:vAlign w:val="center"/>
                </w:tcPr>
                <w:p w14:paraId="460149EF">
                  <w:pPr>
                    <w:jc w:val="center"/>
                    <w:rPr>
                      <w:rFonts w:hint="eastAsia"/>
                      <w:szCs w:val="21"/>
                      <w:lang w:eastAsia="zh-CN"/>
                    </w:rPr>
                  </w:pPr>
                  <w:r>
                    <w:rPr>
                      <w:rFonts w:hint="eastAsia"/>
                      <w:szCs w:val="21"/>
                      <w:lang w:eastAsia="zh-CN"/>
                    </w:rPr>
                    <w:t>外购</w:t>
                  </w:r>
                </w:p>
              </w:tc>
              <w:tc>
                <w:tcPr>
                  <w:tcW w:w="917" w:type="pct"/>
                  <w:vMerge w:val="continue"/>
                  <w:noWrap w:val="0"/>
                  <w:vAlign w:val="center"/>
                </w:tcPr>
                <w:p w14:paraId="5CADB544">
                  <w:pPr>
                    <w:jc w:val="center"/>
                    <w:rPr>
                      <w:szCs w:val="21"/>
                      <w:highlight w:val="cyan"/>
                    </w:rPr>
                  </w:pPr>
                </w:p>
              </w:tc>
            </w:tr>
            <w:tr w14:paraId="0D59EA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00" w:type="pct"/>
                  <w:vMerge w:val="continue"/>
                  <w:noWrap w:val="0"/>
                  <w:vAlign w:val="center"/>
                </w:tcPr>
                <w:p w14:paraId="5BB85E29">
                  <w:pPr>
                    <w:jc w:val="center"/>
                    <w:rPr>
                      <w:szCs w:val="21"/>
                    </w:rPr>
                  </w:pPr>
                </w:p>
              </w:tc>
              <w:tc>
                <w:tcPr>
                  <w:tcW w:w="950" w:type="pct"/>
                  <w:noWrap w:val="0"/>
                  <w:vAlign w:val="center"/>
                </w:tcPr>
                <w:p w14:paraId="5C4E9C07">
                  <w:pPr>
                    <w:spacing w:line="240" w:lineRule="auto"/>
                    <w:jc w:val="center"/>
                    <w:rPr>
                      <w:rFonts w:hint="eastAsia" w:ascii="Times New Roman" w:hAnsi="Times New Roman" w:eastAsia="宋体" w:cs="Times New Roman"/>
                      <w:b w:val="0"/>
                      <w:bCs/>
                      <w:sz w:val="21"/>
                      <w:szCs w:val="21"/>
                      <w:lang w:val="en-US" w:eastAsia="zh-CN"/>
                    </w:rPr>
                  </w:pPr>
                  <w:r>
                    <w:rPr>
                      <w:szCs w:val="21"/>
                    </w:rPr>
                    <w:t>生理盐水（500mL）</w:t>
                  </w:r>
                </w:p>
              </w:tc>
              <w:tc>
                <w:tcPr>
                  <w:tcW w:w="378" w:type="pct"/>
                  <w:noWrap w:val="0"/>
                  <w:vAlign w:val="center"/>
                </w:tcPr>
                <w:p w14:paraId="55B03788">
                  <w:pPr>
                    <w:jc w:val="center"/>
                    <w:rPr>
                      <w:rFonts w:hint="eastAsia"/>
                      <w:szCs w:val="21"/>
                      <w:lang w:val="en-US" w:eastAsia="zh-CN"/>
                    </w:rPr>
                  </w:pPr>
                  <w:r>
                    <w:rPr>
                      <w:szCs w:val="21"/>
                    </w:rPr>
                    <w:t>瓶</w:t>
                  </w:r>
                </w:p>
              </w:tc>
              <w:tc>
                <w:tcPr>
                  <w:tcW w:w="590" w:type="pct"/>
                  <w:noWrap w:val="0"/>
                  <w:vAlign w:val="center"/>
                </w:tcPr>
                <w:p w14:paraId="7636966D">
                  <w:pPr>
                    <w:jc w:val="center"/>
                    <w:rPr>
                      <w:rFonts w:hint="eastAsia"/>
                      <w:szCs w:val="21"/>
                      <w:lang w:val="en-US" w:eastAsia="zh-CN"/>
                    </w:rPr>
                  </w:pPr>
                  <w:r>
                    <w:rPr>
                      <w:rFonts w:hint="eastAsia"/>
                      <w:szCs w:val="21"/>
                      <w:lang w:val="en-US" w:eastAsia="zh-CN"/>
                    </w:rPr>
                    <w:t>810</w:t>
                  </w:r>
                </w:p>
              </w:tc>
              <w:tc>
                <w:tcPr>
                  <w:tcW w:w="1060" w:type="pct"/>
                  <w:noWrap w:val="0"/>
                  <w:vAlign w:val="center"/>
                </w:tcPr>
                <w:p w14:paraId="591DED96">
                  <w:pPr>
                    <w:jc w:val="center"/>
                    <w:rPr>
                      <w:rFonts w:hint="eastAsia"/>
                      <w:szCs w:val="21"/>
                      <w:highlight w:val="none"/>
                      <w:lang w:val="en-US" w:eastAsia="zh-CN"/>
                    </w:rPr>
                  </w:pPr>
                  <w:r>
                    <w:rPr>
                      <w:rFonts w:hint="eastAsia"/>
                      <w:szCs w:val="21"/>
                      <w:highlight w:val="none"/>
                      <w:lang w:val="en-US" w:eastAsia="zh-CN"/>
                    </w:rPr>
                    <w:t>40瓶</w:t>
                  </w:r>
                  <w:r>
                    <w:rPr>
                      <w:szCs w:val="21"/>
                      <w:highlight w:val="none"/>
                    </w:rPr>
                    <w:t>，15天</w:t>
                  </w:r>
                </w:p>
              </w:tc>
              <w:tc>
                <w:tcPr>
                  <w:tcW w:w="802" w:type="pct"/>
                  <w:noWrap w:val="0"/>
                  <w:vAlign w:val="center"/>
                </w:tcPr>
                <w:p w14:paraId="4B53783C">
                  <w:pPr>
                    <w:jc w:val="center"/>
                    <w:rPr>
                      <w:rFonts w:hint="eastAsia"/>
                      <w:szCs w:val="21"/>
                      <w:highlight w:val="none"/>
                      <w:lang w:eastAsia="zh-CN"/>
                    </w:rPr>
                  </w:pPr>
                  <w:r>
                    <w:rPr>
                      <w:rFonts w:hint="eastAsia"/>
                      <w:szCs w:val="21"/>
                      <w:highlight w:val="none"/>
                      <w:lang w:eastAsia="zh-CN"/>
                    </w:rPr>
                    <w:t>外购</w:t>
                  </w:r>
                </w:p>
              </w:tc>
              <w:tc>
                <w:tcPr>
                  <w:tcW w:w="917" w:type="pct"/>
                  <w:vMerge w:val="continue"/>
                  <w:noWrap w:val="0"/>
                  <w:vAlign w:val="center"/>
                </w:tcPr>
                <w:p w14:paraId="6CB14878">
                  <w:pPr>
                    <w:jc w:val="center"/>
                    <w:rPr>
                      <w:szCs w:val="21"/>
                      <w:highlight w:val="none"/>
                    </w:rPr>
                  </w:pPr>
                </w:p>
              </w:tc>
            </w:tr>
            <w:tr w14:paraId="2ED4F9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00" w:type="pct"/>
                  <w:vMerge w:val="restart"/>
                  <w:noWrap w:val="0"/>
                  <w:vAlign w:val="center"/>
                </w:tcPr>
                <w:p w14:paraId="4CBA5354">
                  <w:pPr>
                    <w:widowControl/>
                    <w:jc w:val="center"/>
                    <w:rPr>
                      <w:szCs w:val="21"/>
                      <w:highlight w:val="cyan"/>
                    </w:rPr>
                  </w:pPr>
                  <w:r>
                    <w:rPr>
                      <w:color w:val="000000"/>
                      <w:kern w:val="0"/>
                      <w:szCs w:val="21"/>
                    </w:rPr>
                    <w:t>消毒剂</w:t>
                  </w:r>
                </w:p>
              </w:tc>
              <w:tc>
                <w:tcPr>
                  <w:tcW w:w="950" w:type="pct"/>
                  <w:noWrap w:val="0"/>
                  <w:vAlign w:val="center"/>
                </w:tcPr>
                <w:p w14:paraId="408210C8">
                  <w:pPr>
                    <w:jc w:val="center"/>
                    <w:rPr>
                      <w:szCs w:val="21"/>
                    </w:rPr>
                  </w:pPr>
                  <w:r>
                    <w:rPr>
                      <w:szCs w:val="21"/>
                    </w:rPr>
                    <w:t>75%酒精（500mL）</w:t>
                  </w:r>
                </w:p>
              </w:tc>
              <w:tc>
                <w:tcPr>
                  <w:tcW w:w="378" w:type="pct"/>
                  <w:noWrap w:val="0"/>
                  <w:vAlign w:val="center"/>
                </w:tcPr>
                <w:p w14:paraId="07FFBF68">
                  <w:pPr>
                    <w:jc w:val="center"/>
                    <w:rPr>
                      <w:szCs w:val="21"/>
                    </w:rPr>
                  </w:pPr>
                  <w:r>
                    <w:rPr>
                      <w:szCs w:val="21"/>
                    </w:rPr>
                    <w:t>瓶</w:t>
                  </w:r>
                </w:p>
              </w:tc>
              <w:tc>
                <w:tcPr>
                  <w:tcW w:w="590" w:type="pct"/>
                  <w:noWrap w:val="0"/>
                  <w:vAlign w:val="center"/>
                </w:tcPr>
                <w:p w14:paraId="6BBA851E">
                  <w:pPr>
                    <w:jc w:val="center"/>
                    <w:rPr>
                      <w:rFonts w:hint="default" w:eastAsia="宋体"/>
                      <w:szCs w:val="21"/>
                      <w:lang w:val="en-US" w:eastAsia="zh-CN"/>
                    </w:rPr>
                  </w:pPr>
                  <w:r>
                    <w:rPr>
                      <w:rFonts w:hint="eastAsia"/>
                      <w:szCs w:val="21"/>
                      <w:lang w:val="en-US" w:eastAsia="zh-CN"/>
                    </w:rPr>
                    <w:t>480</w:t>
                  </w:r>
                </w:p>
              </w:tc>
              <w:tc>
                <w:tcPr>
                  <w:tcW w:w="1060" w:type="pct"/>
                  <w:noWrap w:val="0"/>
                  <w:vAlign w:val="center"/>
                </w:tcPr>
                <w:p w14:paraId="03B62DE7">
                  <w:pPr>
                    <w:jc w:val="center"/>
                    <w:rPr>
                      <w:szCs w:val="21"/>
                      <w:highlight w:val="none"/>
                    </w:rPr>
                  </w:pPr>
                  <w:r>
                    <w:rPr>
                      <w:rFonts w:hint="eastAsia"/>
                      <w:szCs w:val="21"/>
                      <w:highlight w:val="none"/>
                      <w:lang w:val="en-US" w:eastAsia="zh-CN"/>
                    </w:rPr>
                    <w:t>4</w:t>
                  </w:r>
                  <w:r>
                    <w:rPr>
                      <w:szCs w:val="21"/>
                      <w:highlight w:val="none"/>
                    </w:rPr>
                    <w:t>0瓶，30天</w:t>
                  </w:r>
                </w:p>
              </w:tc>
              <w:tc>
                <w:tcPr>
                  <w:tcW w:w="802" w:type="pct"/>
                  <w:noWrap w:val="0"/>
                  <w:vAlign w:val="center"/>
                </w:tcPr>
                <w:p w14:paraId="3E48AAD7">
                  <w:pPr>
                    <w:jc w:val="center"/>
                    <w:rPr>
                      <w:szCs w:val="21"/>
                      <w:highlight w:val="none"/>
                    </w:rPr>
                  </w:pPr>
                  <w:r>
                    <w:rPr>
                      <w:szCs w:val="21"/>
                      <w:highlight w:val="none"/>
                    </w:rPr>
                    <w:t>外购</w:t>
                  </w:r>
                </w:p>
              </w:tc>
              <w:tc>
                <w:tcPr>
                  <w:tcW w:w="917" w:type="pct"/>
                  <w:vMerge w:val="continue"/>
                  <w:noWrap w:val="0"/>
                  <w:vAlign w:val="center"/>
                </w:tcPr>
                <w:p w14:paraId="6635D5B1">
                  <w:pPr>
                    <w:jc w:val="center"/>
                    <w:rPr>
                      <w:szCs w:val="21"/>
                      <w:highlight w:val="none"/>
                    </w:rPr>
                  </w:pPr>
                </w:p>
              </w:tc>
            </w:tr>
            <w:tr w14:paraId="714293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00" w:type="pct"/>
                  <w:vMerge w:val="continue"/>
                  <w:noWrap w:val="0"/>
                  <w:vAlign w:val="center"/>
                </w:tcPr>
                <w:p w14:paraId="42BF2FB4">
                  <w:pPr>
                    <w:jc w:val="center"/>
                    <w:rPr>
                      <w:szCs w:val="21"/>
                      <w:highlight w:val="cyan"/>
                    </w:rPr>
                  </w:pPr>
                </w:p>
              </w:tc>
              <w:tc>
                <w:tcPr>
                  <w:tcW w:w="950" w:type="pct"/>
                  <w:noWrap w:val="0"/>
                  <w:vAlign w:val="center"/>
                </w:tcPr>
                <w:p w14:paraId="4FCA44FE">
                  <w:pPr>
                    <w:jc w:val="center"/>
                    <w:rPr>
                      <w:szCs w:val="21"/>
                    </w:rPr>
                  </w:pPr>
                  <w:r>
                    <w:rPr>
                      <w:szCs w:val="21"/>
                    </w:rPr>
                    <w:t>95%酒精（500mL）</w:t>
                  </w:r>
                </w:p>
              </w:tc>
              <w:tc>
                <w:tcPr>
                  <w:tcW w:w="378" w:type="pct"/>
                  <w:noWrap w:val="0"/>
                  <w:vAlign w:val="center"/>
                </w:tcPr>
                <w:p w14:paraId="03D3F28C">
                  <w:pPr>
                    <w:jc w:val="center"/>
                    <w:rPr>
                      <w:szCs w:val="21"/>
                    </w:rPr>
                  </w:pPr>
                  <w:r>
                    <w:rPr>
                      <w:szCs w:val="21"/>
                    </w:rPr>
                    <w:t>瓶</w:t>
                  </w:r>
                </w:p>
              </w:tc>
              <w:tc>
                <w:tcPr>
                  <w:tcW w:w="590" w:type="pct"/>
                  <w:noWrap w:val="0"/>
                  <w:vAlign w:val="center"/>
                </w:tcPr>
                <w:p w14:paraId="2C6F8180">
                  <w:pPr>
                    <w:jc w:val="center"/>
                    <w:rPr>
                      <w:rFonts w:hint="default" w:eastAsia="宋体"/>
                      <w:szCs w:val="21"/>
                      <w:lang w:val="en-US" w:eastAsia="zh-CN"/>
                    </w:rPr>
                  </w:pPr>
                  <w:r>
                    <w:rPr>
                      <w:rFonts w:hint="eastAsia"/>
                      <w:szCs w:val="21"/>
                      <w:lang w:val="en-US" w:eastAsia="zh-CN"/>
                    </w:rPr>
                    <w:t>60</w:t>
                  </w:r>
                </w:p>
              </w:tc>
              <w:tc>
                <w:tcPr>
                  <w:tcW w:w="1060" w:type="pct"/>
                  <w:noWrap w:val="0"/>
                  <w:vAlign w:val="center"/>
                </w:tcPr>
                <w:p w14:paraId="494115CA">
                  <w:pPr>
                    <w:jc w:val="center"/>
                    <w:rPr>
                      <w:szCs w:val="21"/>
                      <w:highlight w:val="none"/>
                    </w:rPr>
                  </w:pPr>
                  <w:r>
                    <w:rPr>
                      <w:szCs w:val="21"/>
                      <w:highlight w:val="none"/>
                    </w:rPr>
                    <w:t>5瓶，30天</w:t>
                  </w:r>
                </w:p>
              </w:tc>
              <w:tc>
                <w:tcPr>
                  <w:tcW w:w="802" w:type="pct"/>
                  <w:noWrap w:val="0"/>
                  <w:vAlign w:val="center"/>
                </w:tcPr>
                <w:p w14:paraId="701EE4F3">
                  <w:pPr>
                    <w:jc w:val="center"/>
                    <w:rPr>
                      <w:szCs w:val="21"/>
                      <w:highlight w:val="none"/>
                    </w:rPr>
                  </w:pPr>
                  <w:r>
                    <w:rPr>
                      <w:szCs w:val="21"/>
                      <w:highlight w:val="none"/>
                    </w:rPr>
                    <w:t>外购</w:t>
                  </w:r>
                </w:p>
              </w:tc>
              <w:tc>
                <w:tcPr>
                  <w:tcW w:w="917" w:type="pct"/>
                  <w:vMerge w:val="continue"/>
                  <w:noWrap w:val="0"/>
                  <w:vAlign w:val="center"/>
                </w:tcPr>
                <w:p w14:paraId="171283C3">
                  <w:pPr>
                    <w:jc w:val="center"/>
                    <w:rPr>
                      <w:szCs w:val="21"/>
                      <w:highlight w:val="none"/>
                    </w:rPr>
                  </w:pPr>
                </w:p>
              </w:tc>
            </w:tr>
            <w:tr w14:paraId="72B456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00" w:type="pct"/>
                  <w:vMerge w:val="continue"/>
                  <w:noWrap w:val="0"/>
                  <w:vAlign w:val="center"/>
                </w:tcPr>
                <w:p w14:paraId="5A88D03A">
                  <w:pPr>
                    <w:jc w:val="center"/>
                    <w:rPr>
                      <w:szCs w:val="21"/>
                      <w:highlight w:val="cyan"/>
                    </w:rPr>
                  </w:pPr>
                </w:p>
              </w:tc>
              <w:tc>
                <w:tcPr>
                  <w:tcW w:w="950" w:type="pct"/>
                  <w:noWrap w:val="0"/>
                  <w:vAlign w:val="center"/>
                </w:tcPr>
                <w:p w14:paraId="79810B8B">
                  <w:pPr>
                    <w:jc w:val="center"/>
                    <w:rPr>
                      <w:szCs w:val="21"/>
                    </w:rPr>
                  </w:pPr>
                  <w:r>
                    <w:rPr>
                      <w:szCs w:val="21"/>
                    </w:rPr>
                    <w:t>0.5%碘伏消毒液（500mL）</w:t>
                  </w:r>
                </w:p>
              </w:tc>
              <w:tc>
                <w:tcPr>
                  <w:tcW w:w="378" w:type="pct"/>
                  <w:noWrap w:val="0"/>
                  <w:vAlign w:val="center"/>
                </w:tcPr>
                <w:p w14:paraId="658F3287">
                  <w:pPr>
                    <w:jc w:val="center"/>
                    <w:rPr>
                      <w:szCs w:val="21"/>
                    </w:rPr>
                  </w:pPr>
                  <w:r>
                    <w:rPr>
                      <w:szCs w:val="21"/>
                    </w:rPr>
                    <w:t>瓶</w:t>
                  </w:r>
                </w:p>
              </w:tc>
              <w:tc>
                <w:tcPr>
                  <w:tcW w:w="590" w:type="pct"/>
                  <w:noWrap w:val="0"/>
                  <w:vAlign w:val="center"/>
                </w:tcPr>
                <w:p w14:paraId="31F4D5E5">
                  <w:pPr>
                    <w:jc w:val="center"/>
                    <w:rPr>
                      <w:rFonts w:hint="default" w:eastAsia="宋体"/>
                      <w:szCs w:val="21"/>
                      <w:lang w:val="en-US" w:eastAsia="zh-CN"/>
                    </w:rPr>
                  </w:pPr>
                  <w:r>
                    <w:rPr>
                      <w:rFonts w:hint="eastAsia"/>
                      <w:szCs w:val="21"/>
                      <w:lang w:val="en-US" w:eastAsia="zh-CN"/>
                    </w:rPr>
                    <w:t>60</w:t>
                  </w:r>
                </w:p>
              </w:tc>
              <w:tc>
                <w:tcPr>
                  <w:tcW w:w="1060" w:type="pct"/>
                  <w:noWrap w:val="0"/>
                  <w:vAlign w:val="center"/>
                </w:tcPr>
                <w:p w14:paraId="7DB7CC9A">
                  <w:pPr>
                    <w:jc w:val="center"/>
                    <w:rPr>
                      <w:szCs w:val="21"/>
                      <w:highlight w:val="none"/>
                    </w:rPr>
                  </w:pPr>
                  <w:r>
                    <w:rPr>
                      <w:rFonts w:hint="eastAsia"/>
                      <w:szCs w:val="21"/>
                      <w:highlight w:val="none"/>
                      <w:lang w:val="en-US" w:eastAsia="zh-CN"/>
                    </w:rPr>
                    <w:t>5</w:t>
                  </w:r>
                  <w:r>
                    <w:rPr>
                      <w:szCs w:val="21"/>
                      <w:highlight w:val="none"/>
                    </w:rPr>
                    <w:t>瓶，30天</w:t>
                  </w:r>
                </w:p>
              </w:tc>
              <w:tc>
                <w:tcPr>
                  <w:tcW w:w="802" w:type="pct"/>
                  <w:noWrap w:val="0"/>
                  <w:vAlign w:val="center"/>
                </w:tcPr>
                <w:p w14:paraId="2384615C">
                  <w:pPr>
                    <w:jc w:val="center"/>
                    <w:rPr>
                      <w:szCs w:val="21"/>
                      <w:highlight w:val="none"/>
                    </w:rPr>
                  </w:pPr>
                  <w:r>
                    <w:rPr>
                      <w:szCs w:val="21"/>
                      <w:highlight w:val="none"/>
                    </w:rPr>
                    <w:t>外购</w:t>
                  </w:r>
                </w:p>
              </w:tc>
              <w:tc>
                <w:tcPr>
                  <w:tcW w:w="917" w:type="pct"/>
                  <w:vMerge w:val="continue"/>
                  <w:noWrap w:val="0"/>
                  <w:vAlign w:val="center"/>
                </w:tcPr>
                <w:p w14:paraId="1FB7D422">
                  <w:pPr>
                    <w:jc w:val="center"/>
                    <w:rPr>
                      <w:szCs w:val="21"/>
                      <w:highlight w:val="none"/>
                    </w:rPr>
                  </w:pPr>
                </w:p>
              </w:tc>
            </w:tr>
            <w:tr w14:paraId="3CCA40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00" w:type="pct"/>
                  <w:vMerge w:val="continue"/>
                  <w:noWrap w:val="0"/>
                  <w:vAlign w:val="center"/>
                </w:tcPr>
                <w:p w14:paraId="0C0DBEDD">
                  <w:pPr>
                    <w:jc w:val="center"/>
                    <w:rPr>
                      <w:szCs w:val="21"/>
                      <w:highlight w:val="cyan"/>
                    </w:rPr>
                  </w:pPr>
                </w:p>
              </w:tc>
              <w:tc>
                <w:tcPr>
                  <w:tcW w:w="950" w:type="pct"/>
                  <w:noWrap w:val="0"/>
                  <w:vAlign w:val="center"/>
                </w:tcPr>
                <w:p w14:paraId="644CAA8D">
                  <w:pPr>
                    <w:jc w:val="center"/>
                    <w:rPr>
                      <w:szCs w:val="21"/>
                    </w:rPr>
                  </w:pPr>
                  <w:r>
                    <w:rPr>
                      <w:szCs w:val="21"/>
                    </w:rPr>
                    <w:t>戊二醛消毒液（500mL）</w:t>
                  </w:r>
                </w:p>
              </w:tc>
              <w:tc>
                <w:tcPr>
                  <w:tcW w:w="378" w:type="pct"/>
                  <w:noWrap w:val="0"/>
                  <w:vAlign w:val="center"/>
                </w:tcPr>
                <w:p w14:paraId="24525134">
                  <w:pPr>
                    <w:jc w:val="center"/>
                    <w:rPr>
                      <w:szCs w:val="21"/>
                    </w:rPr>
                  </w:pPr>
                  <w:r>
                    <w:rPr>
                      <w:szCs w:val="21"/>
                    </w:rPr>
                    <w:t>瓶</w:t>
                  </w:r>
                </w:p>
              </w:tc>
              <w:tc>
                <w:tcPr>
                  <w:tcW w:w="590" w:type="pct"/>
                  <w:noWrap w:val="0"/>
                  <w:vAlign w:val="center"/>
                </w:tcPr>
                <w:p w14:paraId="36C5966A">
                  <w:pPr>
                    <w:jc w:val="center"/>
                    <w:rPr>
                      <w:rFonts w:hint="eastAsia"/>
                      <w:szCs w:val="21"/>
                      <w:lang w:val="en-US" w:eastAsia="zh-CN"/>
                    </w:rPr>
                  </w:pPr>
                  <w:r>
                    <w:rPr>
                      <w:szCs w:val="21"/>
                    </w:rPr>
                    <w:t>120</w:t>
                  </w:r>
                </w:p>
              </w:tc>
              <w:tc>
                <w:tcPr>
                  <w:tcW w:w="1060" w:type="pct"/>
                  <w:noWrap w:val="0"/>
                  <w:vAlign w:val="center"/>
                </w:tcPr>
                <w:p w14:paraId="298F9059">
                  <w:pPr>
                    <w:jc w:val="center"/>
                    <w:rPr>
                      <w:rFonts w:hint="eastAsia"/>
                      <w:szCs w:val="21"/>
                      <w:highlight w:val="none"/>
                      <w:lang w:val="en-US" w:eastAsia="zh-CN"/>
                    </w:rPr>
                  </w:pPr>
                  <w:r>
                    <w:rPr>
                      <w:szCs w:val="21"/>
                      <w:highlight w:val="none"/>
                    </w:rPr>
                    <w:t>10瓶，30天</w:t>
                  </w:r>
                </w:p>
              </w:tc>
              <w:tc>
                <w:tcPr>
                  <w:tcW w:w="802" w:type="pct"/>
                  <w:noWrap w:val="0"/>
                  <w:vAlign w:val="center"/>
                </w:tcPr>
                <w:p w14:paraId="6B4B607A">
                  <w:pPr>
                    <w:jc w:val="center"/>
                    <w:rPr>
                      <w:szCs w:val="21"/>
                      <w:highlight w:val="none"/>
                    </w:rPr>
                  </w:pPr>
                  <w:r>
                    <w:rPr>
                      <w:szCs w:val="21"/>
                      <w:highlight w:val="none"/>
                    </w:rPr>
                    <w:t>外购</w:t>
                  </w:r>
                </w:p>
              </w:tc>
              <w:tc>
                <w:tcPr>
                  <w:tcW w:w="917" w:type="pct"/>
                  <w:vMerge w:val="continue"/>
                  <w:noWrap w:val="0"/>
                  <w:vAlign w:val="center"/>
                </w:tcPr>
                <w:p w14:paraId="7ED4BC2B">
                  <w:pPr>
                    <w:jc w:val="center"/>
                    <w:rPr>
                      <w:szCs w:val="21"/>
                      <w:highlight w:val="none"/>
                    </w:rPr>
                  </w:pPr>
                </w:p>
              </w:tc>
            </w:tr>
            <w:tr w14:paraId="1E98F8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00" w:type="pct"/>
                  <w:vMerge w:val="continue"/>
                  <w:noWrap w:val="0"/>
                  <w:vAlign w:val="center"/>
                </w:tcPr>
                <w:p w14:paraId="2E210308">
                  <w:pPr>
                    <w:jc w:val="center"/>
                    <w:rPr>
                      <w:szCs w:val="21"/>
                      <w:highlight w:val="cyan"/>
                    </w:rPr>
                  </w:pPr>
                </w:p>
              </w:tc>
              <w:tc>
                <w:tcPr>
                  <w:tcW w:w="950" w:type="pct"/>
                  <w:noWrap w:val="0"/>
                  <w:vAlign w:val="center"/>
                </w:tcPr>
                <w:p w14:paraId="3DF10E33">
                  <w:pPr>
                    <w:jc w:val="center"/>
                    <w:rPr>
                      <w:szCs w:val="21"/>
                    </w:rPr>
                  </w:pPr>
                  <w:r>
                    <w:rPr>
                      <w:szCs w:val="21"/>
                    </w:rPr>
                    <w:t>3.0%过氧化氢溶液（500mL）</w:t>
                  </w:r>
                </w:p>
              </w:tc>
              <w:tc>
                <w:tcPr>
                  <w:tcW w:w="378" w:type="pct"/>
                  <w:noWrap w:val="0"/>
                  <w:vAlign w:val="center"/>
                </w:tcPr>
                <w:p w14:paraId="66EC3B47">
                  <w:pPr>
                    <w:jc w:val="center"/>
                    <w:rPr>
                      <w:szCs w:val="21"/>
                    </w:rPr>
                  </w:pPr>
                  <w:r>
                    <w:rPr>
                      <w:szCs w:val="21"/>
                    </w:rPr>
                    <w:t>瓶</w:t>
                  </w:r>
                </w:p>
              </w:tc>
              <w:tc>
                <w:tcPr>
                  <w:tcW w:w="590" w:type="pct"/>
                  <w:noWrap w:val="0"/>
                  <w:vAlign w:val="center"/>
                </w:tcPr>
                <w:p w14:paraId="77CC6640">
                  <w:pPr>
                    <w:jc w:val="center"/>
                    <w:rPr>
                      <w:rFonts w:hint="eastAsia"/>
                      <w:szCs w:val="21"/>
                      <w:lang w:val="en-US" w:eastAsia="zh-CN"/>
                    </w:rPr>
                  </w:pPr>
                  <w:r>
                    <w:rPr>
                      <w:szCs w:val="21"/>
                    </w:rPr>
                    <w:t>120</w:t>
                  </w:r>
                </w:p>
              </w:tc>
              <w:tc>
                <w:tcPr>
                  <w:tcW w:w="1060" w:type="pct"/>
                  <w:noWrap w:val="0"/>
                  <w:vAlign w:val="center"/>
                </w:tcPr>
                <w:p w14:paraId="3B483EBF">
                  <w:pPr>
                    <w:jc w:val="center"/>
                    <w:rPr>
                      <w:rFonts w:hint="eastAsia"/>
                      <w:szCs w:val="21"/>
                      <w:highlight w:val="none"/>
                      <w:lang w:val="en-US" w:eastAsia="zh-CN"/>
                    </w:rPr>
                  </w:pPr>
                  <w:r>
                    <w:rPr>
                      <w:szCs w:val="21"/>
                      <w:highlight w:val="none"/>
                    </w:rPr>
                    <w:t>10瓶，30天</w:t>
                  </w:r>
                </w:p>
              </w:tc>
              <w:tc>
                <w:tcPr>
                  <w:tcW w:w="802" w:type="pct"/>
                  <w:noWrap w:val="0"/>
                  <w:vAlign w:val="center"/>
                </w:tcPr>
                <w:p w14:paraId="77E06EE5">
                  <w:pPr>
                    <w:jc w:val="center"/>
                    <w:rPr>
                      <w:szCs w:val="21"/>
                      <w:highlight w:val="none"/>
                    </w:rPr>
                  </w:pPr>
                  <w:r>
                    <w:rPr>
                      <w:szCs w:val="21"/>
                      <w:highlight w:val="none"/>
                    </w:rPr>
                    <w:t>外购</w:t>
                  </w:r>
                </w:p>
              </w:tc>
              <w:tc>
                <w:tcPr>
                  <w:tcW w:w="917" w:type="pct"/>
                  <w:vMerge w:val="continue"/>
                  <w:noWrap w:val="0"/>
                  <w:vAlign w:val="center"/>
                </w:tcPr>
                <w:p w14:paraId="1B6635E8">
                  <w:pPr>
                    <w:jc w:val="center"/>
                    <w:rPr>
                      <w:szCs w:val="21"/>
                      <w:highlight w:val="none"/>
                    </w:rPr>
                  </w:pPr>
                </w:p>
              </w:tc>
            </w:tr>
            <w:tr w14:paraId="16E3FC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250" w:type="pct"/>
                  <w:gridSpan w:val="2"/>
                  <w:noWrap w:val="0"/>
                  <w:vAlign w:val="center"/>
                </w:tcPr>
                <w:p w14:paraId="5CBAAEF4">
                  <w:pPr>
                    <w:jc w:val="center"/>
                    <w:rPr>
                      <w:szCs w:val="21"/>
                    </w:rPr>
                  </w:pPr>
                  <w:r>
                    <w:rPr>
                      <w:rFonts w:hint="eastAsia"/>
                    </w:rPr>
                    <w:t>二氧化氯</w:t>
                  </w:r>
                </w:p>
              </w:tc>
              <w:tc>
                <w:tcPr>
                  <w:tcW w:w="378" w:type="pct"/>
                  <w:noWrap w:val="0"/>
                  <w:vAlign w:val="center"/>
                </w:tcPr>
                <w:p w14:paraId="2BB99AAC">
                  <w:pPr>
                    <w:jc w:val="center"/>
                    <w:rPr>
                      <w:szCs w:val="21"/>
                    </w:rPr>
                  </w:pPr>
                  <w:r>
                    <w:rPr>
                      <w:rFonts w:hint="eastAsia"/>
                    </w:rPr>
                    <w:t>t/a</w:t>
                  </w:r>
                </w:p>
              </w:tc>
              <w:tc>
                <w:tcPr>
                  <w:tcW w:w="590" w:type="pct"/>
                  <w:noWrap w:val="0"/>
                  <w:vAlign w:val="center"/>
                </w:tcPr>
                <w:p w14:paraId="65DA2CB5">
                  <w:pPr>
                    <w:jc w:val="center"/>
                    <w:rPr>
                      <w:rFonts w:hint="default" w:eastAsia="宋体"/>
                      <w:szCs w:val="21"/>
                      <w:lang w:val="en-US" w:eastAsia="zh-CN"/>
                    </w:rPr>
                  </w:pPr>
                  <w:r>
                    <w:rPr>
                      <w:rFonts w:hint="eastAsia"/>
                      <w:lang w:val="en-US" w:eastAsia="zh-CN"/>
                    </w:rPr>
                    <w:t>0.6</w:t>
                  </w:r>
                </w:p>
              </w:tc>
              <w:tc>
                <w:tcPr>
                  <w:tcW w:w="1060" w:type="pct"/>
                  <w:noWrap w:val="0"/>
                  <w:vAlign w:val="center"/>
                </w:tcPr>
                <w:p w14:paraId="481F7943">
                  <w:pPr>
                    <w:jc w:val="center"/>
                    <w:rPr>
                      <w:rFonts w:hint="eastAsia"/>
                      <w:szCs w:val="21"/>
                      <w:highlight w:val="none"/>
                      <w:lang w:val="en-US" w:eastAsia="zh-CN"/>
                    </w:rPr>
                  </w:pPr>
                  <w:r>
                    <w:rPr>
                      <w:rFonts w:hint="eastAsia"/>
                      <w:highlight w:val="none"/>
                      <w:lang w:val="en-US" w:eastAsia="zh-CN"/>
                    </w:rPr>
                    <w:t>0.1</w:t>
                  </w:r>
                  <w:r>
                    <w:rPr>
                      <w:rFonts w:hint="eastAsia"/>
                      <w:highlight w:val="none"/>
                    </w:rPr>
                    <w:t>t，60天</w:t>
                  </w:r>
                </w:p>
              </w:tc>
              <w:tc>
                <w:tcPr>
                  <w:tcW w:w="802" w:type="pct"/>
                  <w:noWrap w:val="0"/>
                  <w:vAlign w:val="center"/>
                </w:tcPr>
                <w:p w14:paraId="669D35FA">
                  <w:pPr>
                    <w:jc w:val="center"/>
                    <w:rPr>
                      <w:szCs w:val="21"/>
                      <w:highlight w:val="none"/>
                    </w:rPr>
                  </w:pPr>
                  <w:r>
                    <w:rPr>
                      <w:rFonts w:hint="eastAsia"/>
                      <w:highlight w:val="none"/>
                    </w:rPr>
                    <w:t>外购，桶装</w:t>
                  </w:r>
                </w:p>
              </w:tc>
              <w:tc>
                <w:tcPr>
                  <w:tcW w:w="917" w:type="pct"/>
                  <w:vMerge w:val="restart"/>
                  <w:noWrap w:val="0"/>
                  <w:vAlign w:val="center"/>
                </w:tcPr>
                <w:p w14:paraId="649139A1">
                  <w:pPr>
                    <w:jc w:val="center"/>
                    <w:rPr>
                      <w:rFonts w:hint="eastAsia" w:eastAsia="宋体"/>
                      <w:szCs w:val="21"/>
                      <w:highlight w:val="none"/>
                      <w:lang w:val="en-US" w:eastAsia="zh-CN"/>
                    </w:rPr>
                  </w:pPr>
                  <w:r>
                    <w:rPr>
                      <w:rFonts w:hint="eastAsia"/>
                      <w:szCs w:val="21"/>
                      <w:highlight w:val="none"/>
                      <w:lang w:val="en-US" w:eastAsia="zh-CN"/>
                    </w:rPr>
                    <w:t>污水站</w:t>
                  </w:r>
                </w:p>
              </w:tc>
            </w:tr>
            <w:tr w14:paraId="56ABD9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250" w:type="pct"/>
                  <w:gridSpan w:val="2"/>
                  <w:noWrap w:val="0"/>
                  <w:vAlign w:val="center"/>
                </w:tcPr>
                <w:p w14:paraId="45060ED4">
                  <w:pPr>
                    <w:jc w:val="center"/>
                    <w:rPr>
                      <w:szCs w:val="21"/>
                    </w:rPr>
                  </w:pPr>
                  <w:r>
                    <w:rPr>
                      <w:rFonts w:hint="eastAsia"/>
                    </w:rPr>
                    <w:t>PAC</w:t>
                  </w:r>
                </w:p>
              </w:tc>
              <w:tc>
                <w:tcPr>
                  <w:tcW w:w="378" w:type="pct"/>
                  <w:noWrap w:val="0"/>
                  <w:vAlign w:val="center"/>
                </w:tcPr>
                <w:p w14:paraId="202448AD">
                  <w:pPr>
                    <w:jc w:val="center"/>
                    <w:rPr>
                      <w:szCs w:val="21"/>
                    </w:rPr>
                  </w:pPr>
                  <w:r>
                    <w:rPr>
                      <w:rFonts w:hint="eastAsia"/>
                    </w:rPr>
                    <w:t>t/a</w:t>
                  </w:r>
                </w:p>
              </w:tc>
              <w:tc>
                <w:tcPr>
                  <w:tcW w:w="590" w:type="pct"/>
                  <w:noWrap w:val="0"/>
                  <w:vAlign w:val="center"/>
                </w:tcPr>
                <w:p w14:paraId="65D42EE8">
                  <w:pPr>
                    <w:jc w:val="center"/>
                    <w:rPr>
                      <w:rFonts w:hint="default" w:eastAsia="宋体"/>
                      <w:szCs w:val="21"/>
                      <w:lang w:val="en-US" w:eastAsia="zh-CN"/>
                    </w:rPr>
                  </w:pPr>
                  <w:r>
                    <w:rPr>
                      <w:rFonts w:hint="eastAsia"/>
                      <w:lang w:val="en-US" w:eastAsia="zh-CN"/>
                    </w:rPr>
                    <w:t>0.9</w:t>
                  </w:r>
                </w:p>
              </w:tc>
              <w:tc>
                <w:tcPr>
                  <w:tcW w:w="1060" w:type="pct"/>
                  <w:noWrap w:val="0"/>
                  <w:vAlign w:val="center"/>
                </w:tcPr>
                <w:p w14:paraId="0F242062">
                  <w:pPr>
                    <w:jc w:val="center"/>
                    <w:rPr>
                      <w:rFonts w:hint="eastAsia"/>
                      <w:szCs w:val="21"/>
                      <w:lang w:val="en-US" w:eastAsia="zh-CN"/>
                    </w:rPr>
                  </w:pPr>
                  <w:r>
                    <w:rPr>
                      <w:rFonts w:hint="eastAsia"/>
                    </w:rPr>
                    <w:t>0.</w:t>
                  </w:r>
                  <w:r>
                    <w:rPr>
                      <w:rFonts w:hint="eastAsia"/>
                      <w:lang w:val="en-US" w:eastAsia="zh-CN"/>
                    </w:rPr>
                    <w:t>25</w:t>
                  </w:r>
                  <w:r>
                    <w:rPr>
                      <w:rFonts w:hint="eastAsia"/>
                    </w:rPr>
                    <w:t>t，</w:t>
                  </w:r>
                  <w:r>
                    <w:rPr>
                      <w:rFonts w:hint="eastAsia"/>
                      <w:lang w:val="en-US" w:eastAsia="zh-CN"/>
                    </w:rPr>
                    <w:t>100</w:t>
                  </w:r>
                  <w:r>
                    <w:rPr>
                      <w:rFonts w:hint="eastAsia"/>
                    </w:rPr>
                    <w:t>天</w:t>
                  </w:r>
                </w:p>
              </w:tc>
              <w:tc>
                <w:tcPr>
                  <w:tcW w:w="802" w:type="pct"/>
                  <w:noWrap w:val="0"/>
                  <w:vAlign w:val="center"/>
                </w:tcPr>
                <w:p w14:paraId="48BEB379">
                  <w:pPr>
                    <w:jc w:val="center"/>
                    <w:rPr>
                      <w:szCs w:val="21"/>
                      <w:highlight w:val="yellow"/>
                    </w:rPr>
                  </w:pPr>
                  <w:r>
                    <w:rPr>
                      <w:rFonts w:hint="eastAsia"/>
                    </w:rPr>
                    <w:t>外购，袋装</w:t>
                  </w:r>
                </w:p>
              </w:tc>
              <w:tc>
                <w:tcPr>
                  <w:tcW w:w="917" w:type="pct"/>
                  <w:vMerge w:val="continue"/>
                  <w:noWrap w:val="0"/>
                  <w:vAlign w:val="center"/>
                </w:tcPr>
                <w:p w14:paraId="1CD793C8">
                  <w:pPr>
                    <w:jc w:val="center"/>
                    <w:rPr>
                      <w:szCs w:val="21"/>
                      <w:highlight w:val="yellow"/>
                    </w:rPr>
                  </w:pPr>
                </w:p>
              </w:tc>
            </w:tr>
            <w:tr w14:paraId="2E76D9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250" w:type="pct"/>
                  <w:gridSpan w:val="2"/>
                  <w:noWrap w:val="0"/>
                  <w:vAlign w:val="center"/>
                </w:tcPr>
                <w:p w14:paraId="63F896FA">
                  <w:pPr>
                    <w:jc w:val="center"/>
                    <w:rPr>
                      <w:szCs w:val="21"/>
                    </w:rPr>
                  </w:pPr>
                  <w:r>
                    <w:rPr>
                      <w:rFonts w:hint="eastAsia"/>
                      <w:lang w:val="en-US" w:eastAsia="zh-CN"/>
                    </w:rPr>
                    <w:t>PAM</w:t>
                  </w:r>
                </w:p>
              </w:tc>
              <w:tc>
                <w:tcPr>
                  <w:tcW w:w="378" w:type="pct"/>
                  <w:noWrap w:val="0"/>
                  <w:vAlign w:val="center"/>
                </w:tcPr>
                <w:p w14:paraId="52B02385">
                  <w:pPr>
                    <w:jc w:val="center"/>
                    <w:rPr>
                      <w:szCs w:val="21"/>
                    </w:rPr>
                  </w:pPr>
                  <w:r>
                    <w:rPr>
                      <w:rFonts w:hint="eastAsia"/>
                    </w:rPr>
                    <w:t>t/a</w:t>
                  </w:r>
                </w:p>
              </w:tc>
              <w:tc>
                <w:tcPr>
                  <w:tcW w:w="590" w:type="pct"/>
                  <w:noWrap w:val="0"/>
                  <w:vAlign w:val="center"/>
                </w:tcPr>
                <w:p w14:paraId="35275791">
                  <w:pPr>
                    <w:jc w:val="center"/>
                    <w:rPr>
                      <w:rFonts w:hint="default"/>
                      <w:szCs w:val="21"/>
                      <w:lang w:val="en-US" w:eastAsia="zh-CN"/>
                    </w:rPr>
                  </w:pPr>
                  <w:r>
                    <w:rPr>
                      <w:rFonts w:hint="eastAsia"/>
                      <w:lang w:val="en-US" w:eastAsia="zh-CN"/>
                    </w:rPr>
                    <w:t>0.1</w:t>
                  </w:r>
                </w:p>
              </w:tc>
              <w:tc>
                <w:tcPr>
                  <w:tcW w:w="1060" w:type="pct"/>
                  <w:noWrap w:val="0"/>
                  <w:vAlign w:val="center"/>
                </w:tcPr>
                <w:p w14:paraId="1C10C852">
                  <w:pPr>
                    <w:jc w:val="center"/>
                    <w:rPr>
                      <w:rFonts w:hint="eastAsia"/>
                      <w:szCs w:val="21"/>
                      <w:lang w:val="en-US" w:eastAsia="zh-CN"/>
                    </w:rPr>
                  </w:pPr>
                  <w:r>
                    <w:rPr>
                      <w:rFonts w:hint="eastAsia"/>
                      <w:lang w:val="en-US" w:eastAsia="zh-CN"/>
                    </w:rPr>
                    <w:t>0.03</w:t>
                  </w:r>
                  <w:r>
                    <w:rPr>
                      <w:rFonts w:hint="eastAsia"/>
                    </w:rPr>
                    <w:t>t，</w:t>
                  </w:r>
                  <w:r>
                    <w:rPr>
                      <w:rFonts w:hint="eastAsia"/>
                      <w:lang w:val="en-US" w:eastAsia="zh-CN"/>
                    </w:rPr>
                    <w:t>100</w:t>
                  </w:r>
                  <w:r>
                    <w:rPr>
                      <w:rFonts w:hint="eastAsia"/>
                    </w:rPr>
                    <w:t>天</w:t>
                  </w:r>
                </w:p>
              </w:tc>
              <w:tc>
                <w:tcPr>
                  <w:tcW w:w="802" w:type="pct"/>
                  <w:noWrap w:val="0"/>
                  <w:vAlign w:val="center"/>
                </w:tcPr>
                <w:p w14:paraId="0E42F335">
                  <w:pPr>
                    <w:jc w:val="center"/>
                    <w:rPr>
                      <w:szCs w:val="21"/>
                      <w:highlight w:val="yellow"/>
                    </w:rPr>
                  </w:pPr>
                  <w:r>
                    <w:rPr>
                      <w:rFonts w:hint="eastAsia"/>
                    </w:rPr>
                    <w:t>外购，袋装</w:t>
                  </w:r>
                </w:p>
              </w:tc>
              <w:tc>
                <w:tcPr>
                  <w:tcW w:w="917" w:type="pct"/>
                  <w:vMerge w:val="continue"/>
                  <w:noWrap w:val="0"/>
                  <w:vAlign w:val="center"/>
                </w:tcPr>
                <w:p w14:paraId="70C2E21C">
                  <w:pPr>
                    <w:jc w:val="center"/>
                    <w:rPr>
                      <w:szCs w:val="21"/>
                      <w:highlight w:val="yellow"/>
                    </w:rPr>
                  </w:pPr>
                </w:p>
              </w:tc>
            </w:tr>
            <w:tr w14:paraId="505571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250" w:type="pct"/>
                  <w:gridSpan w:val="2"/>
                  <w:noWrap w:val="0"/>
                  <w:vAlign w:val="center"/>
                </w:tcPr>
                <w:p w14:paraId="11A1B3C2">
                  <w:pPr>
                    <w:jc w:val="center"/>
                    <w:rPr>
                      <w:szCs w:val="21"/>
                    </w:rPr>
                  </w:pPr>
                  <w:r>
                    <w:rPr>
                      <w:rFonts w:hint="eastAsia"/>
                      <w:lang w:eastAsia="zh-CN"/>
                    </w:rPr>
                    <w:t>柴油</w:t>
                  </w:r>
                </w:p>
              </w:tc>
              <w:tc>
                <w:tcPr>
                  <w:tcW w:w="378" w:type="pct"/>
                  <w:noWrap w:val="0"/>
                  <w:vAlign w:val="center"/>
                </w:tcPr>
                <w:p w14:paraId="0F826AE3">
                  <w:pPr>
                    <w:jc w:val="center"/>
                    <w:rPr>
                      <w:szCs w:val="21"/>
                    </w:rPr>
                  </w:pPr>
                  <w:r>
                    <w:rPr>
                      <w:rFonts w:ascii="Times New Roman" w:hAnsi="Times New Roman" w:eastAsia="宋体" w:cs="Times New Roman"/>
                      <w:color w:val="000000"/>
                      <w:kern w:val="2"/>
                      <w:sz w:val="21"/>
                      <w:szCs w:val="24"/>
                      <w:lang w:val="en-US" w:eastAsia="zh-CN" w:bidi="ar-SA"/>
                    </w:rPr>
                    <w:t>m</w:t>
                  </w:r>
                  <w:r>
                    <w:rPr>
                      <w:rFonts w:ascii="Times New Roman" w:hAnsi="Times New Roman" w:eastAsia="宋体" w:cs="Times New Roman"/>
                      <w:color w:val="000000"/>
                      <w:kern w:val="2"/>
                      <w:sz w:val="21"/>
                      <w:szCs w:val="24"/>
                      <w:vertAlign w:val="superscript"/>
                      <w:lang w:val="en-US" w:eastAsia="zh-CN" w:bidi="ar-SA"/>
                    </w:rPr>
                    <w:t>3</w:t>
                  </w:r>
                  <w:r>
                    <w:rPr>
                      <w:rFonts w:hint="eastAsia"/>
                      <w:lang w:val="en-US" w:eastAsia="zh-CN"/>
                    </w:rPr>
                    <w:t>/a</w:t>
                  </w:r>
                </w:p>
              </w:tc>
              <w:tc>
                <w:tcPr>
                  <w:tcW w:w="590" w:type="pct"/>
                  <w:noWrap w:val="0"/>
                  <w:vAlign w:val="center"/>
                </w:tcPr>
                <w:p w14:paraId="246B3B58">
                  <w:pPr>
                    <w:jc w:val="center"/>
                    <w:rPr>
                      <w:rFonts w:hint="eastAsia"/>
                      <w:szCs w:val="21"/>
                      <w:lang w:val="en-US" w:eastAsia="zh-CN"/>
                    </w:rPr>
                  </w:pPr>
                  <w:r>
                    <w:rPr>
                      <w:rFonts w:hint="eastAsia"/>
                      <w:lang w:val="en-US" w:eastAsia="zh-CN"/>
                    </w:rPr>
                    <w:t>1</w:t>
                  </w:r>
                </w:p>
              </w:tc>
              <w:tc>
                <w:tcPr>
                  <w:tcW w:w="1060" w:type="pct"/>
                  <w:noWrap w:val="0"/>
                  <w:vAlign w:val="center"/>
                </w:tcPr>
                <w:p w14:paraId="183CF407">
                  <w:pPr>
                    <w:jc w:val="center"/>
                    <w:rPr>
                      <w:rFonts w:hint="eastAsia"/>
                      <w:szCs w:val="21"/>
                      <w:lang w:val="en-US" w:eastAsia="zh-CN"/>
                    </w:rPr>
                  </w:pPr>
                  <w:r>
                    <w:rPr>
                      <w:rFonts w:hint="eastAsia"/>
                      <w:lang w:val="en-US" w:eastAsia="zh-CN"/>
                    </w:rPr>
                    <w:t>0.5t，180天</w:t>
                  </w:r>
                </w:p>
              </w:tc>
              <w:tc>
                <w:tcPr>
                  <w:tcW w:w="802" w:type="pct"/>
                  <w:noWrap w:val="0"/>
                  <w:vAlign w:val="center"/>
                </w:tcPr>
                <w:p w14:paraId="148CF887">
                  <w:pPr>
                    <w:jc w:val="center"/>
                    <w:rPr>
                      <w:szCs w:val="21"/>
                      <w:highlight w:val="yellow"/>
                    </w:rPr>
                  </w:pPr>
                  <w:r>
                    <w:rPr>
                      <w:rFonts w:hint="eastAsia"/>
                      <w:lang w:eastAsia="zh-CN"/>
                    </w:rPr>
                    <w:t>外购</w:t>
                  </w:r>
                </w:p>
              </w:tc>
              <w:tc>
                <w:tcPr>
                  <w:tcW w:w="917" w:type="pct"/>
                  <w:noWrap w:val="0"/>
                  <w:vAlign w:val="center"/>
                </w:tcPr>
                <w:p w14:paraId="2B202216">
                  <w:pPr>
                    <w:jc w:val="center"/>
                    <w:rPr>
                      <w:szCs w:val="21"/>
                      <w:highlight w:val="yellow"/>
                    </w:rPr>
                  </w:pPr>
                  <w:r>
                    <w:rPr>
                      <w:rFonts w:hint="eastAsia"/>
                      <w:szCs w:val="21"/>
                      <w:highlight w:val="none"/>
                      <w:lang w:eastAsia="zh-CN"/>
                    </w:rPr>
                    <w:t>发电机房柴油储存间</w:t>
                  </w:r>
                </w:p>
              </w:tc>
            </w:tr>
          </w:tbl>
          <w:p w14:paraId="6106CF33">
            <w:pPr>
              <w:pStyle w:val="7"/>
              <w:spacing w:before="0" w:after="0" w:line="240" w:lineRule="auto"/>
              <w:ind w:right="0"/>
              <w:jc w:val="center"/>
              <w:rPr>
                <w:b/>
                <w:bCs/>
                <w:color w:val="auto"/>
                <w:sz w:val="21"/>
                <w:szCs w:val="21"/>
              </w:rPr>
            </w:pPr>
          </w:p>
          <w:p w14:paraId="61723FE9">
            <w:pPr>
              <w:pStyle w:val="7"/>
              <w:spacing w:before="0" w:after="0" w:line="360" w:lineRule="auto"/>
              <w:ind w:right="0" w:firstLine="482" w:firstLineChars="200"/>
              <w:rPr>
                <w:rFonts w:hint="eastAsia"/>
                <w:b/>
                <w:bCs/>
                <w:color w:val="auto"/>
                <w:sz w:val="24"/>
                <w:szCs w:val="24"/>
              </w:rPr>
            </w:pPr>
            <w:r>
              <w:rPr>
                <w:rFonts w:hint="eastAsia"/>
                <w:b/>
                <w:bCs/>
                <w:color w:val="auto"/>
                <w:sz w:val="24"/>
                <w:szCs w:val="24"/>
              </w:rPr>
              <w:t>主要原辅材料性质</w:t>
            </w:r>
          </w:p>
          <w:p w14:paraId="7225523B">
            <w:pPr>
              <w:keepNext w:val="0"/>
              <w:keepLines w:val="0"/>
              <w:widowControl/>
              <w:suppressLineNumbers w:val="0"/>
              <w:spacing w:line="360" w:lineRule="auto"/>
              <w:ind w:firstLine="482" w:firstLineChars="200"/>
              <w:jc w:val="left"/>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b/>
                <w:bCs/>
                <w:color w:val="auto"/>
                <w:sz w:val="24"/>
                <w:szCs w:val="24"/>
                <w:highlight w:val="none"/>
                <w:lang w:val="en-US" w:eastAsia="zh-CN"/>
              </w:rPr>
              <w:t>酒精</w:t>
            </w:r>
            <w:r>
              <w:rPr>
                <w:rFonts w:hint="default" w:ascii="Times New Roman" w:hAnsi="Times New Roman" w:cs="Times New Roman"/>
                <w:color w:val="auto"/>
                <w:sz w:val="24"/>
                <w:szCs w:val="24"/>
                <w:highlight w:val="none"/>
                <w:lang w:val="en-US" w:eastAsia="zh-CN"/>
              </w:rPr>
              <w:t>：无色透明液体，沸点：78.3℃，熔点：-114.1℃，相对密度（水=1）：0.79，临界压力：6.38，饱和蒸气压（Kpa）1.59（20℃），闪点：12，折光率：1.3614，临界温度：243.1℃，溶解性：与水混溶，可混溶于醚、氯仿、甘油等多数有机溶剂，爆炸极限（%v/v）</w:t>
            </w:r>
            <w:r>
              <w:rPr>
                <w:rFonts w:hint="eastAsia" w:cs="Times New Roman"/>
                <w:color w:val="auto"/>
                <w:sz w:val="24"/>
                <w:szCs w:val="24"/>
                <w:highlight w:val="none"/>
                <w:lang w:val="en-US" w:eastAsia="zh-CN"/>
              </w:rPr>
              <w:t>：</w:t>
            </w:r>
            <w:r>
              <w:rPr>
                <w:rFonts w:hint="default" w:ascii="Times New Roman" w:hAnsi="Times New Roman" w:cs="Times New Roman"/>
                <w:color w:val="auto"/>
                <w:sz w:val="24"/>
                <w:szCs w:val="24"/>
                <w:highlight w:val="none"/>
                <w:lang w:val="en-US" w:eastAsia="zh-CN"/>
              </w:rPr>
              <w:t>上限：19，下限：13。</w:t>
            </w:r>
          </w:p>
          <w:p w14:paraId="09858AC3">
            <w:pPr>
              <w:keepNext w:val="0"/>
              <w:keepLines w:val="0"/>
              <w:widowControl/>
              <w:suppressLineNumbers w:val="0"/>
              <w:spacing w:line="360" w:lineRule="auto"/>
              <w:ind w:firstLine="482" w:firstLineChars="200"/>
              <w:jc w:val="left"/>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b/>
                <w:bCs/>
                <w:color w:val="auto"/>
                <w:sz w:val="24"/>
                <w:szCs w:val="24"/>
                <w:highlight w:val="none"/>
                <w:lang w:val="en-US" w:eastAsia="zh-CN"/>
              </w:rPr>
              <w:t>碘伏</w:t>
            </w:r>
            <w:r>
              <w:rPr>
                <w:rFonts w:hint="eastAsia" w:ascii="Times New Roman" w:hAnsi="Times New Roman" w:cs="Times New Roman"/>
                <w:b/>
                <w:bCs/>
                <w:color w:val="auto"/>
                <w:sz w:val="24"/>
                <w:szCs w:val="24"/>
                <w:highlight w:val="none"/>
                <w:lang w:val="en-US" w:eastAsia="zh-CN"/>
              </w:rPr>
              <w:t>：</w:t>
            </w:r>
            <w:r>
              <w:rPr>
                <w:rFonts w:hint="default" w:ascii="Times New Roman" w:hAnsi="Times New Roman" w:cs="Times New Roman"/>
                <w:color w:val="auto"/>
                <w:sz w:val="24"/>
                <w:szCs w:val="24"/>
                <w:highlight w:val="none"/>
                <w:lang w:val="en-US" w:eastAsia="zh-CN"/>
              </w:rPr>
              <w:t>黑色液体，主要用于皮肤的消毒，人经口LDLo:28 mg/kg，大鼠经口LD50:14 g/kg</w:t>
            </w:r>
            <w:r>
              <w:rPr>
                <w:rFonts w:hint="eastAsia" w:ascii="Times New Roman" w:hAnsi="Times New Roman" w:cs="Times New Roman"/>
                <w:color w:val="auto"/>
                <w:sz w:val="24"/>
                <w:szCs w:val="24"/>
                <w:highlight w:val="none"/>
                <w:lang w:val="en-US" w:eastAsia="zh-CN"/>
              </w:rPr>
              <w:t>；</w:t>
            </w:r>
            <w:r>
              <w:rPr>
                <w:rFonts w:hint="default" w:ascii="Times New Roman" w:hAnsi="Times New Roman" w:cs="Times New Roman"/>
                <w:color w:val="auto"/>
                <w:sz w:val="24"/>
                <w:szCs w:val="24"/>
                <w:highlight w:val="none"/>
                <w:lang w:val="en-US" w:eastAsia="zh-CN"/>
              </w:rPr>
              <w:t>吸入LCLo:137 ppm/1h，小鼠经口LD50:22 g/kg。</w:t>
            </w:r>
          </w:p>
          <w:p w14:paraId="68749397">
            <w:pPr>
              <w:keepNext w:val="0"/>
              <w:keepLines w:val="0"/>
              <w:widowControl/>
              <w:suppressLineNumbers w:val="0"/>
              <w:spacing w:line="360" w:lineRule="auto"/>
              <w:ind w:firstLine="482" w:firstLineChars="200"/>
              <w:jc w:val="left"/>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b/>
                <w:bCs/>
                <w:color w:val="auto"/>
                <w:sz w:val="24"/>
                <w:szCs w:val="24"/>
                <w:highlight w:val="none"/>
                <w:lang w:val="en-US" w:eastAsia="zh-CN"/>
              </w:rPr>
              <w:t>戊二醛：</w:t>
            </w:r>
            <w:r>
              <w:rPr>
                <w:rFonts w:hint="default" w:ascii="Times New Roman" w:hAnsi="Times New Roman" w:cs="Times New Roman"/>
                <w:color w:val="auto"/>
                <w:sz w:val="24"/>
                <w:szCs w:val="24"/>
                <w:highlight w:val="none"/>
                <w:lang w:val="en-US" w:eastAsia="zh-CN"/>
              </w:rPr>
              <w:t>分子式C</w:t>
            </w:r>
            <w:r>
              <w:rPr>
                <w:rFonts w:hint="default" w:ascii="Times New Roman" w:hAnsi="Times New Roman" w:cs="Times New Roman"/>
                <w:color w:val="auto"/>
                <w:sz w:val="24"/>
                <w:szCs w:val="24"/>
                <w:highlight w:val="none"/>
                <w:vertAlign w:val="subscript"/>
                <w:lang w:val="en-US" w:eastAsia="zh-CN"/>
              </w:rPr>
              <w:t>5</w:t>
            </w:r>
            <w:r>
              <w:rPr>
                <w:rFonts w:hint="default" w:ascii="Times New Roman" w:hAnsi="Times New Roman" w:cs="Times New Roman"/>
                <w:color w:val="auto"/>
                <w:sz w:val="24"/>
                <w:szCs w:val="24"/>
                <w:highlight w:val="none"/>
                <w:lang w:val="en-US" w:eastAsia="zh-CN"/>
              </w:rPr>
              <w:t>H</w:t>
            </w:r>
            <w:r>
              <w:rPr>
                <w:rFonts w:hint="default" w:ascii="Times New Roman" w:hAnsi="Times New Roman" w:cs="Times New Roman"/>
                <w:color w:val="auto"/>
                <w:sz w:val="24"/>
                <w:szCs w:val="24"/>
                <w:highlight w:val="none"/>
                <w:vertAlign w:val="subscript"/>
                <w:lang w:val="en-US" w:eastAsia="zh-CN"/>
              </w:rPr>
              <w:t>8</w:t>
            </w:r>
            <w:r>
              <w:rPr>
                <w:rFonts w:hint="default" w:ascii="Times New Roman" w:hAnsi="Times New Roman" w:cs="Times New Roman"/>
                <w:color w:val="auto"/>
                <w:sz w:val="24"/>
                <w:szCs w:val="24"/>
                <w:highlight w:val="none"/>
                <w:lang w:val="en-US" w:eastAsia="zh-CN"/>
              </w:rPr>
              <w:t>O</w:t>
            </w:r>
            <w:r>
              <w:rPr>
                <w:rFonts w:hint="default" w:ascii="Times New Roman" w:hAnsi="Times New Roman" w:cs="Times New Roman"/>
                <w:color w:val="auto"/>
                <w:sz w:val="24"/>
                <w:szCs w:val="24"/>
                <w:highlight w:val="none"/>
                <w:vertAlign w:val="subscript"/>
                <w:lang w:val="en-US" w:eastAsia="zh-CN"/>
              </w:rPr>
              <w:t>2</w:t>
            </w:r>
            <w:r>
              <w:rPr>
                <w:rFonts w:hint="default" w:ascii="Times New Roman" w:hAnsi="Times New Roman" w:cs="Times New Roman"/>
                <w:color w:val="auto"/>
                <w:sz w:val="24"/>
                <w:szCs w:val="24"/>
                <w:highlight w:val="none"/>
                <w:lang w:val="en-US" w:eastAsia="zh-CN"/>
              </w:rPr>
              <w:t>，闪点：66°C，密度：0.947g/cm3，熔点：-5℃，外观与性状：带有刺激性气味的无色透明油状液体，熔点</w:t>
            </w:r>
            <w:r>
              <w:rPr>
                <w:rFonts w:hint="eastAsia" w:cs="Times New Roman"/>
                <w:color w:val="auto"/>
                <w:sz w:val="24"/>
                <w:szCs w:val="24"/>
                <w:highlight w:val="none"/>
                <w:lang w:val="en-US" w:eastAsia="zh-CN"/>
              </w:rPr>
              <w:t>（</w:t>
            </w:r>
            <w:r>
              <w:rPr>
                <w:rFonts w:hint="default" w:ascii="Times New Roman" w:hAnsi="Times New Roman" w:cs="Times New Roman"/>
                <w:color w:val="auto"/>
                <w:sz w:val="24"/>
                <w:szCs w:val="24"/>
                <w:highlight w:val="none"/>
                <w:lang w:val="en-US" w:eastAsia="zh-CN"/>
              </w:rPr>
              <w:t>℃</w:t>
            </w:r>
            <w:r>
              <w:rPr>
                <w:rFonts w:hint="eastAsia" w:cs="Times New Roman"/>
                <w:color w:val="auto"/>
                <w:sz w:val="24"/>
                <w:szCs w:val="24"/>
                <w:highlight w:val="none"/>
                <w:lang w:val="en-US" w:eastAsia="zh-CN"/>
              </w:rPr>
              <w:t>）</w:t>
            </w:r>
            <w:r>
              <w:rPr>
                <w:rFonts w:hint="default" w:ascii="Times New Roman" w:hAnsi="Times New Roman" w:cs="Times New Roman"/>
                <w:color w:val="auto"/>
                <w:sz w:val="24"/>
                <w:szCs w:val="24"/>
                <w:highlight w:val="none"/>
                <w:lang w:val="en-US" w:eastAsia="zh-CN"/>
              </w:rPr>
              <w:t>：-14，沸点</w:t>
            </w:r>
            <w:r>
              <w:rPr>
                <w:rFonts w:hint="eastAsia" w:cs="Times New Roman"/>
                <w:color w:val="auto"/>
                <w:sz w:val="24"/>
                <w:szCs w:val="24"/>
                <w:highlight w:val="none"/>
                <w:lang w:val="en-US" w:eastAsia="zh-CN"/>
              </w:rPr>
              <w:t>（</w:t>
            </w:r>
            <w:r>
              <w:rPr>
                <w:rFonts w:hint="default" w:ascii="Times New Roman" w:hAnsi="Times New Roman" w:cs="Times New Roman"/>
                <w:color w:val="auto"/>
                <w:sz w:val="24"/>
                <w:szCs w:val="24"/>
                <w:highlight w:val="none"/>
                <w:lang w:val="en-US" w:eastAsia="zh-CN"/>
              </w:rPr>
              <w:t>℃</w:t>
            </w:r>
            <w:r>
              <w:rPr>
                <w:rFonts w:hint="eastAsia" w:cs="Times New Roman"/>
                <w:color w:val="auto"/>
                <w:sz w:val="24"/>
                <w:szCs w:val="24"/>
                <w:highlight w:val="none"/>
                <w:lang w:val="en-US" w:eastAsia="zh-CN"/>
              </w:rPr>
              <w:t>）</w:t>
            </w:r>
            <w:r>
              <w:rPr>
                <w:rFonts w:hint="default" w:ascii="Times New Roman" w:hAnsi="Times New Roman" w:cs="Times New Roman"/>
                <w:color w:val="auto"/>
                <w:sz w:val="24"/>
                <w:szCs w:val="24"/>
                <w:highlight w:val="none"/>
                <w:lang w:val="en-US" w:eastAsia="zh-CN"/>
              </w:rPr>
              <w:t>： 71~72</w:t>
            </w:r>
            <w:r>
              <w:rPr>
                <w:rFonts w:hint="eastAsia" w:cs="Times New Roman"/>
                <w:color w:val="auto"/>
                <w:sz w:val="24"/>
                <w:szCs w:val="24"/>
                <w:highlight w:val="none"/>
                <w:lang w:val="en-US" w:eastAsia="zh-CN"/>
              </w:rPr>
              <w:t>（</w:t>
            </w:r>
            <w:r>
              <w:rPr>
                <w:rFonts w:hint="default" w:ascii="Times New Roman" w:hAnsi="Times New Roman" w:cs="Times New Roman"/>
                <w:color w:val="auto"/>
                <w:sz w:val="24"/>
                <w:szCs w:val="24"/>
                <w:highlight w:val="none"/>
                <w:lang w:val="en-US" w:eastAsia="zh-CN"/>
              </w:rPr>
              <w:t>1.33kPa</w:t>
            </w:r>
            <w:r>
              <w:rPr>
                <w:rFonts w:hint="eastAsia" w:cs="Times New Roman"/>
                <w:color w:val="auto"/>
                <w:sz w:val="24"/>
                <w:szCs w:val="24"/>
                <w:highlight w:val="none"/>
                <w:lang w:val="en-US" w:eastAsia="zh-CN"/>
              </w:rPr>
              <w:t>）</w:t>
            </w:r>
            <w:r>
              <w:rPr>
                <w:rFonts w:hint="default" w:ascii="Times New Roman" w:hAnsi="Times New Roman" w:cs="Times New Roman"/>
                <w:color w:val="auto"/>
                <w:sz w:val="24"/>
                <w:szCs w:val="24"/>
                <w:highlight w:val="none"/>
                <w:lang w:val="en-US" w:eastAsia="zh-CN"/>
              </w:rPr>
              <w:t>，相对密度</w:t>
            </w:r>
            <w:r>
              <w:rPr>
                <w:rFonts w:hint="eastAsia" w:cs="Times New Roman"/>
                <w:color w:val="auto"/>
                <w:sz w:val="24"/>
                <w:szCs w:val="24"/>
                <w:highlight w:val="none"/>
                <w:lang w:val="en-US" w:eastAsia="zh-CN"/>
              </w:rPr>
              <w:t>（</w:t>
            </w:r>
            <w:r>
              <w:rPr>
                <w:rFonts w:hint="default" w:ascii="Times New Roman" w:hAnsi="Times New Roman" w:cs="Times New Roman"/>
                <w:color w:val="auto"/>
                <w:sz w:val="24"/>
                <w:szCs w:val="24"/>
                <w:highlight w:val="none"/>
                <w:lang w:val="en-US" w:eastAsia="zh-CN"/>
              </w:rPr>
              <w:t>水=1</w:t>
            </w:r>
            <w:r>
              <w:rPr>
                <w:rFonts w:hint="eastAsia" w:cs="Times New Roman"/>
                <w:color w:val="auto"/>
                <w:sz w:val="24"/>
                <w:szCs w:val="24"/>
                <w:highlight w:val="none"/>
                <w:lang w:val="en-US" w:eastAsia="zh-CN"/>
              </w:rPr>
              <w:t>）</w:t>
            </w:r>
            <w:r>
              <w:rPr>
                <w:rFonts w:hint="default" w:ascii="Times New Roman" w:hAnsi="Times New Roman" w:cs="Times New Roman"/>
                <w:color w:val="auto"/>
                <w:sz w:val="24"/>
                <w:szCs w:val="24"/>
                <w:highlight w:val="none"/>
                <w:lang w:val="en-US" w:eastAsia="zh-CN"/>
              </w:rPr>
              <w:t>：1.0600，相对蒸气密度</w:t>
            </w:r>
            <w:r>
              <w:rPr>
                <w:rFonts w:hint="eastAsia" w:cs="Times New Roman"/>
                <w:color w:val="auto"/>
                <w:sz w:val="24"/>
                <w:szCs w:val="24"/>
                <w:highlight w:val="none"/>
                <w:lang w:val="en-US" w:eastAsia="zh-CN"/>
              </w:rPr>
              <w:t>（</w:t>
            </w:r>
            <w:r>
              <w:rPr>
                <w:rFonts w:hint="default" w:ascii="Times New Roman" w:hAnsi="Times New Roman" w:cs="Times New Roman"/>
                <w:color w:val="auto"/>
                <w:sz w:val="24"/>
                <w:szCs w:val="24"/>
                <w:highlight w:val="none"/>
                <w:lang w:val="en-US" w:eastAsia="zh-CN"/>
              </w:rPr>
              <w:t>空气=1</w:t>
            </w:r>
            <w:r>
              <w:rPr>
                <w:rFonts w:hint="eastAsia" w:cs="Times New Roman"/>
                <w:color w:val="auto"/>
                <w:sz w:val="24"/>
                <w:szCs w:val="24"/>
                <w:highlight w:val="none"/>
                <w:lang w:val="en-US" w:eastAsia="zh-CN"/>
              </w:rPr>
              <w:t>）</w:t>
            </w:r>
            <w:r>
              <w:rPr>
                <w:rFonts w:hint="default" w:ascii="Times New Roman" w:hAnsi="Times New Roman" w:cs="Times New Roman"/>
                <w:color w:val="auto"/>
                <w:sz w:val="24"/>
                <w:szCs w:val="24"/>
                <w:highlight w:val="none"/>
                <w:lang w:val="en-US" w:eastAsia="zh-CN"/>
              </w:rPr>
              <w:t>：3.4，饱和蒸气压</w:t>
            </w:r>
            <w:r>
              <w:rPr>
                <w:rFonts w:hint="eastAsia" w:cs="Times New Roman"/>
                <w:color w:val="auto"/>
                <w:sz w:val="24"/>
                <w:szCs w:val="24"/>
                <w:highlight w:val="none"/>
                <w:lang w:val="en-US" w:eastAsia="zh-CN"/>
              </w:rPr>
              <w:t>（</w:t>
            </w:r>
            <w:r>
              <w:rPr>
                <w:rFonts w:hint="default" w:ascii="Times New Roman" w:hAnsi="Times New Roman" w:cs="Times New Roman"/>
                <w:color w:val="auto"/>
                <w:sz w:val="24"/>
                <w:szCs w:val="24"/>
                <w:highlight w:val="none"/>
                <w:lang w:val="en-US" w:eastAsia="zh-CN"/>
              </w:rPr>
              <w:t>kPa</w:t>
            </w:r>
            <w:r>
              <w:rPr>
                <w:rFonts w:hint="eastAsia" w:cs="Times New Roman"/>
                <w:color w:val="auto"/>
                <w:sz w:val="24"/>
                <w:szCs w:val="24"/>
                <w:highlight w:val="none"/>
                <w:lang w:val="en-US" w:eastAsia="zh-CN"/>
              </w:rPr>
              <w:t>）</w:t>
            </w:r>
            <w:r>
              <w:rPr>
                <w:rFonts w:hint="default" w:ascii="Times New Roman" w:hAnsi="Times New Roman" w:cs="Times New Roman"/>
                <w:color w:val="auto"/>
                <w:sz w:val="24"/>
                <w:szCs w:val="24"/>
                <w:highlight w:val="none"/>
                <w:lang w:val="en-US" w:eastAsia="zh-CN"/>
              </w:rPr>
              <w:t>：2.27</w:t>
            </w:r>
            <w:r>
              <w:rPr>
                <w:rFonts w:hint="eastAsia" w:cs="Times New Roman"/>
                <w:color w:val="auto"/>
                <w:sz w:val="24"/>
                <w:szCs w:val="24"/>
                <w:highlight w:val="none"/>
                <w:lang w:val="en-US" w:eastAsia="zh-CN"/>
              </w:rPr>
              <w:t>（</w:t>
            </w:r>
            <w:r>
              <w:rPr>
                <w:rFonts w:hint="default" w:ascii="Times New Roman" w:hAnsi="Times New Roman" w:cs="Times New Roman"/>
                <w:color w:val="auto"/>
                <w:sz w:val="24"/>
                <w:szCs w:val="24"/>
                <w:highlight w:val="none"/>
                <w:lang w:val="en-US" w:eastAsia="zh-CN"/>
              </w:rPr>
              <w:t>20℃</w:t>
            </w:r>
            <w:r>
              <w:rPr>
                <w:rFonts w:hint="eastAsia" w:cs="Times New Roman"/>
                <w:color w:val="auto"/>
                <w:sz w:val="24"/>
                <w:szCs w:val="24"/>
                <w:highlight w:val="none"/>
                <w:lang w:val="en-US" w:eastAsia="zh-CN"/>
              </w:rPr>
              <w:t>）</w:t>
            </w:r>
            <w:r>
              <w:rPr>
                <w:rFonts w:hint="default" w:ascii="Times New Roman" w:hAnsi="Times New Roman" w:cs="Times New Roman"/>
                <w:color w:val="auto"/>
                <w:sz w:val="24"/>
                <w:szCs w:val="24"/>
                <w:highlight w:val="none"/>
                <w:lang w:val="en-US" w:eastAsia="zh-CN"/>
              </w:rPr>
              <w:t>，溶解性：溶于热水、乙醇、氯仿、冰醋酸、乙醚。</w:t>
            </w:r>
          </w:p>
          <w:p w14:paraId="3EF4EE38">
            <w:pPr>
              <w:spacing w:line="360" w:lineRule="auto"/>
              <w:ind w:firstLine="482" w:firstLineChars="200"/>
              <w:jc w:val="both"/>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b/>
                <w:bCs/>
                <w:color w:val="auto"/>
                <w:sz w:val="24"/>
                <w:szCs w:val="24"/>
                <w:highlight w:val="none"/>
                <w:lang w:val="en-US" w:eastAsia="zh-CN"/>
              </w:rPr>
              <w:t>过氧化氢</w:t>
            </w:r>
            <w:r>
              <w:rPr>
                <w:rFonts w:hint="default" w:ascii="Times New Roman" w:hAnsi="Times New Roman" w:cs="Times New Roman"/>
                <w:color w:val="auto"/>
                <w:sz w:val="24"/>
                <w:szCs w:val="24"/>
                <w:highlight w:val="none"/>
                <w:lang w:val="en-US" w:eastAsia="zh-CN"/>
              </w:rPr>
              <w:t>：别称：双氧水、乙氧烷，水溶性：易溶于水，化学式：H2O2，密度：1.13 g/mL （ 20℃），分子量：34.01，外观：蓝色黏稠状液体（水溶液通常为无色透明液体），闪点：107.35℃，应用，物体表面消毒、化工生产、除去异味，熔点：-0.43 ℃，沸点：158 ℃，折射率，1.3350，储存：用瓶口有微孔的塑料瓶装阴凉保存，毒性：无。</w:t>
            </w:r>
          </w:p>
          <w:p w14:paraId="2D517233">
            <w:pPr>
              <w:pStyle w:val="9"/>
              <w:spacing w:line="360" w:lineRule="auto"/>
              <w:ind w:firstLine="482" w:firstLineChars="200"/>
              <w:rPr>
                <w:rFonts w:hint="eastAsia"/>
                <w:sz w:val="24"/>
                <w:szCs w:val="24"/>
              </w:rPr>
            </w:pPr>
            <w:r>
              <w:rPr>
                <w:rFonts w:hint="eastAsia"/>
                <w:b/>
                <w:bCs/>
                <w:sz w:val="24"/>
                <w:szCs w:val="24"/>
              </w:rPr>
              <w:t>PAC：</w:t>
            </w:r>
            <w:r>
              <w:rPr>
                <w:rFonts w:hint="eastAsia"/>
                <w:sz w:val="24"/>
                <w:szCs w:val="24"/>
              </w:rPr>
              <w:t>一种</w:t>
            </w:r>
            <w:r>
              <w:rPr>
                <w:rFonts w:hint="eastAsia"/>
                <w:sz w:val="24"/>
                <w:szCs w:val="24"/>
                <w:lang w:eastAsia="zh-CN"/>
              </w:rPr>
              <w:t>新型</w:t>
            </w:r>
            <w:r>
              <w:rPr>
                <w:rFonts w:hint="eastAsia"/>
                <w:sz w:val="24"/>
                <w:szCs w:val="24"/>
              </w:rPr>
              <w:t>净水材料，无机高分子混凝剂，简称聚铝，英文缩写为PAC，聚合氯化铝具有吸附、凝聚、沉淀等性能，其稳定性差，有腐蚀性，如不慎溅到皮肤上要立即用水冲洗干净。工作人员要穿工作服，戴口罩、手套，穿长筒胶靴。聚合氯化铝具有喷雾干燥稳定性好，适应水域宽，水解速度快，吸附能力强，形成矾花大，质密沉淀快，出水浊度低，脱水性能好等优点。用喷雾干燥产品可保证安全性，减少水事故，对居民饮用水非常安全可靠。</w:t>
            </w:r>
          </w:p>
          <w:p w14:paraId="0AAEE0D4">
            <w:pPr>
              <w:pStyle w:val="9"/>
              <w:spacing w:line="360" w:lineRule="auto"/>
              <w:ind w:firstLine="482" w:firstLineChars="200"/>
              <w:rPr>
                <w:sz w:val="24"/>
                <w:szCs w:val="24"/>
              </w:rPr>
            </w:pPr>
            <w:r>
              <w:rPr>
                <w:rFonts w:hint="eastAsia"/>
                <w:b/>
                <w:bCs/>
                <w:sz w:val="24"/>
                <w:szCs w:val="24"/>
              </w:rPr>
              <w:t>二氧化氯：</w:t>
            </w:r>
            <w:r>
              <w:rPr>
                <w:rFonts w:hint="eastAsia"/>
                <w:sz w:val="24"/>
                <w:szCs w:val="24"/>
              </w:rPr>
              <w:t>二氧化氯（ClO</w:t>
            </w:r>
            <w:r>
              <w:rPr>
                <w:rFonts w:hint="eastAsia"/>
                <w:sz w:val="24"/>
                <w:szCs w:val="24"/>
                <w:vertAlign w:val="subscript"/>
              </w:rPr>
              <w:t>2</w:t>
            </w:r>
            <w:r>
              <w:rPr>
                <w:rFonts w:hint="eastAsia"/>
                <w:sz w:val="24"/>
                <w:szCs w:val="24"/>
              </w:rPr>
              <w:t>）是一种黄绿色到橙黄色的气体，是国际上公认为安全、</w:t>
            </w:r>
            <w:r>
              <w:rPr>
                <w:rFonts w:hint="eastAsia"/>
                <w:sz w:val="24"/>
                <w:szCs w:val="24"/>
                <w:lang w:eastAsia="zh-CN"/>
              </w:rPr>
              <w:t>低毒</w:t>
            </w:r>
            <w:r>
              <w:rPr>
                <w:rFonts w:hint="eastAsia"/>
                <w:sz w:val="24"/>
                <w:szCs w:val="24"/>
              </w:rPr>
              <w:t>的绿色消毒剂。11℃时液化成红棕色液体，-59℃时凝固成橙红色晶体。可用作氧化剂、脱臭剂、杀生剂、保鲜剂、漂白剂等。二氧化氯因为其具有杀菌能力强，对人体及动物没有危害以及对环境不造成二次污染等特点而备受人们的青睐。二氧化氯不仅是一种不产生致癌物的广谱环保型杀菌消毒剂，而且还在杀菌、食品保鲜、除臭等方面表现出显著的效果。</w:t>
            </w:r>
          </w:p>
          <w:p w14:paraId="0CDC2BD3">
            <w:pPr>
              <w:spacing w:line="360" w:lineRule="auto"/>
              <w:ind w:firstLine="482" w:firstLineChars="200"/>
              <w:rPr>
                <w:b/>
                <w:color w:val="auto"/>
                <w:sz w:val="24"/>
              </w:rPr>
            </w:pPr>
            <w:r>
              <w:rPr>
                <w:b/>
                <w:color w:val="auto"/>
                <w:sz w:val="24"/>
              </w:rPr>
              <w:t>5 主要生产设备</w:t>
            </w:r>
          </w:p>
          <w:p w14:paraId="71FE8F3D">
            <w:pPr>
              <w:spacing w:line="360" w:lineRule="auto"/>
              <w:ind w:firstLine="480" w:firstLineChars="200"/>
              <w:rPr>
                <w:bCs/>
                <w:color w:val="auto"/>
                <w:sz w:val="24"/>
              </w:rPr>
            </w:pPr>
            <w:r>
              <w:rPr>
                <w:bCs/>
                <w:color w:val="auto"/>
                <w:sz w:val="24"/>
              </w:rPr>
              <w:t>本项目主要生产设备见下表</w:t>
            </w:r>
          </w:p>
          <w:p w14:paraId="6B29FAFA">
            <w:pPr>
              <w:ind w:firstLine="422" w:firstLineChars="200"/>
              <w:jc w:val="center"/>
              <w:rPr>
                <w:b/>
                <w:color w:val="auto"/>
                <w:szCs w:val="21"/>
              </w:rPr>
            </w:pPr>
            <w:r>
              <w:rPr>
                <w:b/>
                <w:color w:val="auto"/>
                <w:szCs w:val="21"/>
              </w:rPr>
              <w:t>表2-</w:t>
            </w:r>
            <w:r>
              <w:rPr>
                <w:rFonts w:hint="eastAsia"/>
                <w:b/>
                <w:color w:val="auto"/>
                <w:szCs w:val="21"/>
                <w:lang w:val="en-US" w:eastAsia="zh-CN"/>
              </w:rPr>
              <w:t>6</w:t>
            </w:r>
            <w:r>
              <w:rPr>
                <w:b/>
                <w:color w:val="auto"/>
                <w:szCs w:val="21"/>
              </w:rPr>
              <w:t xml:space="preserve"> 主要生产设备一览表</w:t>
            </w:r>
          </w:p>
          <w:tbl>
            <w:tblPr>
              <w:tblStyle w:val="14"/>
              <w:tblW w:w="495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64"/>
              <w:gridCol w:w="3526"/>
              <w:gridCol w:w="1640"/>
              <w:gridCol w:w="1603"/>
            </w:tblGrid>
            <w:tr w14:paraId="56BD4D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1364" w:type="dxa"/>
                  <w:tcBorders>
                    <w:tl2br w:val="nil"/>
                    <w:tr2bl w:val="nil"/>
                  </w:tcBorders>
                  <w:noWrap/>
                  <w:vAlign w:val="center"/>
                </w:tcPr>
                <w:p w14:paraId="48321A84">
                  <w:pPr>
                    <w:widowControl/>
                    <w:jc w:val="center"/>
                    <w:rPr>
                      <w:rFonts w:hint="default" w:ascii="Times New Roman" w:hAnsi="Times New Roman" w:cs="Times New Roman"/>
                      <w:b/>
                      <w:bCs/>
                      <w:color w:val="auto"/>
                      <w:kern w:val="0"/>
                      <w:szCs w:val="21"/>
                      <w:highlight w:val="none"/>
                    </w:rPr>
                  </w:pPr>
                  <w:r>
                    <w:rPr>
                      <w:rFonts w:hint="default" w:ascii="Times New Roman" w:hAnsi="Times New Roman" w:cs="Times New Roman"/>
                      <w:b/>
                      <w:bCs/>
                      <w:color w:val="auto"/>
                      <w:kern w:val="0"/>
                      <w:szCs w:val="21"/>
                      <w:highlight w:val="none"/>
                    </w:rPr>
                    <w:t>序号</w:t>
                  </w:r>
                </w:p>
              </w:tc>
              <w:tc>
                <w:tcPr>
                  <w:tcW w:w="3526" w:type="dxa"/>
                  <w:tcBorders>
                    <w:tl2br w:val="nil"/>
                    <w:tr2bl w:val="nil"/>
                  </w:tcBorders>
                  <w:noWrap/>
                  <w:vAlign w:val="center"/>
                </w:tcPr>
                <w:p w14:paraId="54974A32">
                  <w:pPr>
                    <w:keepNext w:val="0"/>
                    <w:keepLines w:val="0"/>
                    <w:widowControl/>
                    <w:suppressLineNumbers w:val="0"/>
                    <w:jc w:val="center"/>
                    <w:textAlignment w:val="center"/>
                    <w:rPr>
                      <w:rFonts w:hint="default" w:ascii="Times New Roman" w:hAnsi="Times New Roman" w:eastAsia="宋体" w:cs="Times New Roman"/>
                      <w:b/>
                      <w:i w:val="0"/>
                      <w:color w:val="auto"/>
                      <w:kern w:val="2"/>
                      <w:sz w:val="21"/>
                      <w:szCs w:val="21"/>
                      <w:highlight w:val="none"/>
                      <w:u w:val="none"/>
                      <w:lang w:val="en-US" w:eastAsia="zh-CN" w:bidi="ar-SA"/>
                    </w:rPr>
                  </w:pPr>
                  <w:r>
                    <w:rPr>
                      <w:rFonts w:hint="default" w:ascii="Times New Roman" w:hAnsi="Times New Roman" w:eastAsia="宋体" w:cs="Times New Roman"/>
                      <w:b/>
                      <w:i w:val="0"/>
                      <w:color w:val="auto"/>
                      <w:kern w:val="0"/>
                      <w:sz w:val="21"/>
                      <w:szCs w:val="21"/>
                      <w:highlight w:val="none"/>
                      <w:u w:val="none"/>
                      <w:lang w:val="en-US" w:eastAsia="zh-CN" w:bidi="ar"/>
                    </w:rPr>
                    <w:t>设备名称</w:t>
                  </w:r>
                </w:p>
              </w:tc>
              <w:tc>
                <w:tcPr>
                  <w:tcW w:w="1640" w:type="dxa"/>
                  <w:tcBorders>
                    <w:tl2br w:val="nil"/>
                    <w:tr2bl w:val="nil"/>
                  </w:tcBorders>
                  <w:noWrap/>
                  <w:vAlign w:val="center"/>
                </w:tcPr>
                <w:p w14:paraId="16D4ABEF">
                  <w:pPr>
                    <w:keepNext w:val="0"/>
                    <w:keepLines w:val="0"/>
                    <w:widowControl/>
                    <w:suppressLineNumbers w:val="0"/>
                    <w:jc w:val="center"/>
                    <w:textAlignment w:val="center"/>
                    <w:rPr>
                      <w:rFonts w:hint="default" w:ascii="Times New Roman" w:hAnsi="Times New Roman" w:eastAsia="宋体" w:cs="Times New Roman"/>
                      <w:b/>
                      <w:i w:val="0"/>
                      <w:color w:val="auto"/>
                      <w:kern w:val="2"/>
                      <w:sz w:val="21"/>
                      <w:szCs w:val="21"/>
                      <w:highlight w:val="none"/>
                      <w:u w:val="none"/>
                      <w:lang w:val="en-US" w:eastAsia="zh-CN" w:bidi="ar-SA"/>
                    </w:rPr>
                  </w:pPr>
                  <w:r>
                    <w:rPr>
                      <w:rFonts w:hint="default" w:ascii="Times New Roman" w:hAnsi="Times New Roman" w:eastAsia="宋体" w:cs="Times New Roman"/>
                      <w:b/>
                      <w:i w:val="0"/>
                      <w:color w:val="auto"/>
                      <w:kern w:val="0"/>
                      <w:sz w:val="21"/>
                      <w:szCs w:val="21"/>
                      <w:highlight w:val="none"/>
                      <w:u w:val="none"/>
                      <w:lang w:val="en-US" w:eastAsia="zh-CN" w:bidi="ar"/>
                    </w:rPr>
                    <w:t>数量</w:t>
                  </w:r>
                </w:p>
              </w:tc>
              <w:tc>
                <w:tcPr>
                  <w:tcW w:w="1603" w:type="dxa"/>
                  <w:tcBorders>
                    <w:tl2br w:val="nil"/>
                    <w:tr2bl w:val="nil"/>
                  </w:tcBorders>
                  <w:noWrap/>
                  <w:vAlign w:val="center"/>
                </w:tcPr>
                <w:p w14:paraId="10505D54">
                  <w:pPr>
                    <w:keepNext w:val="0"/>
                    <w:keepLines w:val="0"/>
                    <w:widowControl/>
                    <w:suppressLineNumbers w:val="0"/>
                    <w:jc w:val="center"/>
                    <w:textAlignment w:val="center"/>
                    <w:rPr>
                      <w:rFonts w:hint="default" w:ascii="Times New Roman" w:hAnsi="Times New Roman" w:eastAsia="宋体" w:cs="Times New Roman"/>
                      <w:b/>
                      <w:i w:val="0"/>
                      <w:color w:val="auto"/>
                      <w:kern w:val="2"/>
                      <w:sz w:val="21"/>
                      <w:szCs w:val="21"/>
                      <w:highlight w:val="none"/>
                      <w:u w:val="none"/>
                      <w:lang w:val="en-US" w:eastAsia="zh-CN" w:bidi="ar-SA"/>
                    </w:rPr>
                  </w:pPr>
                  <w:r>
                    <w:rPr>
                      <w:rFonts w:hint="default" w:ascii="Times New Roman" w:hAnsi="Times New Roman" w:eastAsia="宋体" w:cs="Times New Roman"/>
                      <w:b/>
                      <w:i w:val="0"/>
                      <w:color w:val="auto"/>
                      <w:kern w:val="0"/>
                      <w:sz w:val="21"/>
                      <w:szCs w:val="21"/>
                      <w:highlight w:val="none"/>
                      <w:u w:val="none"/>
                      <w:lang w:val="en-US" w:eastAsia="zh-CN" w:bidi="ar"/>
                    </w:rPr>
                    <w:t>单位</w:t>
                  </w:r>
                </w:p>
              </w:tc>
            </w:tr>
            <w:tr w14:paraId="15A1EB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1364" w:type="dxa"/>
                  <w:tcBorders>
                    <w:tl2br w:val="nil"/>
                    <w:tr2bl w:val="nil"/>
                  </w:tcBorders>
                  <w:noWrap/>
                  <w:vAlign w:val="center"/>
                </w:tcPr>
                <w:p w14:paraId="7FCFF199">
                  <w:pPr>
                    <w:widowControl/>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1</w:t>
                  </w:r>
                </w:p>
              </w:tc>
              <w:tc>
                <w:tcPr>
                  <w:tcW w:w="3526" w:type="dxa"/>
                  <w:tcBorders>
                    <w:tl2br w:val="nil"/>
                    <w:tr2bl w:val="nil"/>
                  </w:tcBorders>
                  <w:noWrap/>
                  <w:vAlign w:val="center"/>
                </w:tcPr>
                <w:p w14:paraId="6369A60A">
                  <w:pPr>
                    <w:spacing w:line="240" w:lineRule="auto"/>
                    <w:jc w:val="center"/>
                    <w:rPr>
                      <w:rFonts w:hint="default" w:ascii="Times New Roman" w:hAnsi="Times New Roman" w:eastAsia="宋体" w:cs="Times New Roman"/>
                      <w:i w:val="0"/>
                      <w:color w:val="auto"/>
                      <w:kern w:val="2"/>
                      <w:sz w:val="21"/>
                      <w:szCs w:val="21"/>
                      <w:highlight w:val="none"/>
                      <w:u w:val="none"/>
                      <w:lang w:val="en-US" w:eastAsia="zh-CN" w:bidi="ar-SA"/>
                    </w:rPr>
                  </w:pPr>
                  <w:r>
                    <w:rPr>
                      <w:rFonts w:hint="eastAsia" w:ascii="Times New Roman" w:hAnsi="Times New Roman" w:eastAsia="宋体" w:cs="Times New Roman"/>
                      <w:b w:val="0"/>
                      <w:bCs/>
                      <w:color w:val="auto"/>
                      <w:sz w:val="21"/>
                      <w:szCs w:val="21"/>
                      <w:lang w:val="en-US" w:eastAsia="zh-CN"/>
                    </w:rPr>
                    <w:t>供氧装置</w:t>
                  </w:r>
                </w:p>
              </w:tc>
              <w:tc>
                <w:tcPr>
                  <w:tcW w:w="1640" w:type="dxa"/>
                  <w:tcBorders>
                    <w:tl2br w:val="nil"/>
                    <w:tr2bl w:val="nil"/>
                  </w:tcBorders>
                  <w:noWrap/>
                  <w:vAlign w:val="center"/>
                </w:tcPr>
                <w:p w14:paraId="668824DB">
                  <w:pPr>
                    <w:keepNext w:val="0"/>
                    <w:keepLines w:val="0"/>
                    <w:widowControl/>
                    <w:suppressLineNumbers w:val="0"/>
                    <w:jc w:val="center"/>
                    <w:textAlignment w:val="center"/>
                    <w:rPr>
                      <w:rFonts w:hint="default" w:ascii="Times New Roman" w:hAnsi="Times New Roman" w:eastAsia="宋体" w:cs="Times New Roman"/>
                      <w:i w:val="0"/>
                      <w:color w:val="auto"/>
                      <w:kern w:val="2"/>
                      <w:sz w:val="21"/>
                      <w:szCs w:val="21"/>
                      <w:highlight w:val="none"/>
                      <w:u w:val="none"/>
                      <w:lang w:val="en-US" w:eastAsia="zh-CN" w:bidi="ar-SA"/>
                    </w:rPr>
                  </w:pPr>
                  <w:r>
                    <w:rPr>
                      <w:rFonts w:hint="eastAsia" w:ascii="Times New Roman" w:hAnsi="Times New Roman" w:eastAsia="宋体" w:cs="Times New Roman"/>
                      <w:i w:val="0"/>
                      <w:color w:val="auto"/>
                      <w:kern w:val="0"/>
                      <w:sz w:val="21"/>
                      <w:szCs w:val="21"/>
                      <w:highlight w:val="none"/>
                      <w:u w:val="none"/>
                      <w:lang w:val="en-US" w:eastAsia="zh-CN" w:bidi="ar"/>
                    </w:rPr>
                    <w:t>1</w:t>
                  </w:r>
                </w:p>
              </w:tc>
              <w:tc>
                <w:tcPr>
                  <w:tcW w:w="1603" w:type="dxa"/>
                  <w:tcBorders>
                    <w:tl2br w:val="nil"/>
                    <w:tr2bl w:val="nil"/>
                  </w:tcBorders>
                  <w:noWrap/>
                  <w:vAlign w:val="center"/>
                </w:tcPr>
                <w:p w14:paraId="042BEF26">
                  <w:pPr>
                    <w:keepNext w:val="0"/>
                    <w:keepLines w:val="0"/>
                    <w:widowControl/>
                    <w:suppressLineNumbers w:val="0"/>
                    <w:jc w:val="center"/>
                    <w:textAlignment w:val="center"/>
                    <w:rPr>
                      <w:rFonts w:hint="default" w:ascii="Times New Roman" w:hAnsi="Times New Roman" w:eastAsia="宋体" w:cs="Times New Roman"/>
                      <w:i w:val="0"/>
                      <w:color w:val="auto"/>
                      <w:kern w:val="2"/>
                      <w:sz w:val="21"/>
                      <w:szCs w:val="21"/>
                      <w:highlight w:val="none"/>
                      <w:u w:val="none"/>
                      <w:lang w:val="en-US" w:eastAsia="zh-CN" w:bidi="ar-SA"/>
                    </w:rPr>
                  </w:pPr>
                  <w:r>
                    <w:rPr>
                      <w:rFonts w:hint="default" w:ascii="Times New Roman" w:hAnsi="Times New Roman" w:eastAsia="宋体" w:cs="Times New Roman"/>
                      <w:i w:val="0"/>
                      <w:color w:val="auto"/>
                      <w:kern w:val="0"/>
                      <w:sz w:val="21"/>
                      <w:szCs w:val="21"/>
                      <w:highlight w:val="none"/>
                      <w:u w:val="none"/>
                      <w:lang w:val="en-US" w:eastAsia="zh-CN" w:bidi="ar"/>
                    </w:rPr>
                    <w:t>台</w:t>
                  </w:r>
                </w:p>
              </w:tc>
            </w:tr>
            <w:tr w14:paraId="1E9207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1364" w:type="dxa"/>
                  <w:tcBorders>
                    <w:tl2br w:val="nil"/>
                    <w:tr2bl w:val="nil"/>
                  </w:tcBorders>
                  <w:noWrap/>
                  <w:vAlign w:val="center"/>
                </w:tcPr>
                <w:p w14:paraId="3294A920">
                  <w:pPr>
                    <w:widowControl/>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2</w:t>
                  </w:r>
                </w:p>
              </w:tc>
              <w:tc>
                <w:tcPr>
                  <w:tcW w:w="3526" w:type="dxa"/>
                  <w:tcBorders>
                    <w:tl2br w:val="nil"/>
                    <w:tr2bl w:val="nil"/>
                  </w:tcBorders>
                  <w:noWrap/>
                  <w:vAlign w:val="center"/>
                </w:tcPr>
                <w:p w14:paraId="134C4816">
                  <w:pPr>
                    <w:spacing w:line="240" w:lineRule="auto"/>
                    <w:jc w:val="center"/>
                    <w:rPr>
                      <w:rFonts w:hint="default" w:ascii="Times New Roman" w:hAnsi="Times New Roman" w:eastAsia="宋体" w:cs="Times New Roman"/>
                      <w:i w:val="0"/>
                      <w:color w:val="auto"/>
                      <w:kern w:val="2"/>
                      <w:sz w:val="21"/>
                      <w:szCs w:val="21"/>
                      <w:highlight w:val="none"/>
                      <w:u w:val="none"/>
                      <w:lang w:val="en-US" w:eastAsia="zh-CN" w:bidi="ar-SA"/>
                    </w:rPr>
                  </w:pPr>
                  <w:r>
                    <w:rPr>
                      <w:rFonts w:hint="eastAsia" w:ascii="Times New Roman" w:hAnsi="Times New Roman" w:eastAsia="宋体" w:cs="Times New Roman"/>
                      <w:b w:val="0"/>
                      <w:bCs/>
                      <w:color w:val="auto"/>
                      <w:sz w:val="21"/>
                      <w:szCs w:val="21"/>
                      <w:lang w:val="en-US" w:eastAsia="zh-CN"/>
                    </w:rPr>
                    <w:t>电动吸引器</w:t>
                  </w:r>
                </w:p>
              </w:tc>
              <w:tc>
                <w:tcPr>
                  <w:tcW w:w="1640" w:type="dxa"/>
                  <w:tcBorders>
                    <w:tl2br w:val="nil"/>
                    <w:tr2bl w:val="nil"/>
                  </w:tcBorders>
                  <w:noWrap/>
                  <w:vAlign w:val="center"/>
                </w:tcPr>
                <w:p w14:paraId="4B8EEB1D">
                  <w:pPr>
                    <w:keepNext w:val="0"/>
                    <w:keepLines w:val="0"/>
                    <w:widowControl/>
                    <w:suppressLineNumbers w:val="0"/>
                    <w:jc w:val="center"/>
                    <w:textAlignment w:val="center"/>
                    <w:rPr>
                      <w:rFonts w:hint="default" w:ascii="Times New Roman" w:hAnsi="Times New Roman" w:eastAsia="宋体" w:cs="Times New Roman"/>
                      <w:i w:val="0"/>
                      <w:color w:val="auto"/>
                      <w:kern w:val="2"/>
                      <w:sz w:val="21"/>
                      <w:szCs w:val="21"/>
                      <w:highlight w:val="none"/>
                      <w:u w:val="none"/>
                      <w:lang w:val="en-US" w:eastAsia="zh-CN" w:bidi="ar-SA"/>
                    </w:rPr>
                  </w:pPr>
                  <w:r>
                    <w:rPr>
                      <w:rFonts w:hint="eastAsia" w:ascii="Times New Roman" w:hAnsi="Times New Roman" w:eastAsia="宋体" w:cs="Times New Roman"/>
                      <w:i w:val="0"/>
                      <w:color w:val="auto"/>
                      <w:kern w:val="0"/>
                      <w:sz w:val="21"/>
                      <w:szCs w:val="21"/>
                      <w:highlight w:val="none"/>
                      <w:u w:val="none"/>
                      <w:lang w:val="en-US" w:eastAsia="zh-CN" w:bidi="ar"/>
                    </w:rPr>
                    <w:t>1</w:t>
                  </w:r>
                </w:p>
              </w:tc>
              <w:tc>
                <w:tcPr>
                  <w:tcW w:w="1603" w:type="dxa"/>
                  <w:tcBorders>
                    <w:tl2br w:val="nil"/>
                    <w:tr2bl w:val="nil"/>
                  </w:tcBorders>
                  <w:noWrap/>
                  <w:vAlign w:val="center"/>
                </w:tcPr>
                <w:p w14:paraId="253287C0">
                  <w:pPr>
                    <w:keepNext w:val="0"/>
                    <w:keepLines w:val="0"/>
                    <w:widowControl/>
                    <w:suppressLineNumbers w:val="0"/>
                    <w:jc w:val="center"/>
                    <w:textAlignment w:val="center"/>
                    <w:rPr>
                      <w:rFonts w:hint="default" w:ascii="Times New Roman" w:hAnsi="Times New Roman" w:eastAsia="宋体" w:cs="Times New Roman"/>
                      <w:i w:val="0"/>
                      <w:color w:val="auto"/>
                      <w:kern w:val="2"/>
                      <w:sz w:val="21"/>
                      <w:szCs w:val="21"/>
                      <w:highlight w:val="none"/>
                      <w:u w:val="none"/>
                      <w:lang w:val="en-US" w:eastAsia="zh-CN" w:bidi="ar-SA"/>
                    </w:rPr>
                  </w:pPr>
                  <w:r>
                    <w:rPr>
                      <w:rFonts w:hint="default" w:ascii="Times New Roman" w:hAnsi="Times New Roman" w:eastAsia="宋体" w:cs="Times New Roman"/>
                      <w:i w:val="0"/>
                      <w:color w:val="auto"/>
                      <w:kern w:val="0"/>
                      <w:sz w:val="21"/>
                      <w:szCs w:val="21"/>
                      <w:highlight w:val="none"/>
                      <w:u w:val="none"/>
                      <w:lang w:val="en-US" w:eastAsia="zh-CN" w:bidi="ar"/>
                    </w:rPr>
                    <w:t>台</w:t>
                  </w:r>
                </w:p>
              </w:tc>
            </w:tr>
            <w:tr w14:paraId="582EC7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1364" w:type="dxa"/>
                  <w:tcBorders>
                    <w:tl2br w:val="nil"/>
                    <w:tr2bl w:val="nil"/>
                  </w:tcBorders>
                  <w:noWrap/>
                  <w:vAlign w:val="center"/>
                </w:tcPr>
                <w:p w14:paraId="20BF3D61">
                  <w:pPr>
                    <w:widowControl/>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3</w:t>
                  </w:r>
                </w:p>
              </w:tc>
              <w:tc>
                <w:tcPr>
                  <w:tcW w:w="3526" w:type="dxa"/>
                  <w:tcBorders>
                    <w:tl2br w:val="nil"/>
                    <w:tr2bl w:val="nil"/>
                  </w:tcBorders>
                  <w:noWrap/>
                  <w:vAlign w:val="center"/>
                </w:tcPr>
                <w:p w14:paraId="7340FB1F">
                  <w:pPr>
                    <w:spacing w:line="240" w:lineRule="auto"/>
                    <w:jc w:val="center"/>
                    <w:rPr>
                      <w:rFonts w:hint="default" w:ascii="Times New Roman" w:hAnsi="Times New Roman" w:eastAsia="宋体" w:cs="Times New Roman"/>
                      <w:i w:val="0"/>
                      <w:color w:val="auto"/>
                      <w:kern w:val="2"/>
                      <w:sz w:val="21"/>
                      <w:szCs w:val="21"/>
                      <w:highlight w:val="none"/>
                      <w:u w:val="none"/>
                      <w:lang w:val="en-US" w:eastAsia="zh-CN" w:bidi="ar-SA"/>
                    </w:rPr>
                  </w:pPr>
                  <w:r>
                    <w:rPr>
                      <w:rFonts w:hint="eastAsia" w:ascii="Times New Roman" w:hAnsi="Times New Roman" w:eastAsia="宋体" w:cs="Times New Roman"/>
                      <w:b w:val="0"/>
                      <w:bCs/>
                      <w:color w:val="auto"/>
                      <w:sz w:val="21"/>
                      <w:szCs w:val="21"/>
                      <w:lang w:val="en-US" w:eastAsia="zh-CN"/>
                    </w:rPr>
                    <w:t>洗胃机</w:t>
                  </w:r>
                </w:p>
              </w:tc>
              <w:tc>
                <w:tcPr>
                  <w:tcW w:w="1640" w:type="dxa"/>
                  <w:tcBorders>
                    <w:tl2br w:val="nil"/>
                    <w:tr2bl w:val="nil"/>
                  </w:tcBorders>
                  <w:noWrap/>
                  <w:vAlign w:val="center"/>
                </w:tcPr>
                <w:p w14:paraId="62011656">
                  <w:pPr>
                    <w:keepNext w:val="0"/>
                    <w:keepLines w:val="0"/>
                    <w:widowControl/>
                    <w:suppressLineNumbers w:val="0"/>
                    <w:jc w:val="center"/>
                    <w:textAlignment w:val="center"/>
                    <w:rPr>
                      <w:rFonts w:hint="default" w:ascii="Times New Roman" w:hAnsi="Times New Roman" w:eastAsia="宋体" w:cs="Times New Roman"/>
                      <w:i w:val="0"/>
                      <w:color w:val="auto"/>
                      <w:kern w:val="2"/>
                      <w:sz w:val="21"/>
                      <w:szCs w:val="21"/>
                      <w:highlight w:val="none"/>
                      <w:u w:val="none"/>
                      <w:lang w:val="en-US" w:eastAsia="zh-CN" w:bidi="ar-SA"/>
                    </w:rPr>
                  </w:pPr>
                  <w:r>
                    <w:rPr>
                      <w:rFonts w:hint="eastAsia" w:ascii="Times New Roman" w:hAnsi="Times New Roman" w:eastAsia="宋体" w:cs="Times New Roman"/>
                      <w:i w:val="0"/>
                      <w:color w:val="auto"/>
                      <w:kern w:val="0"/>
                      <w:sz w:val="21"/>
                      <w:szCs w:val="21"/>
                      <w:highlight w:val="none"/>
                      <w:u w:val="none"/>
                      <w:lang w:val="en-US" w:eastAsia="zh-CN" w:bidi="ar"/>
                    </w:rPr>
                    <w:t>1</w:t>
                  </w:r>
                </w:p>
              </w:tc>
              <w:tc>
                <w:tcPr>
                  <w:tcW w:w="1603" w:type="dxa"/>
                  <w:tcBorders>
                    <w:tl2br w:val="nil"/>
                    <w:tr2bl w:val="nil"/>
                  </w:tcBorders>
                  <w:noWrap/>
                  <w:vAlign w:val="center"/>
                </w:tcPr>
                <w:p w14:paraId="5CC6BBB9">
                  <w:pPr>
                    <w:keepNext w:val="0"/>
                    <w:keepLines w:val="0"/>
                    <w:widowControl/>
                    <w:suppressLineNumbers w:val="0"/>
                    <w:jc w:val="center"/>
                    <w:textAlignment w:val="center"/>
                    <w:rPr>
                      <w:rFonts w:hint="default" w:ascii="Times New Roman" w:hAnsi="Times New Roman" w:eastAsia="宋体" w:cs="Times New Roman"/>
                      <w:i w:val="0"/>
                      <w:color w:val="auto"/>
                      <w:kern w:val="2"/>
                      <w:sz w:val="21"/>
                      <w:szCs w:val="21"/>
                      <w:highlight w:val="none"/>
                      <w:u w:val="none"/>
                      <w:lang w:val="en-US" w:eastAsia="zh-CN" w:bidi="ar-SA"/>
                    </w:rPr>
                  </w:pPr>
                  <w:r>
                    <w:rPr>
                      <w:rFonts w:hint="default" w:ascii="Times New Roman" w:hAnsi="Times New Roman" w:eastAsia="宋体" w:cs="Times New Roman"/>
                      <w:i w:val="0"/>
                      <w:color w:val="auto"/>
                      <w:kern w:val="0"/>
                      <w:sz w:val="21"/>
                      <w:szCs w:val="21"/>
                      <w:highlight w:val="none"/>
                      <w:u w:val="none"/>
                      <w:lang w:val="en-US" w:eastAsia="zh-CN" w:bidi="ar"/>
                    </w:rPr>
                    <w:t>台</w:t>
                  </w:r>
                </w:p>
              </w:tc>
            </w:tr>
            <w:tr w14:paraId="4F1000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1364" w:type="dxa"/>
                  <w:tcBorders>
                    <w:tl2br w:val="nil"/>
                    <w:tr2bl w:val="nil"/>
                  </w:tcBorders>
                  <w:noWrap/>
                  <w:vAlign w:val="center"/>
                </w:tcPr>
                <w:p w14:paraId="49570AEB">
                  <w:pPr>
                    <w:widowControl/>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4</w:t>
                  </w:r>
                </w:p>
              </w:tc>
              <w:tc>
                <w:tcPr>
                  <w:tcW w:w="3526" w:type="dxa"/>
                  <w:tcBorders>
                    <w:tl2br w:val="nil"/>
                    <w:tr2bl w:val="nil"/>
                  </w:tcBorders>
                  <w:noWrap/>
                  <w:vAlign w:val="center"/>
                </w:tcPr>
                <w:p w14:paraId="73883FAF">
                  <w:pPr>
                    <w:spacing w:line="240" w:lineRule="auto"/>
                    <w:jc w:val="center"/>
                    <w:rPr>
                      <w:rFonts w:hint="default" w:ascii="Times New Roman" w:hAnsi="Times New Roman" w:eastAsia="宋体" w:cs="Times New Roman"/>
                      <w:i w:val="0"/>
                      <w:color w:val="auto"/>
                      <w:kern w:val="2"/>
                      <w:sz w:val="21"/>
                      <w:szCs w:val="21"/>
                      <w:highlight w:val="none"/>
                      <w:u w:val="none"/>
                      <w:lang w:val="en-US" w:eastAsia="zh-CN" w:bidi="ar-SA"/>
                    </w:rPr>
                  </w:pPr>
                  <w:r>
                    <w:rPr>
                      <w:rFonts w:hint="eastAsia" w:ascii="Times New Roman" w:hAnsi="Times New Roman" w:eastAsia="宋体" w:cs="Times New Roman"/>
                      <w:b w:val="0"/>
                      <w:bCs/>
                      <w:color w:val="auto"/>
                      <w:sz w:val="21"/>
                      <w:szCs w:val="21"/>
                      <w:lang w:val="en-US" w:eastAsia="zh-CN"/>
                    </w:rPr>
                    <w:t>五官检查器</w:t>
                  </w:r>
                </w:p>
              </w:tc>
              <w:tc>
                <w:tcPr>
                  <w:tcW w:w="1640" w:type="dxa"/>
                  <w:tcBorders>
                    <w:tl2br w:val="nil"/>
                    <w:tr2bl w:val="nil"/>
                  </w:tcBorders>
                  <w:noWrap/>
                  <w:vAlign w:val="center"/>
                </w:tcPr>
                <w:p w14:paraId="22856D20">
                  <w:pPr>
                    <w:keepNext w:val="0"/>
                    <w:keepLines w:val="0"/>
                    <w:widowControl/>
                    <w:suppressLineNumbers w:val="0"/>
                    <w:jc w:val="center"/>
                    <w:textAlignment w:val="center"/>
                    <w:rPr>
                      <w:rFonts w:hint="default" w:ascii="Times New Roman" w:hAnsi="Times New Roman" w:eastAsia="宋体" w:cs="Times New Roman"/>
                      <w:i w:val="0"/>
                      <w:color w:val="auto"/>
                      <w:kern w:val="2"/>
                      <w:sz w:val="21"/>
                      <w:szCs w:val="21"/>
                      <w:highlight w:val="none"/>
                      <w:u w:val="none"/>
                      <w:lang w:val="en-US" w:eastAsia="zh-CN" w:bidi="ar-SA"/>
                    </w:rPr>
                  </w:pPr>
                  <w:r>
                    <w:rPr>
                      <w:rFonts w:hint="eastAsia" w:ascii="Times New Roman" w:hAnsi="Times New Roman" w:eastAsia="宋体" w:cs="Times New Roman"/>
                      <w:i w:val="0"/>
                      <w:color w:val="auto"/>
                      <w:kern w:val="0"/>
                      <w:sz w:val="21"/>
                      <w:szCs w:val="21"/>
                      <w:highlight w:val="none"/>
                      <w:u w:val="none"/>
                      <w:lang w:val="en-US" w:eastAsia="zh-CN" w:bidi="ar"/>
                    </w:rPr>
                    <w:t>1</w:t>
                  </w:r>
                </w:p>
              </w:tc>
              <w:tc>
                <w:tcPr>
                  <w:tcW w:w="1603" w:type="dxa"/>
                  <w:tcBorders>
                    <w:tl2br w:val="nil"/>
                    <w:tr2bl w:val="nil"/>
                  </w:tcBorders>
                  <w:noWrap/>
                  <w:vAlign w:val="center"/>
                </w:tcPr>
                <w:p w14:paraId="625A8952">
                  <w:pPr>
                    <w:keepNext w:val="0"/>
                    <w:keepLines w:val="0"/>
                    <w:widowControl/>
                    <w:suppressLineNumbers w:val="0"/>
                    <w:jc w:val="center"/>
                    <w:textAlignment w:val="center"/>
                    <w:rPr>
                      <w:rFonts w:hint="default" w:ascii="Times New Roman" w:hAnsi="Times New Roman" w:eastAsia="宋体" w:cs="Times New Roman"/>
                      <w:i w:val="0"/>
                      <w:color w:val="auto"/>
                      <w:kern w:val="2"/>
                      <w:sz w:val="21"/>
                      <w:szCs w:val="21"/>
                      <w:highlight w:val="none"/>
                      <w:u w:val="none"/>
                      <w:lang w:val="en-US" w:eastAsia="zh-CN" w:bidi="ar-SA"/>
                    </w:rPr>
                  </w:pPr>
                  <w:r>
                    <w:rPr>
                      <w:rFonts w:hint="default" w:ascii="Times New Roman" w:hAnsi="Times New Roman" w:eastAsia="宋体" w:cs="Times New Roman"/>
                      <w:i w:val="0"/>
                      <w:color w:val="auto"/>
                      <w:kern w:val="0"/>
                      <w:sz w:val="21"/>
                      <w:szCs w:val="21"/>
                      <w:highlight w:val="none"/>
                      <w:u w:val="none"/>
                      <w:lang w:val="en-US" w:eastAsia="zh-CN" w:bidi="ar"/>
                    </w:rPr>
                    <w:t>台</w:t>
                  </w:r>
                </w:p>
              </w:tc>
            </w:tr>
            <w:tr w14:paraId="512297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1364" w:type="dxa"/>
                  <w:tcBorders>
                    <w:tl2br w:val="nil"/>
                    <w:tr2bl w:val="nil"/>
                  </w:tcBorders>
                  <w:noWrap/>
                  <w:vAlign w:val="center"/>
                </w:tcPr>
                <w:p w14:paraId="4FBF3A47">
                  <w:pPr>
                    <w:widowControl/>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5</w:t>
                  </w:r>
                </w:p>
              </w:tc>
              <w:tc>
                <w:tcPr>
                  <w:tcW w:w="3526" w:type="dxa"/>
                  <w:tcBorders>
                    <w:tl2br w:val="nil"/>
                    <w:tr2bl w:val="nil"/>
                  </w:tcBorders>
                  <w:noWrap/>
                  <w:vAlign w:val="center"/>
                </w:tcPr>
                <w:p w14:paraId="26C22D78">
                  <w:pPr>
                    <w:spacing w:line="240" w:lineRule="auto"/>
                    <w:jc w:val="center"/>
                    <w:rPr>
                      <w:rFonts w:hint="default" w:ascii="Times New Roman" w:hAnsi="Times New Roman" w:eastAsia="宋体" w:cs="Times New Roman"/>
                      <w:i w:val="0"/>
                      <w:color w:val="auto"/>
                      <w:kern w:val="2"/>
                      <w:sz w:val="21"/>
                      <w:szCs w:val="21"/>
                      <w:highlight w:val="none"/>
                      <w:u w:val="none"/>
                      <w:lang w:val="en-US" w:eastAsia="zh-CN" w:bidi="ar-SA"/>
                    </w:rPr>
                  </w:pPr>
                  <w:r>
                    <w:rPr>
                      <w:rFonts w:hint="eastAsia" w:ascii="Times New Roman" w:hAnsi="Times New Roman" w:eastAsia="宋体" w:cs="Times New Roman"/>
                      <w:b w:val="0"/>
                      <w:bCs/>
                      <w:color w:val="auto"/>
                      <w:sz w:val="21"/>
                      <w:szCs w:val="21"/>
                      <w:lang w:val="en-US" w:eastAsia="zh-CN"/>
                    </w:rPr>
                    <w:t>呼吸机</w:t>
                  </w:r>
                </w:p>
              </w:tc>
              <w:tc>
                <w:tcPr>
                  <w:tcW w:w="1640" w:type="dxa"/>
                  <w:tcBorders>
                    <w:tl2br w:val="nil"/>
                    <w:tr2bl w:val="nil"/>
                  </w:tcBorders>
                  <w:noWrap/>
                  <w:vAlign w:val="center"/>
                </w:tcPr>
                <w:p w14:paraId="16CF4F7E">
                  <w:pPr>
                    <w:keepNext w:val="0"/>
                    <w:keepLines w:val="0"/>
                    <w:widowControl/>
                    <w:suppressLineNumbers w:val="0"/>
                    <w:jc w:val="center"/>
                    <w:textAlignment w:val="center"/>
                    <w:rPr>
                      <w:rFonts w:hint="default" w:ascii="Times New Roman" w:hAnsi="Times New Roman" w:eastAsia="宋体" w:cs="Times New Roman"/>
                      <w:i w:val="0"/>
                      <w:color w:val="auto"/>
                      <w:kern w:val="2"/>
                      <w:sz w:val="21"/>
                      <w:szCs w:val="21"/>
                      <w:highlight w:val="none"/>
                      <w:u w:val="none"/>
                      <w:lang w:val="en-US" w:eastAsia="zh-CN" w:bidi="ar-SA"/>
                    </w:rPr>
                  </w:pPr>
                  <w:r>
                    <w:rPr>
                      <w:rFonts w:hint="eastAsia" w:ascii="Times New Roman" w:hAnsi="Times New Roman" w:eastAsia="宋体" w:cs="Times New Roman"/>
                      <w:i w:val="0"/>
                      <w:color w:val="auto"/>
                      <w:kern w:val="0"/>
                      <w:sz w:val="21"/>
                      <w:szCs w:val="21"/>
                      <w:highlight w:val="none"/>
                      <w:u w:val="none"/>
                      <w:lang w:val="en-US" w:eastAsia="zh-CN" w:bidi="ar"/>
                    </w:rPr>
                    <w:t>1</w:t>
                  </w:r>
                </w:p>
              </w:tc>
              <w:tc>
                <w:tcPr>
                  <w:tcW w:w="1603" w:type="dxa"/>
                  <w:tcBorders>
                    <w:tl2br w:val="nil"/>
                    <w:tr2bl w:val="nil"/>
                  </w:tcBorders>
                  <w:noWrap/>
                  <w:vAlign w:val="center"/>
                </w:tcPr>
                <w:p w14:paraId="4A44CD6D">
                  <w:pPr>
                    <w:keepNext w:val="0"/>
                    <w:keepLines w:val="0"/>
                    <w:widowControl/>
                    <w:suppressLineNumbers w:val="0"/>
                    <w:jc w:val="center"/>
                    <w:textAlignment w:val="center"/>
                    <w:rPr>
                      <w:rFonts w:hint="default" w:ascii="Times New Roman" w:hAnsi="Times New Roman" w:eastAsia="宋体" w:cs="Times New Roman"/>
                      <w:i w:val="0"/>
                      <w:color w:val="auto"/>
                      <w:kern w:val="2"/>
                      <w:sz w:val="21"/>
                      <w:szCs w:val="21"/>
                      <w:highlight w:val="none"/>
                      <w:u w:val="none"/>
                      <w:lang w:val="en-US" w:eastAsia="zh-CN" w:bidi="ar-SA"/>
                    </w:rPr>
                  </w:pPr>
                  <w:r>
                    <w:rPr>
                      <w:rFonts w:hint="default" w:ascii="Times New Roman" w:hAnsi="Times New Roman" w:eastAsia="宋体" w:cs="Times New Roman"/>
                      <w:i w:val="0"/>
                      <w:color w:val="auto"/>
                      <w:kern w:val="0"/>
                      <w:sz w:val="21"/>
                      <w:szCs w:val="21"/>
                      <w:highlight w:val="none"/>
                      <w:u w:val="none"/>
                      <w:lang w:val="en-US" w:eastAsia="zh-CN" w:bidi="ar"/>
                    </w:rPr>
                    <w:t>台</w:t>
                  </w:r>
                </w:p>
              </w:tc>
            </w:tr>
            <w:tr w14:paraId="685680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1364" w:type="dxa"/>
                  <w:tcBorders>
                    <w:tl2br w:val="nil"/>
                    <w:tr2bl w:val="nil"/>
                  </w:tcBorders>
                  <w:noWrap/>
                  <w:vAlign w:val="center"/>
                </w:tcPr>
                <w:p w14:paraId="17C9850C">
                  <w:pPr>
                    <w:widowControl/>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6</w:t>
                  </w:r>
                </w:p>
              </w:tc>
              <w:tc>
                <w:tcPr>
                  <w:tcW w:w="3526" w:type="dxa"/>
                  <w:tcBorders>
                    <w:tl2br w:val="nil"/>
                    <w:tr2bl w:val="nil"/>
                  </w:tcBorders>
                  <w:noWrap/>
                  <w:vAlign w:val="center"/>
                </w:tcPr>
                <w:p w14:paraId="209C3EE3">
                  <w:pPr>
                    <w:spacing w:line="240" w:lineRule="auto"/>
                    <w:jc w:val="center"/>
                    <w:rPr>
                      <w:rFonts w:hint="default" w:ascii="Times New Roman" w:hAnsi="Times New Roman" w:eastAsia="宋体" w:cs="Times New Roman"/>
                      <w:i w:val="0"/>
                      <w:color w:val="auto"/>
                      <w:kern w:val="2"/>
                      <w:sz w:val="21"/>
                      <w:szCs w:val="21"/>
                      <w:highlight w:val="none"/>
                      <w:u w:val="none"/>
                      <w:lang w:val="en-US" w:eastAsia="zh-CN" w:bidi="ar-SA"/>
                    </w:rPr>
                  </w:pPr>
                  <w:r>
                    <w:rPr>
                      <w:rFonts w:hint="eastAsia" w:ascii="Times New Roman" w:hAnsi="Times New Roman" w:eastAsia="宋体" w:cs="Times New Roman"/>
                      <w:b w:val="0"/>
                      <w:bCs/>
                      <w:color w:val="auto"/>
                      <w:sz w:val="21"/>
                      <w:szCs w:val="21"/>
                      <w:lang w:val="en-US" w:eastAsia="zh-CN"/>
                    </w:rPr>
                    <w:t>心电监护仪</w:t>
                  </w:r>
                </w:p>
              </w:tc>
              <w:tc>
                <w:tcPr>
                  <w:tcW w:w="1640" w:type="dxa"/>
                  <w:tcBorders>
                    <w:tl2br w:val="nil"/>
                    <w:tr2bl w:val="nil"/>
                  </w:tcBorders>
                  <w:noWrap/>
                  <w:vAlign w:val="center"/>
                </w:tcPr>
                <w:p w14:paraId="7502688D">
                  <w:pPr>
                    <w:keepNext w:val="0"/>
                    <w:keepLines w:val="0"/>
                    <w:widowControl/>
                    <w:suppressLineNumbers w:val="0"/>
                    <w:jc w:val="center"/>
                    <w:textAlignment w:val="center"/>
                    <w:rPr>
                      <w:rFonts w:hint="default" w:ascii="Times New Roman" w:hAnsi="Times New Roman" w:eastAsia="宋体" w:cs="Times New Roman"/>
                      <w:i w:val="0"/>
                      <w:color w:val="auto"/>
                      <w:kern w:val="2"/>
                      <w:sz w:val="21"/>
                      <w:szCs w:val="21"/>
                      <w:highlight w:val="none"/>
                      <w:u w:val="none"/>
                      <w:lang w:val="en-US" w:eastAsia="zh-CN" w:bidi="ar-SA"/>
                    </w:rPr>
                  </w:pPr>
                  <w:r>
                    <w:rPr>
                      <w:rFonts w:hint="eastAsia" w:ascii="Times New Roman" w:hAnsi="Times New Roman" w:eastAsia="宋体" w:cs="Times New Roman"/>
                      <w:i w:val="0"/>
                      <w:color w:val="auto"/>
                      <w:kern w:val="0"/>
                      <w:sz w:val="21"/>
                      <w:szCs w:val="21"/>
                      <w:highlight w:val="none"/>
                      <w:u w:val="none"/>
                      <w:lang w:val="en-US" w:eastAsia="zh-CN" w:bidi="ar"/>
                    </w:rPr>
                    <w:t>1</w:t>
                  </w:r>
                </w:p>
              </w:tc>
              <w:tc>
                <w:tcPr>
                  <w:tcW w:w="1603" w:type="dxa"/>
                  <w:tcBorders>
                    <w:tl2br w:val="nil"/>
                    <w:tr2bl w:val="nil"/>
                  </w:tcBorders>
                  <w:noWrap/>
                  <w:vAlign w:val="center"/>
                </w:tcPr>
                <w:p w14:paraId="79080210">
                  <w:pPr>
                    <w:keepNext w:val="0"/>
                    <w:keepLines w:val="0"/>
                    <w:widowControl/>
                    <w:suppressLineNumbers w:val="0"/>
                    <w:jc w:val="center"/>
                    <w:textAlignment w:val="center"/>
                    <w:rPr>
                      <w:rFonts w:hint="default" w:ascii="Times New Roman" w:hAnsi="Times New Roman" w:eastAsia="宋体" w:cs="Times New Roman"/>
                      <w:i w:val="0"/>
                      <w:color w:val="auto"/>
                      <w:kern w:val="2"/>
                      <w:sz w:val="21"/>
                      <w:szCs w:val="21"/>
                      <w:highlight w:val="none"/>
                      <w:u w:val="none"/>
                      <w:lang w:val="en-US" w:eastAsia="zh-CN" w:bidi="ar-SA"/>
                    </w:rPr>
                  </w:pPr>
                  <w:r>
                    <w:rPr>
                      <w:rFonts w:hint="default" w:ascii="Times New Roman" w:hAnsi="Times New Roman" w:eastAsia="宋体" w:cs="Times New Roman"/>
                      <w:i w:val="0"/>
                      <w:color w:val="auto"/>
                      <w:kern w:val="0"/>
                      <w:sz w:val="21"/>
                      <w:szCs w:val="21"/>
                      <w:highlight w:val="none"/>
                      <w:u w:val="none"/>
                      <w:lang w:val="en-US" w:eastAsia="zh-CN" w:bidi="ar"/>
                    </w:rPr>
                    <w:t>台</w:t>
                  </w:r>
                </w:p>
              </w:tc>
            </w:tr>
            <w:tr w14:paraId="07ACC3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1364" w:type="dxa"/>
                  <w:tcBorders>
                    <w:tl2br w:val="nil"/>
                    <w:tr2bl w:val="nil"/>
                  </w:tcBorders>
                  <w:noWrap/>
                  <w:vAlign w:val="center"/>
                </w:tcPr>
                <w:p w14:paraId="7FDBC814">
                  <w:pPr>
                    <w:widowControl/>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7</w:t>
                  </w:r>
                </w:p>
              </w:tc>
              <w:tc>
                <w:tcPr>
                  <w:tcW w:w="3526" w:type="dxa"/>
                  <w:tcBorders>
                    <w:tl2br w:val="nil"/>
                    <w:tr2bl w:val="nil"/>
                  </w:tcBorders>
                  <w:noWrap/>
                  <w:vAlign w:val="center"/>
                </w:tcPr>
                <w:p w14:paraId="337D75F9">
                  <w:pPr>
                    <w:spacing w:line="240" w:lineRule="auto"/>
                    <w:jc w:val="center"/>
                    <w:rPr>
                      <w:rFonts w:hint="default" w:ascii="Times New Roman" w:hAnsi="Times New Roman" w:eastAsia="宋体" w:cs="Times New Roman"/>
                      <w:i w:val="0"/>
                      <w:color w:val="auto"/>
                      <w:kern w:val="2"/>
                      <w:sz w:val="21"/>
                      <w:szCs w:val="21"/>
                      <w:highlight w:val="none"/>
                      <w:u w:val="none"/>
                      <w:lang w:val="en-US" w:eastAsia="zh-CN" w:bidi="ar-SA"/>
                    </w:rPr>
                  </w:pPr>
                  <w:r>
                    <w:rPr>
                      <w:rFonts w:hint="eastAsia" w:ascii="Times New Roman" w:hAnsi="Times New Roman" w:eastAsia="宋体" w:cs="Times New Roman"/>
                      <w:b w:val="0"/>
                      <w:bCs/>
                      <w:color w:val="auto"/>
                      <w:sz w:val="21"/>
                      <w:szCs w:val="21"/>
                      <w:lang w:val="en-US" w:eastAsia="zh-CN"/>
                    </w:rPr>
                    <w:t>干燥箱</w:t>
                  </w:r>
                </w:p>
              </w:tc>
              <w:tc>
                <w:tcPr>
                  <w:tcW w:w="1640" w:type="dxa"/>
                  <w:tcBorders>
                    <w:tl2br w:val="nil"/>
                    <w:tr2bl w:val="nil"/>
                  </w:tcBorders>
                  <w:noWrap/>
                  <w:vAlign w:val="center"/>
                </w:tcPr>
                <w:p w14:paraId="6D946FF6">
                  <w:pPr>
                    <w:keepNext w:val="0"/>
                    <w:keepLines w:val="0"/>
                    <w:widowControl/>
                    <w:suppressLineNumbers w:val="0"/>
                    <w:jc w:val="center"/>
                    <w:textAlignment w:val="center"/>
                    <w:rPr>
                      <w:rFonts w:hint="default" w:ascii="Times New Roman" w:hAnsi="Times New Roman" w:eastAsia="宋体" w:cs="Times New Roman"/>
                      <w:i w:val="0"/>
                      <w:color w:val="auto"/>
                      <w:kern w:val="2"/>
                      <w:sz w:val="21"/>
                      <w:szCs w:val="21"/>
                      <w:highlight w:val="none"/>
                      <w:u w:val="none"/>
                      <w:lang w:val="en-US" w:eastAsia="zh-CN" w:bidi="ar-SA"/>
                    </w:rPr>
                  </w:pPr>
                  <w:r>
                    <w:rPr>
                      <w:rFonts w:hint="eastAsia" w:ascii="Times New Roman" w:hAnsi="Times New Roman" w:eastAsia="宋体" w:cs="Times New Roman"/>
                      <w:i w:val="0"/>
                      <w:color w:val="auto"/>
                      <w:kern w:val="0"/>
                      <w:sz w:val="21"/>
                      <w:szCs w:val="21"/>
                      <w:highlight w:val="none"/>
                      <w:u w:val="none"/>
                      <w:lang w:val="en-US" w:eastAsia="zh-CN" w:bidi="ar"/>
                    </w:rPr>
                    <w:t>1</w:t>
                  </w:r>
                </w:p>
              </w:tc>
              <w:tc>
                <w:tcPr>
                  <w:tcW w:w="1603" w:type="dxa"/>
                  <w:tcBorders>
                    <w:tl2br w:val="nil"/>
                    <w:tr2bl w:val="nil"/>
                  </w:tcBorders>
                  <w:noWrap/>
                  <w:vAlign w:val="center"/>
                </w:tcPr>
                <w:p w14:paraId="714B659A">
                  <w:pPr>
                    <w:keepNext w:val="0"/>
                    <w:keepLines w:val="0"/>
                    <w:widowControl/>
                    <w:suppressLineNumbers w:val="0"/>
                    <w:jc w:val="center"/>
                    <w:textAlignment w:val="center"/>
                    <w:rPr>
                      <w:rFonts w:hint="default" w:ascii="Times New Roman" w:hAnsi="Times New Roman" w:eastAsia="宋体" w:cs="Times New Roman"/>
                      <w:i w:val="0"/>
                      <w:color w:val="auto"/>
                      <w:kern w:val="2"/>
                      <w:sz w:val="21"/>
                      <w:szCs w:val="21"/>
                      <w:highlight w:val="none"/>
                      <w:u w:val="none"/>
                      <w:lang w:val="en-US" w:eastAsia="zh-CN" w:bidi="ar-SA"/>
                    </w:rPr>
                  </w:pPr>
                  <w:r>
                    <w:rPr>
                      <w:rFonts w:hint="default" w:ascii="Times New Roman" w:hAnsi="Times New Roman" w:eastAsia="宋体" w:cs="Times New Roman"/>
                      <w:i w:val="0"/>
                      <w:color w:val="auto"/>
                      <w:kern w:val="0"/>
                      <w:sz w:val="21"/>
                      <w:szCs w:val="21"/>
                      <w:highlight w:val="none"/>
                      <w:u w:val="none"/>
                      <w:lang w:val="en-US" w:eastAsia="zh-CN" w:bidi="ar"/>
                    </w:rPr>
                    <w:t>台</w:t>
                  </w:r>
                </w:p>
              </w:tc>
            </w:tr>
            <w:tr w14:paraId="5F5636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1364" w:type="dxa"/>
                  <w:tcBorders>
                    <w:tl2br w:val="nil"/>
                    <w:tr2bl w:val="nil"/>
                  </w:tcBorders>
                  <w:noWrap/>
                  <w:vAlign w:val="center"/>
                </w:tcPr>
                <w:p w14:paraId="2D4C8879">
                  <w:pPr>
                    <w:widowControl/>
                    <w:jc w:val="center"/>
                    <w:rPr>
                      <w:rFonts w:hint="eastAsia" w:ascii="Times New Roman" w:hAnsi="Times New Roman" w:eastAsia="宋体" w:cs="Times New Roman"/>
                      <w:color w:val="auto"/>
                      <w:kern w:val="0"/>
                      <w:szCs w:val="21"/>
                      <w:highlight w:val="none"/>
                      <w:lang w:eastAsia="zh-CN"/>
                    </w:rPr>
                  </w:pPr>
                  <w:r>
                    <w:rPr>
                      <w:rFonts w:hint="eastAsia" w:ascii="Times New Roman" w:hAnsi="Times New Roman" w:cs="Times New Roman"/>
                      <w:color w:val="auto"/>
                      <w:kern w:val="0"/>
                      <w:szCs w:val="21"/>
                      <w:highlight w:val="none"/>
                      <w:lang w:val="en-US" w:eastAsia="zh-CN"/>
                    </w:rPr>
                    <w:t>8</w:t>
                  </w:r>
                </w:p>
              </w:tc>
              <w:tc>
                <w:tcPr>
                  <w:tcW w:w="3526" w:type="dxa"/>
                  <w:tcBorders>
                    <w:tl2br w:val="nil"/>
                    <w:tr2bl w:val="nil"/>
                  </w:tcBorders>
                  <w:noWrap/>
                  <w:vAlign w:val="center"/>
                </w:tcPr>
                <w:p w14:paraId="7071A721">
                  <w:pPr>
                    <w:spacing w:line="240" w:lineRule="auto"/>
                    <w:jc w:val="center"/>
                    <w:rPr>
                      <w:rFonts w:hint="default" w:ascii="Times New Roman" w:hAnsi="Times New Roman" w:eastAsia="宋体" w:cs="Times New Roman"/>
                      <w:i w:val="0"/>
                      <w:color w:val="auto"/>
                      <w:kern w:val="2"/>
                      <w:sz w:val="21"/>
                      <w:szCs w:val="21"/>
                      <w:highlight w:val="none"/>
                      <w:u w:val="none"/>
                      <w:lang w:val="en-US" w:eastAsia="zh-CN" w:bidi="ar-SA"/>
                    </w:rPr>
                  </w:pPr>
                  <w:r>
                    <w:rPr>
                      <w:rFonts w:hint="eastAsia" w:ascii="Times New Roman" w:hAnsi="Times New Roman" w:eastAsia="宋体" w:cs="Times New Roman"/>
                      <w:b w:val="0"/>
                      <w:bCs/>
                      <w:color w:val="auto"/>
                      <w:sz w:val="21"/>
                      <w:szCs w:val="21"/>
                      <w:lang w:val="en-US" w:eastAsia="zh-CN"/>
                    </w:rPr>
                    <w:t>全自动生化分析仪</w:t>
                  </w:r>
                </w:p>
              </w:tc>
              <w:tc>
                <w:tcPr>
                  <w:tcW w:w="1640" w:type="dxa"/>
                  <w:tcBorders>
                    <w:tl2br w:val="nil"/>
                    <w:tr2bl w:val="nil"/>
                  </w:tcBorders>
                  <w:noWrap/>
                  <w:vAlign w:val="center"/>
                </w:tcPr>
                <w:p w14:paraId="2580689A">
                  <w:pPr>
                    <w:keepNext w:val="0"/>
                    <w:keepLines w:val="0"/>
                    <w:widowControl/>
                    <w:suppressLineNumbers w:val="0"/>
                    <w:jc w:val="center"/>
                    <w:textAlignment w:val="center"/>
                    <w:rPr>
                      <w:rFonts w:hint="default" w:ascii="Times New Roman" w:hAnsi="Times New Roman" w:eastAsia="宋体" w:cs="Times New Roman"/>
                      <w:i w:val="0"/>
                      <w:color w:val="auto"/>
                      <w:kern w:val="2"/>
                      <w:sz w:val="21"/>
                      <w:szCs w:val="21"/>
                      <w:highlight w:val="none"/>
                      <w:u w:val="none"/>
                      <w:lang w:val="en-US" w:eastAsia="zh-CN" w:bidi="ar-SA"/>
                    </w:rPr>
                  </w:pPr>
                  <w:r>
                    <w:rPr>
                      <w:rFonts w:hint="default" w:ascii="Times New Roman" w:hAnsi="Times New Roman" w:eastAsia="宋体" w:cs="Times New Roman"/>
                      <w:i w:val="0"/>
                      <w:color w:val="auto"/>
                      <w:kern w:val="0"/>
                      <w:sz w:val="21"/>
                      <w:szCs w:val="21"/>
                      <w:highlight w:val="none"/>
                      <w:u w:val="none"/>
                      <w:lang w:val="en-US" w:eastAsia="zh-CN" w:bidi="ar"/>
                    </w:rPr>
                    <w:t>1</w:t>
                  </w:r>
                </w:p>
              </w:tc>
              <w:tc>
                <w:tcPr>
                  <w:tcW w:w="1603" w:type="dxa"/>
                  <w:tcBorders>
                    <w:tl2br w:val="nil"/>
                    <w:tr2bl w:val="nil"/>
                  </w:tcBorders>
                  <w:noWrap/>
                  <w:vAlign w:val="center"/>
                </w:tcPr>
                <w:p w14:paraId="71CA3CDC">
                  <w:pPr>
                    <w:keepNext w:val="0"/>
                    <w:keepLines w:val="0"/>
                    <w:widowControl/>
                    <w:suppressLineNumbers w:val="0"/>
                    <w:jc w:val="center"/>
                    <w:textAlignment w:val="center"/>
                    <w:rPr>
                      <w:rFonts w:hint="default" w:ascii="Times New Roman" w:hAnsi="Times New Roman" w:eastAsia="宋体" w:cs="Times New Roman"/>
                      <w:i w:val="0"/>
                      <w:color w:val="auto"/>
                      <w:kern w:val="2"/>
                      <w:sz w:val="21"/>
                      <w:szCs w:val="21"/>
                      <w:highlight w:val="none"/>
                      <w:u w:val="none"/>
                      <w:lang w:val="en-US" w:eastAsia="zh-CN" w:bidi="ar-SA"/>
                    </w:rPr>
                  </w:pPr>
                  <w:r>
                    <w:rPr>
                      <w:rFonts w:hint="default" w:ascii="Times New Roman" w:hAnsi="Times New Roman" w:eastAsia="宋体" w:cs="Times New Roman"/>
                      <w:i w:val="0"/>
                      <w:color w:val="auto"/>
                      <w:kern w:val="0"/>
                      <w:sz w:val="21"/>
                      <w:szCs w:val="21"/>
                      <w:highlight w:val="none"/>
                      <w:u w:val="none"/>
                      <w:lang w:val="en-US" w:eastAsia="zh-CN" w:bidi="ar"/>
                    </w:rPr>
                    <w:t>台</w:t>
                  </w:r>
                </w:p>
              </w:tc>
            </w:tr>
            <w:tr w14:paraId="11F9DF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1364" w:type="dxa"/>
                  <w:tcBorders>
                    <w:tl2br w:val="nil"/>
                    <w:tr2bl w:val="nil"/>
                  </w:tcBorders>
                  <w:noWrap/>
                  <w:vAlign w:val="center"/>
                </w:tcPr>
                <w:p w14:paraId="72449801">
                  <w:pPr>
                    <w:widowControl/>
                    <w:jc w:val="center"/>
                    <w:rPr>
                      <w:rFonts w:hint="eastAsia" w:ascii="Times New Roman" w:hAnsi="Times New Roman" w:eastAsia="宋体" w:cs="Times New Roman"/>
                      <w:color w:val="auto"/>
                      <w:kern w:val="0"/>
                      <w:szCs w:val="21"/>
                      <w:highlight w:val="none"/>
                      <w:lang w:eastAsia="zh-CN"/>
                    </w:rPr>
                  </w:pPr>
                  <w:r>
                    <w:rPr>
                      <w:rFonts w:hint="eastAsia" w:ascii="Times New Roman" w:hAnsi="Times New Roman" w:cs="Times New Roman"/>
                      <w:color w:val="auto"/>
                      <w:kern w:val="0"/>
                      <w:szCs w:val="21"/>
                      <w:highlight w:val="none"/>
                      <w:lang w:val="en-US" w:eastAsia="zh-CN"/>
                    </w:rPr>
                    <w:t>9</w:t>
                  </w:r>
                </w:p>
              </w:tc>
              <w:tc>
                <w:tcPr>
                  <w:tcW w:w="3526" w:type="dxa"/>
                  <w:tcBorders>
                    <w:tl2br w:val="nil"/>
                    <w:tr2bl w:val="nil"/>
                  </w:tcBorders>
                  <w:noWrap/>
                  <w:vAlign w:val="center"/>
                </w:tcPr>
                <w:p w14:paraId="55992297">
                  <w:pPr>
                    <w:spacing w:line="240" w:lineRule="auto"/>
                    <w:jc w:val="center"/>
                    <w:rPr>
                      <w:rFonts w:hint="default" w:ascii="Times New Roman" w:hAnsi="Times New Roman" w:eastAsia="宋体" w:cs="Times New Roman"/>
                      <w:i w:val="0"/>
                      <w:color w:val="auto"/>
                      <w:kern w:val="2"/>
                      <w:sz w:val="21"/>
                      <w:szCs w:val="21"/>
                      <w:highlight w:val="none"/>
                      <w:u w:val="none"/>
                      <w:lang w:val="en-US" w:eastAsia="zh-CN" w:bidi="ar-SA"/>
                    </w:rPr>
                  </w:pPr>
                  <w:r>
                    <w:rPr>
                      <w:rFonts w:hint="eastAsia" w:ascii="Times New Roman" w:hAnsi="Times New Roman" w:eastAsia="宋体" w:cs="Times New Roman"/>
                      <w:b w:val="0"/>
                      <w:bCs/>
                      <w:color w:val="auto"/>
                      <w:sz w:val="21"/>
                      <w:szCs w:val="21"/>
                      <w:lang w:val="en-US" w:eastAsia="zh-CN"/>
                    </w:rPr>
                    <w:t>血球计数仪</w:t>
                  </w:r>
                </w:p>
              </w:tc>
              <w:tc>
                <w:tcPr>
                  <w:tcW w:w="1640" w:type="dxa"/>
                  <w:tcBorders>
                    <w:tl2br w:val="nil"/>
                    <w:tr2bl w:val="nil"/>
                  </w:tcBorders>
                  <w:noWrap/>
                  <w:vAlign w:val="center"/>
                </w:tcPr>
                <w:p w14:paraId="6AFD63A9">
                  <w:pPr>
                    <w:keepNext w:val="0"/>
                    <w:keepLines w:val="0"/>
                    <w:widowControl/>
                    <w:suppressLineNumbers w:val="0"/>
                    <w:jc w:val="center"/>
                    <w:textAlignment w:val="center"/>
                    <w:rPr>
                      <w:rFonts w:hint="default" w:ascii="Times New Roman" w:hAnsi="Times New Roman" w:eastAsia="宋体" w:cs="Times New Roman"/>
                      <w:i w:val="0"/>
                      <w:color w:val="auto"/>
                      <w:kern w:val="2"/>
                      <w:sz w:val="21"/>
                      <w:szCs w:val="21"/>
                      <w:highlight w:val="none"/>
                      <w:u w:val="none"/>
                      <w:lang w:val="en-US" w:eastAsia="zh-CN" w:bidi="ar-SA"/>
                    </w:rPr>
                  </w:pPr>
                  <w:r>
                    <w:rPr>
                      <w:rFonts w:hint="default" w:ascii="Times New Roman" w:hAnsi="Times New Roman" w:eastAsia="宋体" w:cs="Times New Roman"/>
                      <w:i w:val="0"/>
                      <w:color w:val="auto"/>
                      <w:kern w:val="0"/>
                      <w:sz w:val="21"/>
                      <w:szCs w:val="21"/>
                      <w:highlight w:val="none"/>
                      <w:u w:val="none"/>
                      <w:lang w:val="en-US" w:eastAsia="zh-CN" w:bidi="ar"/>
                    </w:rPr>
                    <w:t>1</w:t>
                  </w:r>
                </w:p>
              </w:tc>
              <w:tc>
                <w:tcPr>
                  <w:tcW w:w="1603" w:type="dxa"/>
                  <w:tcBorders>
                    <w:tl2br w:val="nil"/>
                    <w:tr2bl w:val="nil"/>
                  </w:tcBorders>
                  <w:noWrap/>
                  <w:vAlign w:val="center"/>
                </w:tcPr>
                <w:p w14:paraId="07B6AA00">
                  <w:pPr>
                    <w:keepNext w:val="0"/>
                    <w:keepLines w:val="0"/>
                    <w:widowControl/>
                    <w:suppressLineNumbers w:val="0"/>
                    <w:jc w:val="center"/>
                    <w:textAlignment w:val="center"/>
                    <w:rPr>
                      <w:rFonts w:hint="default" w:ascii="Times New Roman" w:hAnsi="Times New Roman" w:eastAsia="宋体" w:cs="Times New Roman"/>
                      <w:i w:val="0"/>
                      <w:color w:val="auto"/>
                      <w:kern w:val="2"/>
                      <w:sz w:val="21"/>
                      <w:szCs w:val="21"/>
                      <w:highlight w:val="none"/>
                      <w:u w:val="none"/>
                      <w:lang w:val="en-US" w:eastAsia="zh-CN" w:bidi="ar-SA"/>
                    </w:rPr>
                  </w:pPr>
                  <w:r>
                    <w:rPr>
                      <w:rFonts w:hint="default" w:ascii="Times New Roman" w:hAnsi="Times New Roman" w:eastAsia="宋体" w:cs="Times New Roman"/>
                      <w:i w:val="0"/>
                      <w:color w:val="auto"/>
                      <w:kern w:val="0"/>
                      <w:sz w:val="21"/>
                      <w:szCs w:val="21"/>
                      <w:highlight w:val="none"/>
                      <w:u w:val="none"/>
                      <w:lang w:val="en-US" w:eastAsia="zh-CN" w:bidi="ar"/>
                    </w:rPr>
                    <w:t>套</w:t>
                  </w:r>
                </w:p>
              </w:tc>
            </w:tr>
            <w:tr w14:paraId="458D73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1364" w:type="dxa"/>
                  <w:tcBorders>
                    <w:tl2br w:val="nil"/>
                    <w:tr2bl w:val="nil"/>
                  </w:tcBorders>
                  <w:noWrap/>
                  <w:vAlign w:val="center"/>
                </w:tcPr>
                <w:p w14:paraId="38A6A27E">
                  <w:pPr>
                    <w:widowControl/>
                    <w:jc w:val="center"/>
                    <w:rPr>
                      <w:rFonts w:hint="default" w:ascii="Times New Roman" w:hAnsi="Times New Roman" w:eastAsia="宋体" w:cs="Times New Roman"/>
                      <w:color w:val="auto"/>
                      <w:kern w:val="0"/>
                      <w:szCs w:val="21"/>
                      <w:highlight w:val="none"/>
                      <w:lang w:val="en-US" w:eastAsia="zh-CN"/>
                    </w:rPr>
                  </w:pPr>
                  <w:r>
                    <w:rPr>
                      <w:rFonts w:hint="eastAsia" w:ascii="Times New Roman" w:hAnsi="Times New Roman" w:cs="Times New Roman"/>
                      <w:color w:val="auto"/>
                      <w:kern w:val="0"/>
                      <w:szCs w:val="21"/>
                      <w:highlight w:val="none"/>
                      <w:lang w:val="en-US" w:eastAsia="zh-CN"/>
                    </w:rPr>
                    <w:t>10</w:t>
                  </w:r>
                </w:p>
              </w:tc>
              <w:tc>
                <w:tcPr>
                  <w:tcW w:w="3526" w:type="dxa"/>
                  <w:tcBorders>
                    <w:tl2br w:val="nil"/>
                    <w:tr2bl w:val="nil"/>
                  </w:tcBorders>
                  <w:noWrap/>
                  <w:vAlign w:val="center"/>
                </w:tcPr>
                <w:p w14:paraId="3321E23B">
                  <w:pPr>
                    <w:spacing w:line="240" w:lineRule="auto"/>
                    <w:jc w:val="center"/>
                    <w:rPr>
                      <w:rFonts w:hint="default" w:ascii="Times New Roman" w:hAnsi="Times New Roman" w:eastAsia="宋体" w:cs="Times New Roman"/>
                      <w:i w:val="0"/>
                      <w:color w:val="auto"/>
                      <w:kern w:val="2"/>
                      <w:sz w:val="21"/>
                      <w:szCs w:val="21"/>
                      <w:highlight w:val="none"/>
                      <w:u w:val="none"/>
                      <w:lang w:val="en-US" w:eastAsia="zh-CN" w:bidi="ar-SA"/>
                    </w:rPr>
                  </w:pPr>
                  <w:r>
                    <w:rPr>
                      <w:rFonts w:hint="eastAsia" w:ascii="Times New Roman" w:hAnsi="Times New Roman" w:eastAsia="宋体" w:cs="Times New Roman"/>
                      <w:b w:val="0"/>
                      <w:bCs/>
                      <w:color w:val="auto"/>
                      <w:sz w:val="21"/>
                      <w:szCs w:val="21"/>
                      <w:lang w:val="en-US" w:eastAsia="zh-CN"/>
                    </w:rPr>
                    <w:t>离心机</w:t>
                  </w:r>
                </w:p>
              </w:tc>
              <w:tc>
                <w:tcPr>
                  <w:tcW w:w="1640" w:type="dxa"/>
                  <w:tcBorders>
                    <w:tl2br w:val="nil"/>
                    <w:tr2bl w:val="nil"/>
                  </w:tcBorders>
                  <w:noWrap/>
                  <w:vAlign w:val="center"/>
                </w:tcPr>
                <w:p w14:paraId="2A712795">
                  <w:pPr>
                    <w:keepNext w:val="0"/>
                    <w:keepLines w:val="0"/>
                    <w:widowControl/>
                    <w:suppressLineNumbers w:val="0"/>
                    <w:jc w:val="center"/>
                    <w:textAlignment w:val="center"/>
                    <w:rPr>
                      <w:rFonts w:hint="default" w:ascii="Times New Roman" w:hAnsi="Times New Roman" w:eastAsia="宋体" w:cs="Times New Roman"/>
                      <w:i w:val="0"/>
                      <w:color w:val="auto"/>
                      <w:kern w:val="2"/>
                      <w:sz w:val="21"/>
                      <w:szCs w:val="21"/>
                      <w:highlight w:val="none"/>
                      <w:u w:val="none"/>
                      <w:lang w:val="en-US" w:eastAsia="zh-CN" w:bidi="ar-SA"/>
                    </w:rPr>
                  </w:pPr>
                  <w:r>
                    <w:rPr>
                      <w:rFonts w:hint="default" w:ascii="Times New Roman" w:hAnsi="Times New Roman" w:eastAsia="宋体" w:cs="Times New Roman"/>
                      <w:i w:val="0"/>
                      <w:color w:val="auto"/>
                      <w:kern w:val="0"/>
                      <w:sz w:val="21"/>
                      <w:szCs w:val="21"/>
                      <w:highlight w:val="none"/>
                      <w:u w:val="none"/>
                      <w:lang w:val="en-US" w:eastAsia="zh-CN" w:bidi="ar"/>
                    </w:rPr>
                    <w:t>1</w:t>
                  </w:r>
                </w:p>
              </w:tc>
              <w:tc>
                <w:tcPr>
                  <w:tcW w:w="1603" w:type="dxa"/>
                  <w:tcBorders>
                    <w:tl2br w:val="nil"/>
                    <w:tr2bl w:val="nil"/>
                  </w:tcBorders>
                  <w:noWrap/>
                  <w:vAlign w:val="center"/>
                </w:tcPr>
                <w:p w14:paraId="51A9EEA9">
                  <w:pPr>
                    <w:keepNext w:val="0"/>
                    <w:keepLines w:val="0"/>
                    <w:widowControl/>
                    <w:suppressLineNumbers w:val="0"/>
                    <w:jc w:val="center"/>
                    <w:textAlignment w:val="center"/>
                    <w:rPr>
                      <w:rFonts w:hint="default" w:ascii="Times New Roman" w:hAnsi="Times New Roman" w:eastAsia="宋体" w:cs="Times New Roman"/>
                      <w:i w:val="0"/>
                      <w:color w:val="auto"/>
                      <w:kern w:val="2"/>
                      <w:sz w:val="21"/>
                      <w:szCs w:val="21"/>
                      <w:highlight w:val="none"/>
                      <w:u w:val="none"/>
                      <w:lang w:val="en-US" w:eastAsia="zh-CN" w:bidi="ar-SA"/>
                    </w:rPr>
                  </w:pPr>
                  <w:r>
                    <w:rPr>
                      <w:rFonts w:hint="default" w:ascii="Times New Roman" w:hAnsi="Times New Roman" w:eastAsia="宋体" w:cs="Times New Roman"/>
                      <w:i w:val="0"/>
                      <w:color w:val="auto"/>
                      <w:kern w:val="0"/>
                      <w:sz w:val="21"/>
                      <w:szCs w:val="21"/>
                      <w:highlight w:val="none"/>
                      <w:u w:val="none"/>
                      <w:lang w:val="en-US" w:eastAsia="zh-CN" w:bidi="ar"/>
                    </w:rPr>
                    <w:t>台</w:t>
                  </w:r>
                </w:p>
              </w:tc>
            </w:tr>
            <w:tr w14:paraId="7A31E9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1364" w:type="dxa"/>
                  <w:tcBorders>
                    <w:tl2br w:val="nil"/>
                    <w:tr2bl w:val="nil"/>
                  </w:tcBorders>
                  <w:noWrap/>
                  <w:vAlign w:val="center"/>
                </w:tcPr>
                <w:p w14:paraId="358D99EB">
                  <w:pPr>
                    <w:widowControl/>
                    <w:jc w:val="center"/>
                    <w:rPr>
                      <w:rFonts w:hint="default" w:ascii="Times New Roman" w:hAnsi="Times New Roman" w:eastAsia="宋体" w:cs="Times New Roman"/>
                      <w:color w:val="auto"/>
                      <w:kern w:val="0"/>
                      <w:szCs w:val="21"/>
                      <w:highlight w:val="none"/>
                      <w:lang w:val="en-US" w:eastAsia="zh-CN"/>
                    </w:rPr>
                  </w:pPr>
                  <w:r>
                    <w:rPr>
                      <w:rFonts w:hint="eastAsia" w:ascii="Times New Roman" w:hAnsi="Times New Roman" w:cs="Times New Roman"/>
                      <w:color w:val="auto"/>
                      <w:kern w:val="0"/>
                      <w:szCs w:val="21"/>
                      <w:highlight w:val="none"/>
                      <w:lang w:val="en-US" w:eastAsia="zh-CN"/>
                    </w:rPr>
                    <w:t>11</w:t>
                  </w:r>
                </w:p>
              </w:tc>
              <w:tc>
                <w:tcPr>
                  <w:tcW w:w="3526" w:type="dxa"/>
                  <w:tcBorders>
                    <w:tl2br w:val="nil"/>
                    <w:tr2bl w:val="nil"/>
                  </w:tcBorders>
                  <w:noWrap/>
                  <w:vAlign w:val="center"/>
                </w:tcPr>
                <w:p w14:paraId="194C71C5">
                  <w:pPr>
                    <w:spacing w:line="240" w:lineRule="auto"/>
                    <w:jc w:val="center"/>
                    <w:rPr>
                      <w:rFonts w:hint="default" w:ascii="Times New Roman" w:hAnsi="Times New Roman" w:eastAsia="宋体" w:cs="Times New Roman"/>
                      <w:i w:val="0"/>
                      <w:color w:val="auto"/>
                      <w:kern w:val="2"/>
                      <w:sz w:val="21"/>
                      <w:szCs w:val="21"/>
                      <w:highlight w:val="none"/>
                      <w:u w:val="none"/>
                      <w:lang w:val="en-US" w:eastAsia="zh-CN" w:bidi="ar-SA"/>
                    </w:rPr>
                  </w:pPr>
                  <w:r>
                    <w:rPr>
                      <w:rFonts w:hint="eastAsia" w:ascii="Times New Roman" w:hAnsi="Times New Roman" w:eastAsia="宋体" w:cs="Times New Roman"/>
                      <w:b w:val="0"/>
                      <w:bCs/>
                      <w:color w:val="auto"/>
                      <w:sz w:val="21"/>
                      <w:szCs w:val="21"/>
                      <w:lang w:val="en-US" w:eastAsia="zh-CN"/>
                    </w:rPr>
                    <w:t>电解质分析仪</w:t>
                  </w:r>
                </w:p>
              </w:tc>
              <w:tc>
                <w:tcPr>
                  <w:tcW w:w="1640" w:type="dxa"/>
                  <w:tcBorders>
                    <w:tl2br w:val="nil"/>
                    <w:tr2bl w:val="nil"/>
                  </w:tcBorders>
                  <w:noWrap/>
                  <w:vAlign w:val="center"/>
                </w:tcPr>
                <w:p w14:paraId="5C12FAC6">
                  <w:pPr>
                    <w:keepNext w:val="0"/>
                    <w:keepLines w:val="0"/>
                    <w:widowControl/>
                    <w:suppressLineNumbers w:val="0"/>
                    <w:jc w:val="center"/>
                    <w:textAlignment w:val="center"/>
                    <w:rPr>
                      <w:rFonts w:hint="default" w:ascii="Times New Roman" w:hAnsi="Times New Roman" w:eastAsia="宋体" w:cs="Times New Roman"/>
                      <w:i w:val="0"/>
                      <w:color w:val="auto"/>
                      <w:kern w:val="2"/>
                      <w:sz w:val="21"/>
                      <w:szCs w:val="21"/>
                      <w:highlight w:val="none"/>
                      <w:u w:val="none"/>
                      <w:lang w:val="en-US" w:eastAsia="zh-CN" w:bidi="ar-SA"/>
                    </w:rPr>
                  </w:pPr>
                  <w:r>
                    <w:rPr>
                      <w:rFonts w:hint="default" w:ascii="Times New Roman" w:hAnsi="Times New Roman" w:eastAsia="宋体" w:cs="Times New Roman"/>
                      <w:i w:val="0"/>
                      <w:color w:val="auto"/>
                      <w:kern w:val="0"/>
                      <w:sz w:val="21"/>
                      <w:szCs w:val="21"/>
                      <w:highlight w:val="none"/>
                      <w:u w:val="none"/>
                      <w:lang w:val="en-US" w:eastAsia="zh-CN" w:bidi="ar"/>
                    </w:rPr>
                    <w:t>1</w:t>
                  </w:r>
                </w:p>
              </w:tc>
              <w:tc>
                <w:tcPr>
                  <w:tcW w:w="1603" w:type="dxa"/>
                  <w:tcBorders>
                    <w:tl2br w:val="nil"/>
                    <w:tr2bl w:val="nil"/>
                  </w:tcBorders>
                  <w:noWrap/>
                  <w:vAlign w:val="center"/>
                </w:tcPr>
                <w:p w14:paraId="1DD70C60">
                  <w:pPr>
                    <w:keepNext w:val="0"/>
                    <w:keepLines w:val="0"/>
                    <w:widowControl/>
                    <w:suppressLineNumbers w:val="0"/>
                    <w:jc w:val="center"/>
                    <w:textAlignment w:val="center"/>
                    <w:rPr>
                      <w:rFonts w:hint="default" w:ascii="Times New Roman" w:hAnsi="Times New Roman" w:eastAsia="宋体" w:cs="Times New Roman"/>
                      <w:i w:val="0"/>
                      <w:color w:val="auto"/>
                      <w:kern w:val="2"/>
                      <w:sz w:val="21"/>
                      <w:szCs w:val="21"/>
                      <w:highlight w:val="none"/>
                      <w:u w:val="none"/>
                      <w:lang w:val="en-US" w:eastAsia="zh-CN" w:bidi="ar-SA"/>
                    </w:rPr>
                  </w:pPr>
                  <w:r>
                    <w:rPr>
                      <w:rFonts w:hint="default" w:ascii="Times New Roman" w:hAnsi="Times New Roman" w:eastAsia="宋体" w:cs="Times New Roman"/>
                      <w:i w:val="0"/>
                      <w:color w:val="auto"/>
                      <w:kern w:val="0"/>
                      <w:sz w:val="21"/>
                      <w:szCs w:val="21"/>
                      <w:highlight w:val="none"/>
                      <w:u w:val="none"/>
                      <w:lang w:val="en-US" w:eastAsia="zh-CN" w:bidi="ar"/>
                    </w:rPr>
                    <w:t>台</w:t>
                  </w:r>
                </w:p>
              </w:tc>
            </w:tr>
            <w:tr w14:paraId="6645E6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1364" w:type="dxa"/>
                  <w:tcBorders>
                    <w:tl2br w:val="nil"/>
                    <w:tr2bl w:val="nil"/>
                  </w:tcBorders>
                  <w:noWrap/>
                  <w:vAlign w:val="center"/>
                </w:tcPr>
                <w:p w14:paraId="1A0BA06B">
                  <w:pPr>
                    <w:widowControl/>
                    <w:jc w:val="center"/>
                    <w:rPr>
                      <w:rFonts w:hint="default" w:ascii="Times New Roman" w:hAnsi="Times New Roman" w:eastAsia="宋体" w:cs="Times New Roman"/>
                      <w:color w:val="auto"/>
                      <w:kern w:val="0"/>
                      <w:szCs w:val="21"/>
                      <w:highlight w:val="none"/>
                      <w:lang w:val="en-US" w:eastAsia="zh-CN"/>
                    </w:rPr>
                  </w:pPr>
                  <w:r>
                    <w:rPr>
                      <w:rFonts w:hint="eastAsia" w:ascii="Times New Roman" w:hAnsi="Times New Roman" w:cs="Times New Roman"/>
                      <w:color w:val="auto"/>
                      <w:kern w:val="0"/>
                      <w:szCs w:val="21"/>
                      <w:highlight w:val="none"/>
                      <w:lang w:val="en-US" w:eastAsia="zh-CN"/>
                    </w:rPr>
                    <w:t>12</w:t>
                  </w:r>
                </w:p>
              </w:tc>
              <w:tc>
                <w:tcPr>
                  <w:tcW w:w="3526" w:type="dxa"/>
                  <w:tcBorders>
                    <w:tl2br w:val="nil"/>
                    <w:tr2bl w:val="nil"/>
                  </w:tcBorders>
                  <w:noWrap/>
                  <w:vAlign w:val="center"/>
                </w:tcPr>
                <w:p w14:paraId="77771F4E">
                  <w:pPr>
                    <w:spacing w:line="240" w:lineRule="auto"/>
                    <w:jc w:val="center"/>
                    <w:rPr>
                      <w:rFonts w:hint="default" w:ascii="Times New Roman" w:hAnsi="Times New Roman" w:eastAsia="宋体" w:cs="Times New Roman"/>
                      <w:i w:val="0"/>
                      <w:color w:val="auto"/>
                      <w:kern w:val="2"/>
                      <w:sz w:val="21"/>
                      <w:szCs w:val="21"/>
                      <w:highlight w:val="none"/>
                      <w:u w:val="none"/>
                      <w:lang w:val="en-US" w:eastAsia="zh-CN" w:bidi="ar-SA"/>
                    </w:rPr>
                  </w:pPr>
                  <w:r>
                    <w:rPr>
                      <w:rFonts w:hint="eastAsia" w:ascii="Times New Roman" w:hAnsi="Times New Roman" w:eastAsia="宋体" w:cs="Times New Roman"/>
                      <w:b w:val="0"/>
                      <w:bCs/>
                      <w:color w:val="auto"/>
                      <w:sz w:val="21"/>
                      <w:szCs w:val="21"/>
                      <w:lang w:val="en-US" w:eastAsia="zh-CN"/>
                    </w:rPr>
                    <w:t>电动振荡器</w:t>
                  </w:r>
                </w:p>
              </w:tc>
              <w:tc>
                <w:tcPr>
                  <w:tcW w:w="1640" w:type="dxa"/>
                  <w:tcBorders>
                    <w:tl2br w:val="nil"/>
                    <w:tr2bl w:val="nil"/>
                  </w:tcBorders>
                  <w:noWrap/>
                  <w:vAlign w:val="center"/>
                </w:tcPr>
                <w:p w14:paraId="0D52706E">
                  <w:pPr>
                    <w:keepNext w:val="0"/>
                    <w:keepLines w:val="0"/>
                    <w:widowControl/>
                    <w:suppressLineNumbers w:val="0"/>
                    <w:jc w:val="center"/>
                    <w:textAlignment w:val="center"/>
                    <w:rPr>
                      <w:rFonts w:hint="default" w:ascii="Times New Roman" w:hAnsi="Times New Roman" w:eastAsia="宋体" w:cs="Times New Roman"/>
                      <w:i w:val="0"/>
                      <w:color w:val="auto"/>
                      <w:kern w:val="2"/>
                      <w:sz w:val="21"/>
                      <w:szCs w:val="21"/>
                      <w:highlight w:val="none"/>
                      <w:u w:val="none"/>
                      <w:lang w:val="en-US" w:eastAsia="zh-CN" w:bidi="ar-SA"/>
                    </w:rPr>
                  </w:pPr>
                  <w:r>
                    <w:rPr>
                      <w:rFonts w:hint="default" w:ascii="Times New Roman" w:hAnsi="Times New Roman" w:eastAsia="宋体" w:cs="Times New Roman"/>
                      <w:i w:val="0"/>
                      <w:color w:val="auto"/>
                      <w:kern w:val="0"/>
                      <w:sz w:val="21"/>
                      <w:szCs w:val="21"/>
                      <w:highlight w:val="none"/>
                      <w:u w:val="none"/>
                      <w:lang w:val="en-US" w:eastAsia="zh-CN" w:bidi="ar"/>
                    </w:rPr>
                    <w:t>1</w:t>
                  </w:r>
                </w:p>
              </w:tc>
              <w:tc>
                <w:tcPr>
                  <w:tcW w:w="1603" w:type="dxa"/>
                  <w:tcBorders>
                    <w:tl2br w:val="nil"/>
                    <w:tr2bl w:val="nil"/>
                  </w:tcBorders>
                  <w:noWrap/>
                  <w:vAlign w:val="center"/>
                </w:tcPr>
                <w:p w14:paraId="465006B1">
                  <w:pPr>
                    <w:keepNext w:val="0"/>
                    <w:keepLines w:val="0"/>
                    <w:widowControl/>
                    <w:suppressLineNumbers w:val="0"/>
                    <w:jc w:val="center"/>
                    <w:textAlignment w:val="center"/>
                    <w:rPr>
                      <w:rFonts w:hint="default" w:ascii="Times New Roman" w:hAnsi="Times New Roman" w:eastAsia="宋体" w:cs="Times New Roman"/>
                      <w:i w:val="0"/>
                      <w:color w:val="auto"/>
                      <w:kern w:val="2"/>
                      <w:sz w:val="21"/>
                      <w:szCs w:val="21"/>
                      <w:highlight w:val="none"/>
                      <w:u w:val="none"/>
                      <w:lang w:val="en-US" w:eastAsia="zh-CN" w:bidi="ar-SA"/>
                    </w:rPr>
                  </w:pPr>
                  <w:r>
                    <w:rPr>
                      <w:rFonts w:hint="default" w:ascii="Times New Roman" w:hAnsi="Times New Roman" w:eastAsia="宋体" w:cs="Times New Roman"/>
                      <w:i w:val="0"/>
                      <w:color w:val="auto"/>
                      <w:kern w:val="0"/>
                      <w:sz w:val="21"/>
                      <w:szCs w:val="21"/>
                      <w:highlight w:val="none"/>
                      <w:u w:val="none"/>
                      <w:lang w:val="en-US" w:eastAsia="zh-CN" w:bidi="ar"/>
                    </w:rPr>
                    <w:t>台</w:t>
                  </w:r>
                </w:p>
              </w:tc>
            </w:tr>
            <w:tr w14:paraId="4DC2D2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1364" w:type="dxa"/>
                  <w:tcBorders>
                    <w:tl2br w:val="nil"/>
                    <w:tr2bl w:val="nil"/>
                  </w:tcBorders>
                  <w:noWrap/>
                  <w:vAlign w:val="center"/>
                </w:tcPr>
                <w:p w14:paraId="201ADD5A">
                  <w:pPr>
                    <w:widowControl/>
                    <w:jc w:val="center"/>
                    <w:rPr>
                      <w:rFonts w:hint="default" w:ascii="Times New Roman" w:hAnsi="Times New Roman" w:eastAsia="宋体" w:cs="Times New Roman"/>
                      <w:color w:val="auto"/>
                      <w:kern w:val="0"/>
                      <w:szCs w:val="21"/>
                      <w:highlight w:val="none"/>
                      <w:lang w:val="en-US" w:eastAsia="zh-CN"/>
                    </w:rPr>
                  </w:pPr>
                  <w:r>
                    <w:rPr>
                      <w:rFonts w:hint="eastAsia" w:ascii="Times New Roman" w:hAnsi="Times New Roman" w:cs="Times New Roman"/>
                      <w:color w:val="auto"/>
                      <w:kern w:val="0"/>
                      <w:szCs w:val="21"/>
                      <w:highlight w:val="none"/>
                      <w:lang w:val="en-US" w:eastAsia="zh-CN"/>
                    </w:rPr>
                    <w:t>13</w:t>
                  </w:r>
                </w:p>
              </w:tc>
              <w:tc>
                <w:tcPr>
                  <w:tcW w:w="3526" w:type="dxa"/>
                  <w:tcBorders>
                    <w:tl2br w:val="nil"/>
                    <w:tr2bl w:val="nil"/>
                  </w:tcBorders>
                  <w:noWrap/>
                  <w:vAlign w:val="center"/>
                </w:tcPr>
                <w:p w14:paraId="5E4F10EF">
                  <w:pPr>
                    <w:spacing w:line="240" w:lineRule="auto"/>
                    <w:jc w:val="center"/>
                    <w:rPr>
                      <w:rFonts w:hint="default" w:ascii="Times New Roman" w:hAnsi="Times New Roman" w:eastAsia="宋体" w:cs="Times New Roman"/>
                      <w:i w:val="0"/>
                      <w:color w:val="auto"/>
                      <w:kern w:val="2"/>
                      <w:sz w:val="21"/>
                      <w:szCs w:val="21"/>
                      <w:highlight w:val="none"/>
                      <w:u w:val="none"/>
                      <w:lang w:val="en-US" w:eastAsia="zh-CN" w:bidi="ar-SA"/>
                    </w:rPr>
                  </w:pPr>
                  <w:r>
                    <w:rPr>
                      <w:rFonts w:hint="eastAsia" w:ascii="Times New Roman" w:hAnsi="Times New Roman" w:eastAsia="宋体" w:cs="Times New Roman"/>
                      <w:b w:val="0"/>
                      <w:bCs/>
                      <w:color w:val="auto"/>
                      <w:sz w:val="21"/>
                      <w:szCs w:val="21"/>
                      <w:lang w:val="en-US" w:eastAsia="zh-CN"/>
                    </w:rPr>
                    <w:t>全自动尿液分析仪</w:t>
                  </w:r>
                </w:p>
              </w:tc>
              <w:tc>
                <w:tcPr>
                  <w:tcW w:w="1640" w:type="dxa"/>
                  <w:tcBorders>
                    <w:tl2br w:val="nil"/>
                    <w:tr2bl w:val="nil"/>
                  </w:tcBorders>
                  <w:noWrap/>
                  <w:vAlign w:val="center"/>
                </w:tcPr>
                <w:p w14:paraId="017F1028">
                  <w:pPr>
                    <w:keepNext w:val="0"/>
                    <w:keepLines w:val="0"/>
                    <w:widowControl/>
                    <w:suppressLineNumbers w:val="0"/>
                    <w:jc w:val="center"/>
                    <w:textAlignment w:val="center"/>
                    <w:rPr>
                      <w:rFonts w:hint="default" w:ascii="Times New Roman" w:hAnsi="Times New Roman" w:eastAsia="宋体" w:cs="Times New Roman"/>
                      <w:i w:val="0"/>
                      <w:color w:val="auto"/>
                      <w:kern w:val="2"/>
                      <w:sz w:val="21"/>
                      <w:szCs w:val="21"/>
                      <w:highlight w:val="none"/>
                      <w:u w:val="none"/>
                      <w:lang w:val="en-US" w:eastAsia="zh-CN" w:bidi="ar-SA"/>
                    </w:rPr>
                  </w:pPr>
                  <w:r>
                    <w:rPr>
                      <w:rFonts w:hint="default" w:ascii="Times New Roman" w:hAnsi="Times New Roman" w:eastAsia="宋体" w:cs="Times New Roman"/>
                      <w:i w:val="0"/>
                      <w:color w:val="auto"/>
                      <w:kern w:val="0"/>
                      <w:sz w:val="21"/>
                      <w:szCs w:val="21"/>
                      <w:highlight w:val="none"/>
                      <w:u w:val="none"/>
                      <w:lang w:val="en-US" w:eastAsia="zh-CN" w:bidi="ar"/>
                    </w:rPr>
                    <w:t>1</w:t>
                  </w:r>
                </w:p>
              </w:tc>
              <w:tc>
                <w:tcPr>
                  <w:tcW w:w="1603" w:type="dxa"/>
                  <w:tcBorders>
                    <w:tl2br w:val="nil"/>
                    <w:tr2bl w:val="nil"/>
                  </w:tcBorders>
                  <w:noWrap/>
                  <w:vAlign w:val="center"/>
                </w:tcPr>
                <w:p w14:paraId="78467154">
                  <w:pPr>
                    <w:keepNext w:val="0"/>
                    <w:keepLines w:val="0"/>
                    <w:widowControl/>
                    <w:suppressLineNumbers w:val="0"/>
                    <w:jc w:val="center"/>
                    <w:textAlignment w:val="center"/>
                    <w:rPr>
                      <w:rFonts w:hint="default" w:ascii="Times New Roman" w:hAnsi="Times New Roman" w:eastAsia="宋体" w:cs="Times New Roman"/>
                      <w:i w:val="0"/>
                      <w:color w:val="auto"/>
                      <w:kern w:val="2"/>
                      <w:sz w:val="21"/>
                      <w:szCs w:val="21"/>
                      <w:highlight w:val="none"/>
                      <w:u w:val="none"/>
                      <w:lang w:val="en-US" w:eastAsia="zh-CN" w:bidi="ar-SA"/>
                    </w:rPr>
                  </w:pPr>
                  <w:r>
                    <w:rPr>
                      <w:rFonts w:hint="default" w:ascii="Times New Roman" w:hAnsi="Times New Roman" w:eastAsia="宋体" w:cs="Times New Roman"/>
                      <w:i w:val="0"/>
                      <w:color w:val="auto"/>
                      <w:kern w:val="0"/>
                      <w:sz w:val="21"/>
                      <w:szCs w:val="21"/>
                      <w:highlight w:val="none"/>
                      <w:u w:val="none"/>
                      <w:lang w:val="en-US" w:eastAsia="zh-CN" w:bidi="ar"/>
                    </w:rPr>
                    <w:t>台</w:t>
                  </w:r>
                </w:p>
              </w:tc>
            </w:tr>
            <w:tr w14:paraId="28BACD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1364" w:type="dxa"/>
                  <w:tcBorders>
                    <w:tl2br w:val="nil"/>
                    <w:tr2bl w:val="nil"/>
                  </w:tcBorders>
                  <w:noWrap/>
                  <w:vAlign w:val="center"/>
                </w:tcPr>
                <w:p w14:paraId="64545DB0">
                  <w:pPr>
                    <w:widowControl/>
                    <w:jc w:val="center"/>
                    <w:rPr>
                      <w:rFonts w:hint="default" w:ascii="Times New Roman" w:hAnsi="Times New Roman" w:eastAsia="宋体" w:cs="Times New Roman"/>
                      <w:color w:val="auto"/>
                      <w:kern w:val="0"/>
                      <w:szCs w:val="21"/>
                      <w:highlight w:val="none"/>
                      <w:lang w:val="en-US" w:eastAsia="zh-CN"/>
                    </w:rPr>
                  </w:pPr>
                  <w:r>
                    <w:rPr>
                      <w:rFonts w:hint="eastAsia" w:ascii="Times New Roman" w:hAnsi="Times New Roman" w:cs="Times New Roman"/>
                      <w:color w:val="auto"/>
                      <w:kern w:val="0"/>
                      <w:szCs w:val="21"/>
                      <w:highlight w:val="none"/>
                      <w:lang w:val="en-US" w:eastAsia="zh-CN"/>
                    </w:rPr>
                    <w:t>14</w:t>
                  </w:r>
                </w:p>
              </w:tc>
              <w:tc>
                <w:tcPr>
                  <w:tcW w:w="3526" w:type="dxa"/>
                  <w:tcBorders>
                    <w:tl2br w:val="nil"/>
                    <w:tr2bl w:val="nil"/>
                  </w:tcBorders>
                  <w:noWrap/>
                  <w:vAlign w:val="center"/>
                </w:tcPr>
                <w:p w14:paraId="3D0CDFEB">
                  <w:pPr>
                    <w:spacing w:line="240" w:lineRule="auto"/>
                    <w:jc w:val="center"/>
                    <w:rPr>
                      <w:rFonts w:hint="default" w:ascii="Times New Roman" w:hAnsi="Times New Roman" w:eastAsia="宋体" w:cs="Times New Roman"/>
                      <w:i w:val="0"/>
                      <w:color w:val="auto"/>
                      <w:kern w:val="2"/>
                      <w:sz w:val="21"/>
                      <w:szCs w:val="21"/>
                      <w:highlight w:val="none"/>
                      <w:u w:val="none"/>
                      <w:lang w:val="en-US" w:eastAsia="zh-CN" w:bidi="ar-SA"/>
                    </w:rPr>
                  </w:pPr>
                  <w:r>
                    <w:rPr>
                      <w:rFonts w:hint="eastAsia" w:ascii="Times New Roman" w:hAnsi="Times New Roman" w:eastAsia="宋体" w:cs="Times New Roman"/>
                      <w:b w:val="0"/>
                      <w:bCs/>
                      <w:color w:val="auto"/>
                      <w:sz w:val="21"/>
                      <w:szCs w:val="21"/>
                      <w:lang w:val="en-US" w:eastAsia="zh-CN"/>
                    </w:rPr>
                    <w:t>纯水机</w:t>
                  </w:r>
                </w:p>
              </w:tc>
              <w:tc>
                <w:tcPr>
                  <w:tcW w:w="1640" w:type="dxa"/>
                  <w:tcBorders>
                    <w:tl2br w:val="nil"/>
                    <w:tr2bl w:val="nil"/>
                  </w:tcBorders>
                  <w:noWrap/>
                  <w:vAlign w:val="center"/>
                </w:tcPr>
                <w:p w14:paraId="230CAA3C">
                  <w:pPr>
                    <w:keepNext w:val="0"/>
                    <w:keepLines w:val="0"/>
                    <w:widowControl/>
                    <w:suppressLineNumbers w:val="0"/>
                    <w:jc w:val="center"/>
                    <w:textAlignment w:val="center"/>
                    <w:rPr>
                      <w:rFonts w:hint="default" w:ascii="Times New Roman" w:hAnsi="Times New Roman" w:eastAsia="宋体" w:cs="Times New Roman"/>
                      <w:i w:val="0"/>
                      <w:color w:val="auto"/>
                      <w:kern w:val="2"/>
                      <w:sz w:val="21"/>
                      <w:szCs w:val="21"/>
                      <w:highlight w:val="none"/>
                      <w:u w:val="none"/>
                      <w:lang w:val="en-US" w:eastAsia="zh-CN" w:bidi="ar-SA"/>
                    </w:rPr>
                  </w:pPr>
                  <w:r>
                    <w:rPr>
                      <w:rFonts w:hint="default" w:ascii="Times New Roman" w:hAnsi="Times New Roman" w:eastAsia="宋体" w:cs="Times New Roman"/>
                      <w:i w:val="0"/>
                      <w:color w:val="auto"/>
                      <w:kern w:val="0"/>
                      <w:sz w:val="21"/>
                      <w:szCs w:val="21"/>
                      <w:highlight w:val="none"/>
                      <w:u w:val="none"/>
                      <w:lang w:val="en-US" w:eastAsia="zh-CN" w:bidi="ar"/>
                    </w:rPr>
                    <w:t>1</w:t>
                  </w:r>
                </w:p>
              </w:tc>
              <w:tc>
                <w:tcPr>
                  <w:tcW w:w="1603" w:type="dxa"/>
                  <w:tcBorders>
                    <w:tl2br w:val="nil"/>
                    <w:tr2bl w:val="nil"/>
                  </w:tcBorders>
                  <w:noWrap/>
                  <w:vAlign w:val="center"/>
                </w:tcPr>
                <w:p w14:paraId="345C8808">
                  <w:pPr>
                    <w:keepNext w:val="0"/>
                    <w:keepLines w:val="0"/>
                    <w:widowControl/>
                    <w:suppressLineNumbers w:val="0"/>
                    <w:jc w:val="center"/>
                    <w:textAlignment w:val="center"/>
                    <w:rPr>
                      <w:rFonts w:hint="default" w:ascii="Times New Roman" w:hAnsi="Times New Roman" w:eastAsia="宋体" w:cs="Times New Roman"/>
                      <w:i w:val="0"/>
                      <w:color w:val="auto"/>
                      <w:kern w:val="2"/>
                      <w:sz w:val="21"/>
                      <w:szCs w:val="21"/>
                      <w:highlight w:val="none"/>
                      <w:u w:val="none"/>
                      <w:lang w:val="en-US" w:eastAsia="zh-CN" w:bidi="ar-SA"/>
                    </w:rPr>
                  </w:pPr>
                  <w:r>
                    <w:rPr>
                      <w:rFonts w:hint="default" w:ascii="Times New Roman" w:hAnsi="Times New Roman" w:eastAsia="宋体" w:cs="Times New Roman"/>
                      <w:i w:val="0"/>
                      <w:color w:val="auto"/>
                      <w:kern w:val="0"/>
                      <w:sz w:val="21"/>
                      <w:szCs w:val="21"/>
                      <w:highlight w:val="none"/>
                      <w:u w:val="none"/>
                      <w:lang w:val="en-US" w:eastAsia="zh-CN" w:bidi="ar"/>
                    </w:rPr>
                    <w:t>台</w:t>
                  </w:r>
                </w:p>
              </w:tc>
            </w:tr>
            <w:tr w14:paraId="5C746D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1364" w:type="dxa"/>
                  <w:tcBorders>
                    <w:tl2br w:val="nil"/>
                    <w:tr2bl w:val="nil"/>
                  </w:tcBorders>
                  <w:noWrap/>
                  <w:vAlign w:val="center"/>
                </w:tcPr>
                <w:p w14:paraId="47A59727">
                  <w:pPr>
                    <w:widowControl/>
                    <w:jc w:val="center"/>
                    <w:rPr>
                      <w:rFonts w:hint="default" w:ascii="Times New Roman" w:hAnsi="Times New Roman" w:eastAsia="宋体" w:cs="Times New Roman"/>
                      <w:color w:val="auto"/>
                      <w:kern w:val="0"/>
                      <w:szCs w:val="21"/>
                      <w:highlight w:val="none"/>
                      <w:lang w:val="en-US" w:eastAsia="zh-CN"/>
                    </w:rPr>
                  </w:pPr>
                  <w:r>
                    <w:rPr>
                      <w:rFonts w:hint="eastAsia" w:ascii="Times New Roman" w:hAnsi="Times New Roman" w:cs="Times New Roman"/>
                      <w:color w:val="auto"/>
                      <w:kern w:val="0"/>
                      <w:szCs w:val="21"/>
                      <w:highlight w:val="none"/>
                      <w:lang w:val="en-US" w:eastAsia="zh-CN"/>
                    </w:rPr>
                    <w:t>15</w:t>
                  </w:r>
                </w:p>
              </w:tc>
              <w:tc>
                <w:tcPr>
                  <w:tcW w:w="3526" w:type="dxa"/>
                  <w:tcBorders>
                    <w:tl2br w:val="nil"/>
                    <w:tr2bl w:val="nil"/>
                  </w:tcBorders>
                  <w:noWrap/>
                  <w:vAlign w:val="center"/>
                </w:tcPr>
                <w:p w14:paraId="284D6473">
                  <w:pPr>
                    <w:spacing w:line="240" w:lineRule="auto"/>
                    <w:jc w:val="center"/>
                    <w:rPr>
                      <w:rFonts w:hint="default" w:ascii="Times New Roman" w:hAnsi="Times New Roman" w:eastAsia="宋体" w:cs="Times New Roman"/>
                      <w:i w:val="0"/>
                      <w:color w:val="auto"/>
                      <w:kern w:val="2"/>
                      <w:sz w:val="21"/>
                      <w:szCs w:val="21"/>
                      <w:highlight w:val="none"/>
                      <w:u w:val="none"/>
                      <w:lang w:val="en-US" w:eastAsia="zh-CN" w:bidi="ar-SA"/>
                    </w:rPr>
                  </w:pPr>
                  <w:r>
                    <w:rPr>
                      <w:rFonts w:hint="eastAsia" w:ascii="Times New Roman" w:hAnsi="Times New Roman" w:eastAsia="宋体" w:cs="Times New Roman"/>
                      <w:b w:val="0"/>
                      <w:bCs/>
                      <w:color w:val="auto"/>
                      <w:sz w:val="21"/>
                      <w:szCs w:val="21"/>
                      <w:lang w:val="en-US" w:eastAsia="zh-CN"/>
                    </w:rPr>
                    <w:t>脑电图</w:t>
                  </w:r>
                </w:p>
              </w:tc>
              <w:tc>
                <w:tcPr>
                  <w:tcW w:w="1640" w:type="dxa"/>
                  <w:tcBorders>
                    <w:tl2br w:val="nil"/>
                    <w:tr2bl w:val="nil"/>
                  </w:tcBorders>
                  <w:noWrap/>
                  <w:vAlign w:val="center"/>
                </w:tcPr>
                <w:p w14:paraId="3126C6AF">
                  <w:pPr>
                    <w:keepNext w:val="0"/>
                    <w:keepLines w:val="0"/>
                    <w:widowControl/>
                    <w:suppressLineNumbers w:val="0"/>
                    <w:jc w:val="center"/>
                    <w:textAlignment w:val="center"/>
                    <w:rPr>
                      <w:rFonts w:hint="default" w:ascii="Times New Roman" w:hAnsi="Times New Roman" w:eastAsia="宋体" w:cs="Times New Roman"/>
                      <w:i w:val="0"/>
                      <w:color w:val="auto"/>
                      <w:kern w:val="2"/>
                      <w:sz w:val="21"/>
                      <w:szCs w:val="21"/>
                      <w:highlight w:val="none"/>
                      <w:u w:val="none"/>
                      <w:lang w:val="en-US" w:eastAsia="zh-CN" w:bidi="ar-SA"/>
                    </w:rPr>
                  </w:pPr>
                  <w:r>
                    <w:rPr>
                      <w:rFonts w:hint="default" w:ascii="Times New Roman" w:hAnsi="Times New Roman" w:eastAsia="宋体" w:cs="Times New Roman"/>
                      <w:i w:val="0"/>
                      <w:color w:val="auto"/>
                      <w:kern w:val="0"/>
                      <w:sz w:val="21"/>
                      <w:szCs w:val="21"/>
                      <w:highlight w:val="none"/>
                      <w:u w:val="none"/>
                      <w:lang w:val="en-US" w:eastAsia="zh-CN" w:bidi="ar"/>
                    </w:rPr>
                    <w:t>1</w:t>
                  </w:r>
                </w:p>
              </w:tc>
              <w:tc>
                <w:tcPr>
                  <w:tcW w:w="1603" w:type="dxa"/>
                  <w:tcBorders>
                    <w:tl2br w:val="nil"/>
                    <w:tr2bl w:val="nil"/>
                  </w:tcBorders>
                  <w:noWrap/>
                  <w:vAlign w:val="center"/>
                </w:tcPr>
                <w:p w14:paraId="00208F5E">
                  <w:pPr>
                    <w:keepNext w:val="0"/>
                    <w:keepLines w:val="0"/>
                    <w:widowControl/>
                    <w:suppressLineNumbers w:val="0"/>
                    <w:jc w:val="center"/>
                    <w:textAlignment w:val="center"/>
                    <w:rPr>
                      <w:rFonts w:hint="default" w:ascii="Times New Roman" w:hAnsi="Times New Roman" w:eastAsia="宋体" w:cs="Times New Roman"/>
                      <w:i w:val="0"/>
                      <w:color w:val="auto"/>
                      <w:kern w:val="2"/>
                      <w:sz w:val="21"/>
                      <w:szCs w:val="21"/>
                      <w:highlight w:val="none"/>
                      <w:u w:val="none"/>
                      <w:lang w:val="en-US" w:eastAsia="zh-CN" w:bidi="ar-SA"/>
                    </w:rPr>
                  </w:pPr>
                  <w:r>
                    <w:rPr>
                      <w:rFonts w:hint="default" w:ascii="Times New Roman" w:hAnsi="Times New Roman" w:eastAsia="宋体" w:cs="Times New Roman"/>
                      <w:i w:val="0"/>
                      <w:color w:val="auto"/>
                      <w:kern w:val="0"/>
                      <w:sz w:val="21"/>
                      <w:szCs w:val="21"/>
                      <w:highlight w:val="none"/>
                      <w:u w:val="none"/>
                      <w:lang w:val="en-US" w:eastAsia="zh-CN" w:bidi="ar"/>
                    </w:rPr>
                    <w:t>台</w:t>
                  </w:r>
                </w:p>
              </w:tc>
            </w:tr>
            <w:tr w14:paraId="17E81E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1364" w:type="dxa"/>
                  <w:tcBorders>
                    <w:tl2br w:val="nil"/>
                    <w:tr2bl w:val="nil"/>
                  </w:tcBorders>
                  <w:noWrap/>
                  <w:vAlign w:val="center"/>
                </w:tcPr>
                <w:p w14:paraId="54B5B8E4">
                  <w:pPr>
                    <w:widowControl/>
                    <w:jc w:val="center"/>
                    <w:rPr>
                      <w:rFonts w:hint="default" w:ascii="Times New Roman" w:hAnsi="Times New Roman" w:eastAsia="宋体" w:cs="Times New Roman"/>
                      <w:color w:val="auto"/>
                      <w:kern w:val="0"/>
                      <w:szCs w:val="21"/>
                      <w:highlight w:val="none"/>
                      <w:lang w:val="en-US" w:eastAsia="zh-CN"/>
                    </w:rPr>
                  </w:pPr>
                  <w:r>
                    <w:rPr>
                      <w:rFonts w:hint="eastAsia" w:ascii="Times New Roman" w:hAnsi="Times New Roman" w:cs="Times New Roman"/>
                      <w:color w:val="auto"/>
                      <w:kern w:val="0"/>
                      <w:szCs w:val="21"/>
                      <w:highlight w:val="none"/>
                      <w:lang w:val="en-US" w:eastAsia="zh-CN"/>
                    </w:rPr>
                    <w:t>16</w:t>
                  </w:r>
                </w:p>
              </w:tc>
              <w:tc>
                <w:tcPr>
                  <w:tcW w:w="3526" w:type="dxa"/>
                  <w:tcBorders>
                    <w:tl2br w:val="nil"/>
                    <w:tr2bl w:val="nil"/>
                  </w:tcBorders>
                  <w:noWrap/>
                  <w:vAlign w:val="center"/>
                </w:tcPr>
                <w:p w14:paraId="219D67E8">
                  <w:pPr>
                    <w:spacing w:line="240" w:lineRule="auto"/>
                    <w:jc w:val="center"/>
                    <w:rPr>
                      <w:rFonts w:hint="default" w:ascii="Times New Roman" w:hAnsi="Times New Roman" w:eastAsia="宋体" w:cs="Times New Roman"/>
                      <w:i w:val="0"/>
                      <w:color w:val="auto"/>
                      <w:kern w:val="2"/>
                      <w:sz w:val="21"/>
                      <w:szCs w:val="21"/>
                      <w:highlight w:val="none"/>
                      <w:u w:val="none"/>
                      <w:lang w:val="en-US" w:eastAsia="zh-CN" w:bidi="ar-SA"/>
                    </w:rPr>
                  </w:pPr>
                  <w:r>
                    <w:rPr>
                      <w:rFonts w:hint="eastAsia" w:ascii="Times New Roman" w:hAnsi="Times New Roman" w:eastAsia="宋体" w:cs="Times New Roman"/>
                      <w:b w:val="0"/>
                      <w:bCs/>
                      <w:color w:val="auto"/>
                      <w:sz w:val="21"/>
                      <w:szCs w:val="21"/>
                      <w:lang w:val="en-US" w:eastAsia="zh-CN"/>
                    </w:rPr>
                    <w:t>音乐治疗仪</w:t>
                  </w:r>
                </w:p>
              </w:tc>
              <w:tc>
                <w:tcPr>
                  <w:tcW w:w="1640" w:type="dxa"/>
                  <w:tcBorders>
                    <w:tl2br w:val="nil"/>
                    <w:tr2bl w:val="nil"/>
                  </w:tcBorders>
                  <w:noWrap/>
                  <w:vAlign w:val="center"/>
                </w:tcPr>
                <w:p w14:paraId="2489E796">
                  <w:pPr>
                    <w:keepNext w:val="0"/>
                    <w:keepLines w:val="0"/>
                    <w:widowControl/>
                    <w:suppressLineNumbers w:val="0"/>
                    <w:jc w:val="center"/>
                    <w:textAlignment w:val="center"/>
                    <w:rPr>
                      <w:rFonts w:hint="default" w:ascii="Times New Roman" w:hAnsi="Times New Roman" w:eastAsia="宋体" w:cs="Times New Roman"/>
                      <w:i w:val="0"/>
                      <w:color w:val="auto"/>
                      <w:kern w:val="2"/>
                      <w:sz w:val="21"/>
                      <w:szCs w:val="21"/>
                      <w:highlight w:val="none"/>
                      <w:u w:val="none"/>
                      <w:lang w:val="en-US" w:eastAsia="zh-CN" w:bidi="ar-SA"/>
                    </w:rPr>
                  </w:pPr>
                  <w:r>
                    <w:rPr>
                      <w:rFonts w:hint="eastAsia" w:ascii="Times New Roman" w:hAnsi="Times New Roman" w:eastAsia="宋体" w:cs="Times New Roman"/>
                      <w:i w:val="0"/>
                      <w:color w:val="auto"/>
                      <w:kern w:val="0"/>
                      <w:sz w:val="21"/>
                      <w:szCs w:val="21"/>
                      <w:highlight w:val="none"/>
                      <w:u w:val="none"/>
                      <w:lang w:val="en-US" w:eastAsia="zh-CN" w:bidi="ar"/>
                    </w:rPr>
                    <w:t>1</w:t>
                  </w:r>
                </w:p>
              </w:tc>
              <w:tc>
                <w:tcPr>
                  <w:tcW w:w="1603" w:type="dxa"/>
                  <w:tcBorders>
                    <w:tl2br w:val="nil"/>
                    <w:tr2bl w:val="nil"/>
                  </w:tcBorders>
                  <w:noWrap/>
                  <w:vAlign w:val="center"/>
                </w:tcPr>
                <w:p w14:paraId="2DEC6690">
                  <w:pPr>
                    <w:keepNext w:val="0"/>
                    <w:keepLines w:val="0"/>
                    <w:widowControl/>
                    <w:suppressLineNumbers w:val="0"/>
                    <w:jc w:val="center"/>
                    <w:textAlignment w:val="center"/>
                    <w:rPr>
                      <w:rFonts w:hint="default" w:ascii="Times New Roman" w:hAnsi="Times New Roman" w:eastAsia="宋体" w:cs="Times New Roman"/>
                      <w:i w:val="0"/>
                      <w:color w:val="auto"/>
                      <w:kern w:val="2"/>
                      <w:sz w:val="21"/>
                      <w:szCs w:val="21"/>
                      <w:highlight w:val="none"/>
                      <w:u w:val="none"/>
                      <w:lang w:val="en-US" w:eastAsia="zh-CN" w:bidi="ar-SA"/>
                    </w:rPr>
                  </w:pPr>
                  <w:r>
                    <w:rPr>
                      <w:rFonts w:hint="default" w:ascii="Times New Roman" w:hAnsi="Times New Roman" w:eastAsia="宋体" w:cs="Times New Roman"/>
                      <w:i w:val="0"/>
                      <w:color w:val="auto"/>
                      <w:kern w:val="0"/>
                      <w:sz w:val="21"/>
                      <w:szCs w:val="21"/>
                      <w:highlight w:val="none"/>
                      <w:u w:val="none"/>
                      <w:lang w:val="en-US" w:eastAsia="zh-CN" w:bidi="ar"/>
                    </w:rPr>
                    <w:t>台</w:t>
                  </w:r>
                </w:p>
              </w:tc>
            </w:tr>
            <w:tr w14:paraId="062DB6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1364" w:type="dxa"/>
                  <w:tcBorders>
                    <w:tl2br w:val="nil"/>
                    <w:tr2bl w:val="nil"/>
                  </w:tcBorders>
                  <w:noWrap/>
                  <w:vAlign w:val="center"/>
                </w:tcPr>
                <w:p w14:paraId="0C60FBB7">
                  <w:pPr>
                    <w:widowControl/>
                    <w:jc w:val="center"/>
                    <w:rPr>
                      <w:rFonts w:hint="default" w:ascii="Times New Roman" w:hAnsi="Times New Roman" w:eastAsia="宋体" w:cs="Times New Roman"/>
                      <w:color w:val="auto"/>
                      <w:kern w:val="0"/>
                      <w:szCs w:val="21"/>
                      <w:highlight w:val="none"/>
                      <w:lang w:val="en-US" w:eastAsia="zh-CN"/>
                    </w:rPr>
                  </w:pPr>
                  <w:r>
                    <w:rPr>
                      <w:rFonts w:hint="eastAsia" w:ascii="Times New Roman" w:hAnsi="Times New Roman" w:cs="Times New Roman"/>
                      <w:color w:val="auto"/>
                      <w:kern w:val="0"/>
                      <w:szCs w:val="21"/>
                      <w:highlight w:val="none"/>
                      <w:lang w:val="en-US" w:eastAsia="zh-CN"/>
                    </w:rPr>
                    <w:t>17</w:t>
                  </w:r>
                </w:p>
              </w:tc>
              <w:tc>
                <w:tcPr>
                  <w:tcW w:w="3526" w:type="dxa"/>
                  <w:tcBorders>
                    <w:tl2br w:val="nil"/>
                    <w:tr2bl w:val="nil"/>
                  </w:tcBorders>
                  <w:noWrap/>
                  <w:vAlign w:val="center"/>
                </w:tcPr>
                <w:p w14:paraId="64E8B993">
                  <w:pPr>
                    <w:spacing w:line="240" w:lineRule="auto"/>
                    <w:jc w:val="center"/>
                    <w:rPr>
                      <w:rFonts w:hint="default" w:ascii="Times New Roman" w:hAnsi="Times New Roman" w:eastAsia="宋体" w:cs="Times New Roman"/>
                      <w:i w:val="0"/>
                      <w:color w:val="auto"/>
                      <w:kern w:val="2"/>
                      <w:sz w:val="21"/>
                      <w:szCs w:val="21"/>
                      <w:highlight w:val="none"/>
                      <w:u w:val="none"/>
                      <w:lang w:val="en-US" w:eastAsia="zh-CN" w:bidi="ar-SA"/>
                    </w:rPr>
                  </w:pPr>
                  <w:r>
                    <w:rPr>
                      <w:rFonts w:hint="eastAsia" w:ascii="Times New Roman" w:hAnsi="Times New Roman" w:eastAsia="宋体" w:cs="Times New Roman"/>
                      <w:b w:val="0"/>
                      <w:bCs/>
                      <w:color w:val="auto"/>
                      <w:sz w:val="21"/>
                      <w:szCs w:val="21"/>
                      <w:lang w:val="en-US" w:eastAsia="zh-CN"/>
                    </w:rPr>
                    <w:t>CT</w:t>
                  </w:r>
                </w:p>
              </w:tc>
              <w:tc>
                <w:tcPr>
                  <w:tcW w:w="1640" w:type="dxa"/>
                  <w:tcBorders>
                    <w:tl2br w:val="nil"/>
                    <w:tr2bl w:val="nil"/>
                  </w:tcBorders>
                  <w:noWrap/>
                  <w:vAlign w:val="center"/>
                </w:tcPr>
                <w:p w14:paraId="7AACC937">
                  <w:pPr>
                    <w:keepNext w:val="0"/>
                    <w:keepLines w:val="0"/>
                    <w:widowControl/>
                    <w:suppressLineNumbers w:val="0"/>
                    <w:jc w:val="center"/>
                    <w:textAlignment w:val="center"/>
                    <w:rPr>
                      <w:rFonts w:hint="default" w:ascii="Times New Roman" w:hAnsi="Times New Roman" w:eastAsia="宋体" w:cs="Times New Roman"/>
                      <w:i w:val="0"/>
                      <w:color w:val="auto"/>
                      <w:kern w:val="2"/>
                      <w:sz w:val="21"/>
                      <w:szCs w:val="21"/>
                      <w:highlight w:val="none"/>
                      <w:u w:val="none"/>
                      <w:lang w:val="en-US" w:eastAsia="zh-CN" w:bidi="ar-SA"/>
                    </w:rPr>
                  </w:pPr>
                  <w:r>
                    <w:rPr>
                      <w:rFonts w:hint="eastAsia" w:ascii="Times New Roman" w:hAnsi="Times New Roman" w:eastAsia="宋体" w:cs="Times New Roman"/>
                      <w:i w:val="0"/>
                      <w:color w:val="auto"/>
                      <w:kern w:val="0"/>
                      <w:sz w:val="21"/>
                      <w:szCs w:val="21"/>
                      <w:highlight w:val="none"/>
                      <w:u w:val="none"/>
                      <w:lang w:val="en-US" w:eastAsia="zh-CN" w:bidi="ar"/>
                    </w:rPr>
                    <w:t>1</w:t>
                  </w:r>
                </w:p>
              </w:tc>
              <w:tc>
                <w:tcPr>
                  <w:tcW w:w="1603" w:type="dxa"/>
                  <w:tcBorders>
                    <w:tl2br w:val="nil"/>
                    <w:tr2bl w:val="nil"/>
                  </w:tcBorders>
                  <w:noWrap/>
                  <w:vAlign w:val="center"/>
                </w:tcPr>
                <w:p w14:paraId="68BA51FE">
                  <w:pPr>
                    <w:keepNext w:val="0"/>
                    <w:keepLines w:val="0"/>
                    <w:widowControl/>
                    <w:suppressLineNumbers w:val="0"/>
                    <w:jc w:val="center"/>
                    <w:textAlignment w:val="center"/>
                    <w:rPr>
                      <w:rFonts w:hint="default" w:ascii="Times New Roman" w:hAnsi="Times New Roman" w:eastAsia="宋体" w:cs="Times New Roman"/>
                      <w:i w:val="0"/>
                      <w:color w:val="auto"/>
                      <w:kern w:val="2"/>
                      <w:sz w:val="21"/>
                      <w:szCs w:val="21"/>
                      <w:highlight w:val="none"/>
                      <w:u w:val="none"/>
                      <w:lang w:val="en-US" w:eastAsia="zh-CN" w:bidi="ar-SA"/>
                    </w:rPr>
                  </w:pPr>
                  <w:r>
                    <w:rPr>
                      <w:rFonts w:hint="default" w:ascii="Times New Roman" w:hAnsi="Times New Roman" w:eastAsia="宋体" w:cs="Times New Roman"/>
                      <w:i w:val="0"/>
                      <w:color w:val="auto"/>
                      <w:kern w:val="0"/>
                      <w:sz w:val="21"/>
                      <w:szCs w:val="21"/>
                      <w:highlight w:val="none"/>
                      <w:u w:val="none"/>
                      <w:lang w:val="en-US" w:eastAsia="zh-CN" w:bidi="ar"/>
                    </w:rPr>
                    <w:t>台</w:t>
                  </w:r>
                </w:p>
              </w:tc>
            </w:tr>
            <w:tr w14:paraId="63B4C1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1364" w:type="dxa"/>
                  <w:tcBorders>
                    <w:tl2br w:val="nil"/>
                    <w:tr2bl w:val="nil"/>
                  </w:tcBorders>
                  <w:noWrap/>
                  <w:vAlign w:val="center"/>
                </w:tcPr>
                <w:p w14:paraId="0197C765">
                  <w:pPr>
                    <w:widowControl/>
                    <w:jc w:val="center"/>
                    <w:rPr>
                      <w:rFonts w:hint="default" w:ascii="Times New Roman" w:hAnsi="Times New Roman" w:eastAsia="宋体" w:cs="Times New Roman"/>
                      <w:color w:val="auto"/>
                      <w:kern w:val="0"/>
                      <w:szCs w:val="21"/>
                      <w:highlight w:val="none"/>
                      <w:lang w:val="en-US" w:eastAsia="zh-CN"/>
                    </w:rPr>
                  </w:pPr>
                  <w:r>
                    <w:rPr>
                      <w:rFonts w:hint="eastAsia" w:ascii="Times New Roman" w:hAnsi="Times New Roman" w:cs="Times New Roman"/>
                      <w:color w:val="auto"/>
                      <w:kern w:val="0"/>
                      <w:szCs w:val="21"/>
                      <w:highlight w:val="none"/>
                      <w:lang w:val="en-US" w:eastAsia="zh-CN"/>
                    </w:rPr>
                    <w:t>18</w:t>
                  </w:r>
                </w:p>
              </w:tc>
              <w:tc>
                <w:tcPr>
                  <w:tcW w:w="3526" w:type="dxa"/>
                  <w:tcBorders>
                    <w:tl2br w:val="nil"/>
                    <w:tr2bl w:val="nil"/>
                  </w:tcBorders>
                  <w:noWrap/>
                  <w:vAlign w:val="center"/>
                </w:tcPr>
                <w:p w14:paraId="63EE843F">
                  <w:pPr>
                    <w:spacing w:line="240" w:lineRule="auto"/>
                    <w:jc w:val="center"/>
                    <w:rPr>
                      <w:rFonts w:hint="default" w:ascii="Times New Roman" w:hAnsi="Times New Roman" w:eastAsia="宋体" w:cs="Times New Roman"/>
                      <w:i w:val="0"/>
                      <w:color w:val="auto"/>
                      <w:kern w:val="2"/>
                      <w:sz w:val="21"/>
                      <w:szCs w:val="21"/>
                      <w:highlight w:val="none"/>
                      <w:u w:val="none"/>
                      <w:lang w:val="en-US" w:eastAsia="zh-CN" w:bidi="ar-SA"/>
                    </w:rPr>
                  </w:pPr>
                  <w:r>
                    <w:rPr>
                      <w:rFonts w:hint="eastAsia" w:ascii="Times New Roman" w:hAnsi="Times New Roman" w:eastAsia="宋体" w:cs="Times New Roman"/>
                      <w:b w:val="0"/>
                      <w:bCs/>
                      <w:color w:val="auto"/>
                      <w:sz w:val="21"/>
                      <w:szCs w:val="21"/>
                      <w:lang w:val="en-US" w:eastAsia="zh-CN"/>
                    </w:rPr>
                    <w:t>经颅磁治疗仪</w:t>
                  </w:r>
                </w:p>
              </w:tc>
              <w:tc>
                <w:tcPr>
                  <w:tcW w:w="1640" w:type="dxa"/>
                  <w:tcBorders>
                    <w:tl2br w:val="nil"/>
                    <w:tr2bl w:val="nil"/>
                  </w:tcBorders>
                  <w:noWrap/>
                  <w:vAlign w:val="center"/>
                </w:tcPr>
                <w:p w14:paraId="62911497">
                  <w:pPr>
                    <w:keepNext w:val="0"/>
                    <w:keepLines w:val="0"/>
                    <w:widowControl/>
                    <w:suppressLineNumbers w:val="0"/>
                    <w:jc w:val="center"/>
                    <w:textAlignment w:val="center"/>
                    <w:rPr>
                      <w:rFonts w:hint="default" w:ascii="Times New Roman" w:hAnsi="Times New Roman" w:eastAsia="宋体" w:cs="Times New Roman"/>
                      <w:i w:val="0"/>
                      <w:color w:val="auto"/>
                      <w:kern w:val="2"/>
                      <w:sz w:val="21"/>
                      <w:szCs w:val="21"/>
                      <w:highlight w:val="none"/>
                      <w:u w:val="none"/>
                      <w:lang w:val="en-US" w:eastAsia="zh-CN" w:bidi="ar-SA"/>
                    </w:rPr>
                  </w:pPr>
                  <w:r>
                    <w:rPr>
                      <w:rFonts w:hint="default" w:ascii="Times New Roman" w:hAnsi="Times New Roman" w:eastAsia="宋体" w:cs="Times New Roman"/>
                      <w:i w:val="0"/>
                      <w:color w:val="auto"/>
                      <w:kern w:val="0"/>
                      <w:sz w:val="21"/>
                      <w:szCs w:val="21"/>
                      <w:highlight w:val="none"/>
                      <w:u w:val="none"/>
                      <w:lang w:val="en-US" w:eastAsia="zh-CN" w:bidi="ar"/>
                    </w:rPr>
                    <w:t>1</w:t>
                  </w:r>
                </w:p>
              </w:tc>
              <w:tc>
                <w:tcPr>
                  <w:tcW w:w="1603" w:type="dxa"/>
                  <w:tcBorders>
                    <w:tl2br w:val="nil"/>
                    <w:tr2bl w:val="nil"/>
                  </w:tcBorders>
                  <w:noWrap/>
                  <w:vAlign w:val="center"/>
                </w:tcPr>
                <w:p w14:paraId="692C0156">
                  <w:pPr>
                    <w:keepNext w:val="0"/>
                    <w:keepLines w:val="0"/>
                    <w:widowControl/>
                    <w:suppressLineNumbers w:val="0"/>
                    <w:jc w:val="center"/>
                    <w:textAlignment w:val="center"/>
                    <w:rPr>
                      <w:rFonts w:hint="default" w:ascii="Times New Roman" w:hAnsi="Times New Roman" w:eastAsia="宋体" w:cs="Times New Roman"/>
                      <w:i w:val="0"/>
                      <w:color w:val="auto"/>
                      <w:kern w:val="2"/>
                      <w:sz w:val="21"/>
                      <w:szCs w:val="21"/>
                      <w:highlight w:val="none"/>
                      <w:u w:val="none"/>
                      <w:lang w:val="en-US" w:eastAsia="zh-CN" w:bidi="ar-SA"/>
                    </w:rPr>
                  </w:pPr>
                  <w:r>
                    <w:rPr>
                      <w:rFonts w:hint="default" w:ascii="Times New Roman" w:hAnsi="Times New Roman" w:eastAsia="宋体" w:cs="Times New Roman"/>
                      <w:i w:val="0"/>
                      <w:color w:val="auto"/>
                      <w:kern w:val="0"/>
                      <w:sz w:val="21"/>
                      <w:szCs w:val="21"/>
                      <w:highlight w:val="none"/>
                      <w:u w:val="none"/>
                      <w:lang w:val="en-US" w:eastAsia="zh-CN" w:bidi="ar"/>
                    </w:rPr>
                    <w:t>台</w:t>
                  </w:r>
                </w:p>
              </w:tc>
            </w:tr>
            <w:tr w14:paraId="6213E4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1364" w:type="dxa"/>
                  <w:tcBorders>
                    <w:tl2br w:val="nil"/>
                    <w:tr2bl w:val="nil"/>
                  </w:tcBorders>
                  <w:noWrap/>
                  <w:vAlign w:val="center"/>
                </w:tcPr>
                <w:p w14:paraId="680C98AD">
                  <w:pPr>
                    <w:widowControl/>
                    <w:jc w:val="center"/>
                    <w:rPr>
                      <w:rFonts w:hint="default" w:ascii="Times New Roman" w:hAnsi="Times New Roman" w:eastAsia="宋体" w:cs="Times New Roman"/>
                      <w:color w:val="auto"/>
                      <w:kern w:val="0"/>
                      <w:szCs w:val="21"/>
                      <w:highlight w:val="none"/>
                      <w:lang w:val="en-US" w:eastAsia="zh-CN"/>
                    </w:rPr>
                  </w:pPr>
                  <w:r>
                    <w:rPr>
                      <w:rFonts w:hint="eastAsia" w:ascii="Times New Roman" w:hAnsi="Times New Roman" w:cs="Times New Roman"/>
                      <w:color w:val="auto"/>
                      <w:kern w:val="0"/>
                      <w:szCs w:val="21"/>
                      <w:highlight w:val="none"/>
                      <w:lang w:val="en-US" w:eastAsia="zh-CN"/>
                    </w:rPr>
                    <w:t>19</w:t>
                  </w:r>
                </w:p>
              </w:tc>
              <w:tc>
                <w:tcPr>
                  <w:tcW w:w="3526" w:type="dxa"/>
                  <w:tcBorders>
                    <w:tl2br w:val="nil"/>
                    <w:tr2bl w:val="nil"/>
                  </w:tcBorders>
                  <w:noWrap/>
                  <w:vAlign w:val="center"/>
                </w:tcPr>
                <w:p w14:paraId="60C11D47">
                  <w:pPr>
                    <w:spacing w:line="240" w:lineRule="auto"/>
                    <w:jc w:val="center"/>
                    <w:rPr>
                      <w:rFonts w:hint="default" w:ascii="Times New Roman" w:hAnsi="Times New Roman" w:eastAsia="宋体" w:cs="Times New Roman"/>
                      <w:i w:val="0"/>
                      <w:color w:val="auto"/>
                      <w:kern w:val="2"/>
                      <w:sz w:val="21"/>
                      <w:szCs w:val="21"/>
                      <w:highlight w:val="none"/>
                      <w:u w:val="none"/>
                      <w:lang w:val="en-US" w:eastAsia="zh-CN" w:bidi="ar-SA"/>
                    </w:rPr>
                  </w:pPr>
                  <w:r>
                    <w:rPr>
                      <w:rFonts w:hint="eastAsia" w:ascii="Times New Roman" w:hAnsi="Times New Roman" w:eastAsia="宋体" w:cs="Times New Roman"/>
                      <w:b w:val="0"/>
                      <w:bCs/>
                      <w:color w:val="auto"/>
                      <w:sz w:val="21"/>
                      <w:szCs w:val="21"/>
                      <w:lang w:val="en-US" w:eastAsia="zh-CN"/>
                    </w:rPr>
                    <w:t>全自动血凝分析仪</w:t>
                  </w:r>
                </w:p>
              </w:tc>
              <w:tc>
                <w:tcPr>
                  <w:tcW w:w="1640" w:type="dxa"/>
                  <w:tcBorders>
                    <w:tl2br w:val="nil"/>
                    <w:tr2bl w:val="nil"/>
                  </w:tcBorders>
                  <w:noWrap/>
                  <w:vAlign w:val="center"/>
                </w:tcPr>
                <w:p w14:paraId="0A82B462">
                  <w:pPr>
                    <w:keepNext w:val="0"/>
                    <w:keepLines w:val="0"/>
                    <w:widowControl/>
                    <w:suppressLineNumbers w:val="0"/>
                    <w:jc w:val="center"/>
                    <w:textAlignment w:val="center"/>
                    <w:rPr>
                      <w:rFonts w:hint="default" w:ascii="Times New Roman" w:hAnsi="Times New Roman" w:eastAsia="宋体" w:cs="Times New Roman"/>
                      <w:i w:val="0"/>
                      <w:color w:val="auto"/>
                      <w:kern w:val="2"/>
                      <w:sz w:val="21"/>
                      <w:szCs w:val="21"/>
                      <w:highlight w:val="none"/>
                      <w:u w:val="none"/>
                      <w:lang w:val="en-US" w:eastAsia="zh-CN" w:bidi="ar-SA"/>
                    </w:rPr>
                  </w:pPr>
                  <w:r>
                    <w:rPr>
                      <w:rFonts w:hint="default" w:ascii="Times New Roman" w:hAnsi="Times New Roman" w:eastAsia="宋体" w:cs="Times New Roman"/>
                      <w:i w:val="0"/>
                      <w:color w:val="auto"/>
                      <w:kern w:val="0"/>
                      <w:sz w:val="21"/>
                      <w:szCs w:val="21"/>
                      <w:highlight w:val="none"/>
                      <w:u w:val="none"/>
                      <w:lang w:val="en-US" w:eastAsia="zh-CN" w:bidi="ar"/>
                    </w:rPr>
                    <w:t>1</w:t>
                  </w:r>
                </w:p>
              </w:tc>
              <w:tc>
                <w:tcPr>
                  <w:tcW w:w="1603" w:type="dxa"/>
                  <w:tcBorders>
                    <w:tl2br w:val="nil"/>
                    <w:tr2bl w:val="nil"/>
                  </w:tcBorders>
                  <w:noWrap/>
                  <w:vAlign w:val="center"/>
                </w:tcPr>
                <w:p w14:paraId="68FD825C">
                  <w:pPr>
                    <w:keepNext w:val="0"/>
                    <w:keepLines w:val="0"/>
                    <w:widowControl/>
                    <w:suppressLineNumbers w:val="0"/>
                    <w:jc w:val="center"/>
                    <w:textAlignment w:val="center"/>
                    <w:rPr>
                      <w:rFonts w:hint="default" w:ascii="Times New Roman" w:hAnsi="Times New Roman" w:eastAsia="宋体" w:cs="Times New Roman"/>
                      <w:i w:val="0"/>
                      <w:color w:val="auto"/>
                      <w:kern w:val="2"/>
                      <w:sz w:val="21"/>
                      <w:szCs w:val="21"/>
                      <w:highlight w:val="none"/>
                      <w:u w:val="none"/>
                      <w:lang w:val="en-US" w:eastAsia="zh-CN" w:bidi="ar-SA"/>
                    </w:rPr>
                  </w:pPr>
                  <w:r>
                    <w:rPr>
                      <w:rFonts w:hint="default" w:ascii="Times New Roman" w:hAnsi="Times New Roman" w:eastAsia="宋体" w:cs="Times New Roman"/>
                      <w:i w:val="0"/>
                      <w:color w:val="auto"/>
                      <w:kern w:val="0"/>
                      <w:sz w:val="21"/>
                      <w:szCs w:val="21"/>
                      <w:highlight w:val="none"/>
                      <w:u w:val="none"/>
                      <w:lang w:val="en-US" w:eastAsia="zh-CN" w:bidi="ar"/>
                    </w:rPr>
                    <w:t>台</w:t>
                  </w:r>
                </w:p>
              </w:tc>
            </w:tr>
            <w:tr w14:paraId="51FF75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1364" w:type="dxa"/>
                  <w:tcBorders>
                    <w:tl2br w:val="nil"/>
                    <w:tr2bl w:val="nil"/>
                  </w:tcBorders>
                  <w:noWrap/>
                  <w:vAlign w:val="center"/>
                </w:tcPr>
                <w:p w14:paraId="0E89B56B">
                  <w:pPr>
                    <w:widowControl/>
                    <w:jc w:val="center"/>
                    <w:rPr>
                      <w:rFonts w:hint="default" w:ascii="Times New Roman" w:hAnsi="Times New Roman" w:eastAsia="宋体" w:cs="Times New Roman"/>
                      <w:color w:val="auto"/>
                      <w:kern w:val="0"/>
                      <w:szCs w:val="21"/>
                      <w:highlight w:val="none"/>
                      <w:lang w:val="en-US" w:eastAsia="zh-CN"/>
                    </w:rPr>
                  </w:pPr>
                  <w:r>
                    <w:rPr>
                      <w:rFonts w:hint="eastAsia" w:ascii="Times New Roman" w:hAnsi="Times New Roman" w:cs="Times New Roman"/>
                      <w:color w:val="auto"/>
                      <w:kern w:val="0"/>
                      <w:szCs w:val="21"/>
                      <w:highlight w:val="none"/>
                      <w:lang w:val="en-US" w:eastAsia="zh-CN"/>
                    </w:rPr>
                    <w:t>20</w:t>
                  </w:r>
                </w:p>
              </w:tc>
              <w:tc>
                <w:tcPr>
                  <w:tcW w:w="3526" w:type="dxa"/>
                  <w:tcBorders>
                    <w:tl2br w:val="nil"/>
                    <w:tr2bl w:val="nil"/>
                  </w:tcBorders>
                  <w:noWrap/>
                  <w:vAlign w:val="center"/>
                </w:tcPr>
                <w:p w14:paraId="6A86B74C">
                  <w:pPr>
                    <w:spacing w:line="240" w:lineRule="auto"/>
                    <w:jc w:val="center"/>
                    <w:rPr>
                      <w:rFonts w:hint="default" w:ascii="Times New Roman" w:hAnsi="Times New Roman" w:eastAsia="宋体" w:cs="Times New Roman"/>
                      <w:i w:val="0"/>
                      <w:color w:val="auto"/>
                      <w:kern w:val="2"/>
                      <w:sz w:val="21"/>
                      <w:szCs w:val="21"/>
                      <w:highlight w:val="none"/>
                      <w:u w:val="none"/>
                      <w:lang w:val="en-US" w:eastAsia="zh-CN" w:bidi="ar-SA"/>
                    </w:rPr>
                  </w:pPr>
                  <w:r>
                    <w:rPr>
                      <w:rFonts w:hint="eastAsia" w:ascii="Times New Roman" w:hAnsi="Times New Roman" w:eastAsia="宋体" w:cs="Times New Roman"/>
                      <w:b w:val="0"/>
                      <w:bCs/>
                      <w:color w:val="auto"/>
                      <w:sz w:val="21"/>
                      <w:szCs w:val="21"/>
                      <w:lang w:val="en-US" w:eastAsia="zh-CN"/>
                    </w:rPr>
                    <w:t>生物安全柜</w:t>
                  </w:r>
                </w:p>
              </w:tc>
              <w:tc>
                <w:tcPr>
                  <w:tcW w:w="1640" w:type="dxa"/>
                  <w:tcBorders>
                    <w:tl2br w:val="nil"/>
                    <w:tr2bl w:val="nil"/>
                  </w:tcBorders>
                  <w:noWrap/>
                  <w:vAlign w:val="center"/>
                </w:tcPr>
                <w:p w14:paraId="32A41177">
                  <w:pPr>
                    <w:keepNext w:val="0"/>
                    <w:keepLines w:val="0"/>
                    <w:widowControl/>
                    <w:suppressLineNumbers w:val="0"/>
                    <w:jc w:val="center"/>
                    <w:textAlignment w:val="center"/>
                    <w:rPr>
                      <w:rFonts w:hint="default" w:ascii="Times New Roman" w:hAnsi="Times New Roman" w:eastAsia="宋体" w:cs="Times New Roman"/>
                      <w:i w:val="0"/>
                      <w:color w:val="auto"/>
                      <w:kern w:val="2"/>
                      <w:sz w:val="21"/>
                      <w:szCs w:val="21"/>
                      <w:highlight w:val="none"/>
                      <w:u w:val="none"/>
                      <w:lang w:val="en-US" w:eastAsia="zh-CN" w:bidi="ar-SA"/>
                    </w:rPr>
                  </w:pPr>
                  <w:r>
                    <w:rPr>
                      <w:rFonts w:hint="default" w:ascii="Times New Roman" w:hAnsi="Times New Roman" w:eastAsia="宋体" w:cs="Times New Roman"/>
                      <w:i w:val="0"/>
                      <w:color w:val="auto"/>
                      <w:kern w:val="0"/>
                      <w:sz w:val="21"/>
                      <w:szCs w:val="21"/>
                      <w:highlight w:val="none"/>
                      <w:u w:val="none"/>
                      <w:lang w:val="en-US" w:eastAsia="zh-CN" w:bidi="ar"/>
                    </w:rPr>
                    <w:t>1</w:t>
                  </w:r>
                </w:p>
              </w:tc>
              <w:tc>
                <w:tcPr>
                  <w:tcW w:w="1603" w:type="dxa"/>
                  <w:tcBorders>
                    <w:tl2br w:val="nil"/>
                    <w:tr2bl w:val="nil"/>
                  </w:tcBorders>
                  <w:noWrap/>
                  <w:vAlign w:val="center"/>
                </w:tcPr>
                <w:p w14:paraId="4EED7FD3">
                  <w:pPr>
                    <w:keepNext w:val="0"/>
                    <w:keepLines w:val="0"/>
                    <w:widowControl/>
                    <w:suppressLineNumbers w:val="0"/>
                    <w:jc w:val="center"/>
                    <w:textAlignment w:val="center"/>
                    <w:rPr>
                      <w:rFonts w:hint="default" w:ascii="Times New Roman" w:hAnsi="Times New Roman" w:eastAsia="宋体" w:cs="Times New Roman"/>
                      <w:i w:val="0"/>
                      <w:color w:val="auto"/>
                      <w:kern w:val="2"/>
                      <w:sz w:val="21"/>
                      <w:szCs w:val="21"/>
                      <w:highlight w:val="none"/>
                      <w:u w:val="none"/>
                      <w:lang w:val="en-US" w:eastAsia="zh-CN" w:bidi="ar-SA"/>
                    </w:rPr>
                  </w:pPr>
                  <w:r>
                    <w:rPr>
                      <w:rFonts w:hint="default" w:ascii="Times New Roman" w:hAnsi="Times New Roman" w:eastAsia="宋体" w:cs="Times New Roman"/>
                      <w:i w:val="0"/>
                      <w:color w:val="auto"/>
                      <w:kern w:val="0"/>
                      <w:sz w:val="21"/>
                      <w:szCs w:val="21"/>
                      <w:highlight w:val="none"/>
                      <w:u w:val="none"/>
                      <w:lang w:val="en-US" w:eastAsia="zh-CN" w:bidi="ar"/>
                    </w:rPr>
                    <w:t>台</w:t>
                  </w:r>
                </w:p>
              </w:tc>
            </w:tr>
            <w:tr w14:paraId="7E5FED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1364" w:type="dxa"/>
                  <w:tcBorders>
                    <w:tl2br w:val="nil"/>
                    <w:tr2bl w:val="nil"/>
                  </w:tcBorders>
                  <w:noWrap/>
                  <w:vAlign w:val="center"/>
                </w:tcPr>
                <w:p w14:paraId="7EB64518">
                  <w:pPr>
                    <w:widowControl/>
                    <w:jc w:val="center"/>
                    <w:rPr>
                      <w:rFonts w:hint="default" w:ascii="Times New Roman" w:hAnsi="Times New Roman" w:eastAsia="宋体" w:cs="Times New Roman"/>
                      <w:color w:val="auto"/>
                      <w:kern w:val="0"/>
                      <w:szCs w:val="21"/>
                      <w:highlight w:val="none"/>
                      <w:lang w:val="en-US" w:eastAsia="zh-CN"/>
                    </w:rPr>
                  </w:pPr>
                  <w:r>
                    <w:rPr>
                      <w:rFonts w:hint="eastAsia" w:ascii="Times New Roman" w:hAnsi="Times New Roman" w:cs="Times New Roman"/>
                      <w:color w:val="auto"/>
                      <w:kern w:val="0"/>
                      <w:szCs w:val="21"/>
                      <w:highlight w:val="none"/>
                      <w:lang w:val="en-US" w:eastAsia="zh-CN"/>
                    </w:rPr>
                    <w:t>21</w:t>
                  </w:r>
                </w:p>
              </w:tc>
              <w:tc>
                <w:tcPr>
                  <w:tcW w:w="3526" w:type="dxa"/>
                  <w:tcBorders>
                    <w:tl2br w:val="nil"/>
                    <w:tr2bl w:val="nil"/>
                  </w:tcBorders>
                  <w:noWrap/>
                  <w:vAlign w:val="center"/>
                </w:tcPr>
                <w:p w14:paraId="39AE3B9A">
                  <w:pPr>
                    <w:spacing w:line="240" w:lineRule="auto"/>
                    <w:jc w:val="center"/>
                    <w:rPr>
                      <w:rFonts w:hint="default" w:ascii="Times New Roman" w:hAnsi="Times New Roman" w:eastAsia="宋体" w:cs="Times New Roman"/>
                      <w:i w:val="0"/>
                      <w:color w:val="auto"/>
                      <w:kern w:val="2"/>
                      <w:sz w:val="21"/>
                      <w:szCs w:val="21"/>
                      <w:highlight w:val="none"/>
                      <w:u w:val="none"/>
                      <w:lang w:val="en-US" w:eastAsia="zh-CN" w:bidi="ar-SA"/>
                    </w:rPr>
                  </w:pPr>
                  <w:r>
                    <w:rPr>
                      <w:rFonts w:hint="eastAsia" w:ascii="Times New Roman" w:hAnsi="Times New Roman" w:eastAsia="宋体" w:cs="Times New Roman"/>
                      <w:b w:val="0"/>
                      <w:bCs/>
                      <w:color w:val="auto"/>
                      <w:sz w:val="21"/>
                      <w:szCs w:val="21"/>
                      <w:lang w:val="en-US" w:eastAsia="zh-CN"/>
                    </w:rPr>
                    <w:t>血药浓度检测设备</w:t>
                  </w:r>
                </w:p>
              </w:tc>
              <w:tc>
                <w:tcPr>
                  <w:tcW w:w="1640" w:type="dxa"/>
                  <w:tcBorders>
                    <w:tl2br w:val="nil"/>
                    <w:tr2bl w:val="nil"/>
                  </w:tcBorders>
                  <w:noWrap/>
                  <w:vAlign w:val="center"/>
                </w:tcPr>
                <w:p w14:paraId="21746233">
                  <w:pPr>
                    <w:keepNext w:val="0"/>
                    <w:keepLines w:val="0"/>
                    <w:widowControl/>
                    <w:suppressLineNumbers w:val="0"/>
                    <w:jc w:val="center"/>
                    <w:textAlignment w:val="center"/>
                    <w:rPr>
                      <w:rFonts w:hint="default" w:ascii="Times New Roman" w:hAnsi="Times New Roman" w:eastAsia="宋体" w:cs="Times New Roman"/>
                      <w:i w:val="0"/>
                      <w:color w:val="auto"/>
                      <w:kern w:val="2"/>
                      <w:sz w:val="21"/>
                      <w:szCs w:val="21"/>
                      <w:highlight w:val="none"/>
                      <w:u w:val="none"/>
                      <w:lang w:val="en-US" w:eastAsia="zh-CN" w:bidi="ar-SA"/>
                    </w:rPr>
                  </w:pPr>
                  <w:r>
                    <w:rPr>
                      <w:rFonts w:hint="default" w:ascii="Times New Roman" w:hAnsi="Times New Roman" w:eastAsia="宋体" w:cs="Times New Roman"/>
                      <w:i w:val="0"/>
                      <w:color w:val="auto"/>
                      <w:kern w:val="0"/>
                      <w:sz w:val="21"/>
                      <w:szCs w:val="21"/>
                      <w:highlight w:val="none"/>
                      <w:u w:val="none"/>
                      <w:lang w:val="en-US" w:eastAsia="zh-CN" w:bidi="ar"/>
                    </w:rPr>
                    <w:t>1</w:t>
                  </w:r>
                </w:p>
              </w:tc>
              <w:tc>
                <w:tcPr>
                  <w:tcW w:w="1603" w:type="dxa"/>
                  <w:tcBorders>
                    <w:tl2br w:val="nil"/>
                    <w:tr2bl w:val="nil"/>
                  </w:tcBorders>
                  <w:noWrap/>
                  <w:vAlign w:val="center"/>
                </w:tcPr>
                <w:p w14:paraId="3D82A5EF">
                  <w:pPr>
                    <w:keepNext w:val="0"/>
                    <w:keepLines w:val="0"/>
                    <w:widowControl/>
                    <w:suppressLineNumbers w:val="0"/>
                    <w:jc w:val="center"/>
                    <w:textAlignment w:val="center"/>
                    <w:rPr>
                      <w:rFonts w:hint="default" w:ascii="Times New Roman" w:hAnsi="Times New Roman" w:eastAsia="宋体" w:cs="Times New Roman"/>
                      <w:i w:val="0"/>
                      <w:color w:val="auto"/>
                      <w:kern w:val="2"/>
                      <w:sz w:val="21"/>
                      <w:szCs w:val="21"/>
                      <w:highlight w:val="none"/>
                      <w:u w:val="none"/>
                      <w:lang w:val="en-US" w:eastAsia="zh-CN" w:bidi="ar-SA"/>
                    </w:rPr>
                  </w:pPr>
                  <w:r>
                    <w:rPr>
                      <w:rFonts w:hint="default" w:ascii="Times New Roman" w:hAnsi="Times New Roman" w:eastAsia="宋体" w:cs="Times New Roman"/>
                      <w:i w:val="0"/>
                      <w:color w:val="auto"/>
                      <w:kern w:val="0"/>
                      <w:sz w:val="21"/>
                      <w:szCs w:val="21"/>
                      <w:highlight w:val="none"/>
                      <w:u w:val="none"/>
                      <w:lang w:val="en-US" w:eastAsia="zh-CN" w:bidi="ar"/>
                    </w:rPr>
                    <w:t>台</w:t>
                  </w:r>
                </w:p>
              </w:tc>
            </w:tr>
            <w:tr w14:paraId="727CCA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1364" w:type="dxa"/>
                  <w:tcBorders>
                    <w:tl2br w:val="nil"/>
                    <w:tr2bl w:val="nil"/>
                  </w:tcBorders>
                  <w:noWrap/>
                  <w:vAlign w:val="center"/>
                </w:tcPr>
                <w:p w14:paraId="6DBD99EA">
                  <w:pPr>
                    <w:widowControl/>
                    <w:jc w:val="center"/>
                    <w:rPr>
                      <w:rFonts w:hint="default" w:ascii="Times New Roman" w:hAnsi="Times New Roman" w:eastAsia="宋体" w:cs="Times New Roman"/>
                      <w:color w:val="auto"/>
                      <w:kern w:val="0"/>
                      <w:szCs w:val="21"/>
                      <w:highlight w:val="none"/>
                      <w:lang w:val="en-US" w:eastAsia="zh-CN"/>
                    </w:rPr>
                  </w:pPr>
                  <w:r>
                    <w:rPr>
                      <w:rFonts w:hint="eastAsia" w:ascii="Times New Roman" w:hAnsi="Times New Roman" w:cs="Times New Roman"/>
                      <w:color w:val="auto"/>
                      <w:kern w:val="0"/>
                      <w:szCs w:val="21"/>
                      <w:highlight w:val="none"/>
                      <w:lang w:val="en-US" w:eastAsia="zh-CN"/>
                    </w:rPr>
                    <w:t>22</w:t>
                  </w:r>
                </w:p>
              </w:tc>
              <w:tc>
                <w:tcPr>
                  <w:tcW w:w="3526" w:type="dxa"/>
                  <w:tcBorders>
                    <w:tl2br w:val="nil"/>
                    <w:tr2bl w:val="nil"/>
                  </w:tcBorders>
                  <w:noWrap/>
                  <w:vAlign w:val="center"/>
                </w:tcPr>
                <w:p w14:paraId="051A7B12">
                  <w:pPr>
                    <w:spacing w:line="240" w:lineRule="auto"/>
                    <w:jc w:val="center"/>
                    <w:rPr>
                      <w:rFonts w:hint="default" w:ascii="Times New Roman" w:hAnsi="Times New Roman" w:eastAsia="宋体" w:cs="Times New Roman"/>
                      <w:i w:val="0"/>
                      <w:color w:val="auto"/>
                      <w:kern w:val="2"/>
                      <w:sz w:val="21"/>
                      <w:szCs w:val="21"/>
                      <w:highlight w:val="none"/>
                      <w:u w:val="none"/>
                      <w:lang w:val="en-US" w:eastAsia="zh-CN" w:bidi="ar-SA"/>
                    </w:rPr>
                  </w:pPr>
                  <w:r>
                    <w:rPr>
                      <w:rFonts w:hint="eastAsia" w:ascii="Times New Roman" w:hAnsi="Times New Roman" w:eastAsia="宋体" w:cs="Times New Roman"/>
                      <w:b w:val="0"/>
                      <w:bCs/>
                      <w:color w:val="auto"/>
                      <w:sz w:val="21"/>
                      <w:szCs w:val="21"/>
                      <w:lang w:val="en-US" w:eastAsia="zh-CN"/>
                    </w:rPr>
                    <w:t>心脏按摩机</w:t>
                  </w:r>
                </w:p>
              </w:tc>
              <w:tc>
                <w:tcPr>
                  <w:tcW w:w="1640" w:type="dxa"/>
                  <w:tcBorders>
                    <w:tl2br w:val="nil"/>
                    <w:tr2bl w:val="nil"/>
                  </w:tcBorders>
                  <w:noWrap/>
                  <w:vAlign w:val="center"/>
                </w:tcPr>
                <w:p w14:paraId="6A643B87">
                  <w:pPr>
                    <w:keepNext w:val="0"/>
                    <w:keepLines w:val="0"/>
                    <w:widowControl/>
                    <w:suppressLineNumbers w:val="0"/>
                    <w:jc w:val="center"/>
                    <w:textAlignment w:val="center"/>
                    <w:rPr>
                      <w:rFonts w:hint="default" w:ascii="Times New Roman" w:hAnsi="Times New Roman" w:eastAsia="宋体" w:cs="Times New Roman"/>
                      <w:i w:val="0"/>
                      <w:color w:val="auto"/>
                      <w:kern w:val="2"/>
                      <w:sz w:val="21"/>
                      <w:szCs w:val="21"/>
                      <w:highlight w:val="none"/>
                      <w:u w:val="none"/>
                      <w:lang w:val="en-US" w:eastAsia="zh-CN" w:bidi="ar-SA"/>
                    </w:rPr>
                  </w:pPr>
                  <w:r>
                    <w:rPr>
                      <w:rFonts w:hint="default" w:ascii="Times New Roman" w:hAnsi="Times New Roman" w:eastAsia="宋体" w:cs="Times New Roman"/>
                      <w:i w:val="0"/>
                      <w:color w:val="auto"/>
                      <w:kern w:val="0"/>
                      <w:sz w:val="21"/>
                      <w:szCs w:val="21"/>
                      <w:highlight w:val="none"/>
                      <w:u w:val="none"/>
                      <w:lang w:val="en-US" w:eastAsia="zh-CN" w:bidi="ar"/>
                    </w:rPr>
                    <w:t>1</w:t>
                  </w:r>
                </w:p>
              </w:tc>
              <w:tc>
                <w:tcPr>
                  <w:tcW w:w="1603" w:type="dxa"/>
                  <w:tcBorders>
                    <w:tl2br w:val="nil"/>
                    <w:tr2bl w:val="nil"/>
                  </w:tcBorders>
                  <w:noWrap/>
                  <w:vAlign w:val="center"/>
                </w:tcPr>
                <w:p w14:paraId="672B3C62">
                  <w:pPr>
                    <w:keepNext w:val="0"/>
                    <w:keepLines w:val="0"/>
                    <w:widowControl/>
                    <w:suppressLineNumbers w:val="0"/>
                    <w:jc w:val="center"/>
                    <w:textAlignment w:val="center"/>
                    <w:rPr>
                      <w:rFonts w:hint="default" w:ascii="Times New Roman" w:hAnsi="Times New Roman" w:eastAsia="宋体" w:cs="Times New Roman"/>
                      <w:i w:val="0"/>
                      <w:color w:val="auto"/>
                      <w:kern w:val="2"/>
                      <w:sz w:val="21"/>
                      <w:szCs w:val="21"/>
                      <w:highlight w:val="none"/>
                      <w:u w:val="none"/>
                      <w:lang w:val="en-US" w:eastAsia="zh-CN" w:bidi="ar-SA"/>
                    </w:rPr>
                  </w:pPr>
                  <w:r>
                    <w:rPr>
                      <w:rFonts w:hint="default" w:ascii="Times New Roman" w:hAnsi="Times New Roman" w:eastAsia="宋体" w:cs="Times New Roman"/>
                      <w:i w:val="0"/>
                      <w:color w:val="auto"/>
                      <w:kern w:val="0"/>
                      <w:sz w:val="21"/>
                      <w:szCs w:val="21"/>
                      <w:highlight w:val="none"/>
                      <w:u w:val="none"/>
                      <w:lang w:val="en-US" w:eastAsia="zh-CN" w:bidi="ar"/>
                    </w:rPr>
                    <w:t>台</w:t>
                  </w:r>
                </w:p>
              </w:tc>
            </w:tr>
            <w:tr w14:paraId="55EC2C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1364" w:type="dxa"/>
                  <w:tcBorders>
                    <w:tl2br w:val="nil"/>
                    <w:tr2bl w:val="nil"/>
                  </w:tcBorders>
                  <w:noWrap/>
                  <w:vAlign w:val="center"/>
                </w:tcPr>
                <w:p w14:paraId="4C6E0235">
                  <w:pPr>
                    <w:widowControl/>
                    <w:jc w:val="center"/>
                    <w:rPr>
                      <w:rFonts w:hint="default" w:ascii="Times New Roman" w:hAnsi="Times New Roman" w:eastAsia="宋体" w:cs="Times New Roman"/>
                      <w:color w:val="auto"/>
                      <w:kern w:val="0"/>
                      <w:szCs w:val="21"/>
                      <w:highlight w:val="none"/>
                      <w:lang w:val="en-US" w:eastAsia="zh-CN"/>
                    </w:rPr>
                  </w:pPr>
                  <w:r>
                    <w:rPr>
                      <w:rFonts w:hint="eastAsia" w:ascii="Times New Roman" w:hAnsi="Times New Roman" w:cs="Times New Roman"/>
                      <w:color w:val="auto"/>
                      <w:kern w:val="0"/>
                      <w:szCs w:val="21"/>
                      <w:highlight w:val="none"/>
                      <w:lang w:val="en-US" w:eastAsia="zh-CN"/>
                    </w:rPr>
                    <w:t>23</w:t>
                  </w:r>
                </w:p>
              </w:tc>
              <w:tc>
                <w:tcPr>
                  <w:tcW w:w="3526" w:type="dxa"/>
                  <w:tcBorders>
                    <w:tl2br w:val="nil"/>
                    <w:tr2bl w:val="nil"/>
                  </w:tcBorders>
                  <w:noWrap/>
                  <w:vAlign w:val="center"/>
                </w:tcPr>
                <w:p w14:paraId="163F2F58">
                  <w:pPr>
                    <w:spacing w:line="240" w:lineRule="auto"/>
                    <w:jc w:val="center"/>
                    <w:rPr>
                      <w:rFonts w:hint="default" w:ascii="Times New Roman" w:hAnsi="Times New Roman" w:eastAsia="宋体" w:cs="Times New Roman"/>
                      <w:i w:val="0"/>
                      <w:color w:val="auto"/>
                      <w:kern w:val="2"/>
                      <w:sz w:val="21"/>
                      <w:szCs w:val="21"/>
                      <w:highlight w:val="none"/>
                      <w:u w:val="none"/>
                      <w:lang w:val="en-US" w:eastAsia="zh-CN" w:bidi="ar-SA"/>
                    </w:rPr>
                  </w:pPr>
                  <w:r>
                    <w:rPr>
                      <w:rFonts w:hint="eastAsia" w:ascii="Times New Roman" w:hAnsi="Times New Roman" w:eastAsia="宋体" w:cs="Times New Roman"/>
                      <w:b w:val="0"/>
                      <w:bCs/>
                      <w:color w:val="auto"/>
                      <w:sz w:val="21"/>
                      <w:szCs w:val="21"/>
                      <w:lang w:val="en-US" w:eastAsia="zh-CN"/>
                    </w:rPr>
                    <w:t>心理测评软件</w:t>
                  </w:r>
                </w:p>
              </w:tc>
              <w:tc>
                <w:tcPr>
                  <w:tcW w:w="1640" w:type="dxa"/>
                  <w:tcBorders>
                    <w:tl2br w:val="nil"/>
                    <w:tr2bl w:val="nil"/>
                  </w:tcBorders>
                  <w:noWrap/>
                  <w:vAlign w:val="center"/>
                </w:tcPr>
                <w:p w14:paraId="644B33DF">
                  <w:pPr>
                    <w:keepNext w:val="0"/>
                    <w:keepLines w:val="0"/>
                    <w:widowControl/>
                    <w:suppressLineNumbers w:val="0"/>
                    <w:jc w:val="center"/>
                    <w:textAlignment w:val="center"/>
                    <w:rPr>
                      <w:rFonts w:hint="default" w:ascii="Times New Roman" w:hAnsi="Times New Roman" w:eastAsia="宋体" w:cs="Times New Roman"/>
                      <w:i w:val="0"/>
                      <w:color w:val="auto"/>
                      <w:kern w:val="2"/>
                      <w:sz w:val="21"/>
                      <w:szCs w:val="21"/>
                      <w:highlight w:val="none"/>
                      <w:u w:val="none"/>
                      <w:lang w:val="en-US" w:eastAsia="zh-CN" w:bidi="ar-SA"/>
                    </w:rPr>
                  </w:pPr>
                  <w:r>
                    <w:rPr>
                      <w:rFonts w:hint="default" w:ascii="Times New Roman" w:hAnsi="Times New Roman" w:eastAsia="宋体" w:cs="Times New Roman"/>
                      <w:i w:val="0"/>
                      <w:color w:val="auto"/>
                      <w:kern w:val="0"/>
                      <w:sz w:val="21"/>
                      <w:szCs w:val="21"/>
                      <w:highlight w:val="none"/>
                      <w:u w:val="none"/>
                      <w:lang w:val="en-US" w:eastAsia="zh-CN" w:bidi="ar"/>
                    </w:rPr>
                    <w:t>1</w:t>
                  </w:r>
                </w:p>
              </w:tc>
              <w:tc>
                <w:tcPr>
                  <w:tcW w:w="1603" w:type="dxa"/>
                  <w:tcBorders>
                    <w:tl2br w:val="nil"/>
                    <w:tr2bl w:val="nil"/>
                  </w:tcBorders>
                  <w:noWrap/>
                  <w:vAlign w:val="center"/>
                </w:tcPr>
                <w:p w14:paraId="7B022E36">
                  <w:pPr>
                    <w:keepNext w:val="0"/>
                    <w:keepLines w:val="0"/>
                    <w:widowControl/>
                    <w:suppressLineNumbers w:val="0"/>
                    <w:jc w:val="center"/>
                    <w:textAlignment w:val="center"/>
                    <w:rPr>
                      <w:rFonts w:hint="default" w:ascii="Times New Roman" w:hAnsi="Times New Roman" w:eastAsia="宋体" w:cs="Times New Roman"/>
                      <w:i w:val="0"/>
                      <w:color w:val="auto"/>
                      <w:kern w:val="2"/>
                      <w:sz w:val="21"/>
                      <w:szCs w:val="21"/>
                      <w:highlight w:val="none"/>
                      <w:u w:val="none"/>
                      <w:lang w:val="en-US" w:eastAsia="zh-CN" w:bidi="ar-SA"/>
                    </w:rPr>
                  </w:pPr>
                  <w:r>
                    <w:rPr>
                      <w:rFonts w:hint="default" w:ascii="Times New Roman" w:hAnsi="Times New Roman" w:eastAsia="宋体" w:cs="Times New Roman"/>
                      <w:i w:val="0"/>
                      <w:color w:val="auto"/>
                      <w:kern w:val="0"/>
                      <w:sz w:val="21"/>
                      <w:szCs w:val="21"/>
                      <w:highlight w:val="none"/>
                      <w:u w:val="none"/>
                      <w:lang w:val="en-US" w:eastAsia="zh-CN" w:bidi="ar"/>
                    </w:rPr>
                    <w:t>台</w:t>
                  </w:r>
                </w:p>
              </w:tc>
            </w:tr>
            <w:tr w14:paraId="0F72B8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1364" w:type="dxa"/>
                  <w:tcBorders>
                    <w:tl2br w:val="nil"/>
                    <w:tr2bl w:val="nil"/>
                  </w:tcBorders>
                  <w:noWrap/>
                  <w:vAlign w:val="center"/>
                </w:tcPr>
                <w:p w14:paraId="00752362">
                  <w:pPr>
                    <w:widowControl/>
                    <w:jc w:val="center"/>
                    <w:rPr>
                      <w:rFonts w:hint="default" w:ascii="Times New Roman" w:hAnsi="Times New Roman" w:eastAsia="宋体" w:cs="Times New Roman"/>
                      <w:color w:val="auto"/>
                      <w:kern w:val="0"/>
                      <w:szCs w:val="21"/>
                      <w:highlight w:val="none"/>
                      <w:lang w:val="en-US" w:eastAsia="zh-CN"/>
                    </w:rPr>
                  </w:pPr>
                  <w:r>
                    <w:rPr>
                      <w:rFonts w:hint="eastAsia" w:ascii="Times New Roman" w:hAnsi="Times New Roman" w:cs="Times New Roman"/>
                      <w:color w:val="auto"/>
                      <w:kern w:val="0"/>
                      <w:szCs w:val="21"/>
                      <w:highlight w:val="none"/>
                      <w:lang w:val="en-US" w:eastAsia="zh-CN"/>
                    </w:rPr>
                    <w:t>24</w:t>
                  </w:r>
                </w:p>
              </w:tc>
              <w:tc>
                <w:tcPr>
                  <w:tcW w:w="3526" w:type="dxa"/>
                  <w:tcBorders>
                    <w:tl2br w:val="nil"/>
                    <w:tr2bl w:val="nil"/>
                  </w:tcBorders>
                  <w:noWrap/>
                  <w:vAlign w:val="center"/>
                </w:tcPr>
                <w:p w14:paraId="797FD602">
                  <w:pPr>
                    <w:spacing w:line="240" w:lineRule="auto"/>
                    <w:jc w:val="center"/>
                    <w:rPr>
                      <w:rFonts w:hint="default" w:ascii="Times New Roman" w:hAnsi="Times New Roman" w:eastAsia="宋体" w:cs="Times New Roman"/>
                      <w:i w:val="0"/>
                      <w:color w:val="auto"/>
                      <w:kern w:val="2"/>
                      <w:sz w:val="21"/>
                      <w:szCs w:val="21"/>
                      <w:highlight w:val="none"/>
                      <w:u w:val="none"/>
                      <w:lang w:val="en-US" w:eastAsia="zh-CN" w:bidi="ar-SA"/>
                    </w:rPr>
                  </w:pPr>
                  <w:r>
                    <w:rPr>
                      <w:rFonts w:hint="eastAsia" w:ascii="Times New Roman" w:hAnsi="Times New Roman" w:eastAsia="宋体" w:cs="Times New Roman"/>
                      <w:b w:val="0"/>
                      <w:bCs/>
                      <w:color w:val="auto"/>
                      <w:sz w:val="21"/>
                      <w:szCs w:val="21"/>
                      <w:lang w:val="en-US" w:eastAsia="zh-CN"/>
                    </w:rPr>
                    <w:t>诱发电位仪</w:t>
                  </w:r>
                </w:p>
              </w:tc>
              <w:tc>
                <w:tcPr>
                  <w:tcW w:w="1640" w:type="dxa"/>
                  <w:tcBorders>
                    <w:tl2br w:val="nil"/>
                    <w:tr2bl w:val="nil"/>
                  </w:tcBorders>
                  <w:noWrap/>
                  <w:vAlign w:val="center"/>
                </w:tcPr>
                <w:p w14:paraId="4E75CC63">
                  <w:pPr>
                    <w:keepNext w:val="0"/>
                    <w:keepLines w:val="0"/>
                    <w:widowControl/>
                    <w:suppressLineNumbers w:val="0"/>
                    <w:jc w:val="center"/>
                    <w:textAlignment w:val="center"/>
                    <w:rPr>
                      <w:rFonts w:hint="default" w:ascii="Times New Roman" w:hAnsi="Times New Roman" w:eastAsia="宋体" w:cs="Times New Roman"/>
                      <w:i w:val="0"/>
                      <w:color w:val="auto"/>
                      <w:kern w:val="2"/>
                      <w:sz w:val="21"/>
                      <w:szCs w:val="21"/>
                      <w:highlight w:val="none"/>
                      <w:u w:val="none"/>
                      <w:lang w:val="en-US" w:eastAsia="zh-CN" w:bidi="ar-SA"/>
                    </w:rPr>
                  </w:pPr>
                  <w:r>
                    <w:rPr>
                      <w:rFonts w:hint="default" w:ascii="Times New Roman" w:hAnsi="Times New Roman" w:eastAsia="宋体" w:cs="Times New Roman"/>
                      <w:i w:val="0"/>
                      <w:color w:val="auto"/>
                      <w:kern w:val="0"/>
                      <w:sz w:val="21"/>
                      <w:szCs w:val="21"/>
                      <w:highlight w:val="none"/>
                      <w:u w:val="none"/>
                      <w:lang w:val="en-US" w:eastAsia="zh-CN" w:bidi="ar"/>
                    </w:rPr>
                    <w:t>1</w:t>
                  </w:r>
                </w:p>
              </w:tc>
              <w:tc>
                <w:tcPr>
                  <w:tcW w:w="1603" w:type="dxa"/>
                  <w:tcBorders>
                    <w:tl2br w:val="nil"/>
                    <w:tr2bl w:val="nil"/>
                  </w:tcBorders>
                  <w:noWrap/>
                  <w:vAlign w:val="center"/>
                </w:tcPr>
                <w:p w14:paraId="2E737E7A">
                  <w:pPr>
                    <w:keepNext w:val="0"/>
                    <w:keepLines w:val="0"/>
                    <w:widowControl/>
                    <w:suppressLineNumbers w:val="0"/>
                    <w:jc w:val="center"/>
                    <w:textAlignment w:val="center"/>
                    <w:rPr>
                      <w:rFonts w:hint="default" w:ascii="Times New Roman" w:hAnsi="Times New Roman" w:eastAsia="宋体" w:cs="Times New Roman"/>
                      <w:i w:val="0"/>
                      <w:color w:val="auto"/>
                      <w:kern w:val="2"/>
                      <w:sz w:val="21"/>
                      <w:szCs w:val="21"/>
                      <w:highlight w:val="none"/>
                      <w:u w:val="none"/>
                      <w:lang w:val="en-US" w:eastAsia="zh-CN" w:bidi="ar-SA"/>
                    </w:rPr>
                  </w:pPr>
                  <w:r>
                    <w:rPr>
                      <w:rFonts w:hint="default" w:ascii="Times New Roman" w:hAnsi="Times New Roman" w:eastAsia="宋体" w:cs="Times New Roman"/>
                      <w:i w:val="0"/>
                      <w:color w:val="auto"/>
                      <w:kern w:val="0"/>
                      <w:sz w:val="21"/>
                      <w:szCs w:val="21"/>
                      <w:highlight w:val="none"/>
                      <w:u w:val="none"/>
                      <w:lang w:val="en-US" w:eastAsia="zh-CN" w:bidi="ar"/>
                    </w:rPr>
                    <w:t>台</w:t>
                  </w:r>
                </w:p>
              </w:tc>
            </w:tr>
            <w:tr w14:paraId="0496CF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1364" w:type="dxa"/>
                  <w:tcBorders>
                    <w:tl2br w:val="nil"/>
                    <w:tr2bl w:val="nil"/>
                  </w:tcBorders>
                  <w:noWrap/>
                  <w:vAlign w:val="center"/>
                </w:tcPr>
                <w:p w14:paraId="65865157">
                  <w:pPr>
                    <w:widowControl/>
                    <w:jc w:val="center"/>
                    <w:rPr>
                      <w:rFonts w:hint="default" w:ascii="Times New Roman" w:hAnsi="Times New Roman" w:eastAsia="宋体" w:cs="Times New Roman"/>
                      <w:color w:val="auto"/>
                      <w:kern w:val="0"/>
                      <w:szCs w:val="21"/>
                      <w:highlight w:val="none"/>
                      <w:lang w:val="en-US" w:eastAsia="zh-CN"/>
                    </w:rPr>
                  </w:pPr>
                  <w:r>
                    <w:rPr>
                      <w:rFonts w:hint="eastAsia" w:ascii="Times New Roman" w:hAnsi="Times New Roman" w:cs="Times New Roman"/>
                      <w:color w:val="auto"/>
                      <w:kern w:val="0"/>
                      <w:szCs w:val="21"/>
                      <w:highlight w:val="none"/>
                      <w:lang w:val="en-US" w:eastAsia="zh-CN"/>
                    </w:rPr>
                    <w:t>25</w:t>
                  </w:r>
                </w:p>
              </w:tc>
              <w:tc>
                <w:tcPr>
                  <w:tcW w:w="3526" w:type="dxa"/>
                  <w:tcBorders>
                    <w:tl2br w:val="nil"/>
                    <w:tr2bl w:val="nil"/>
                  </w:tcBorders>
                  <w:noWrap/>
                  <w:vAlign w:val="center"/>
                </w:tcPr>
                <w:p w14:paraId="22EEEE45">
                  <w:pPr>
                    <w:spacing w:line="240" w:lineRule="auto"/>
                    <w:jc w:val="center"/>
                    <w:rPr>
                      <w:rFonts w:hint="default" w:ascii="Times New Roman" w:hAnsi="Times New Roman" w:eastAsia="宋体" w:cs="Times New Roman"/>
                      <w:i w:val="0"/>
                      <w:color w:val="auto"/>
                      <w:kern w:val="2"/>
                      <w:sz w:val="21"/>
                      <w:szCs w:val="21"/>
                      <w:highlight w:val="none"/>
                      <w:u w:val="none"/>
                      <w:lang w:val="en-US" w:eastAsia="zh-CN" w:bidi="ar-SA"/>
                    </w:rPr>
                  </w:pPr>
                  <w:r>
                    <w:rPr>
                      <w:rFonts w:hint="eastAsia" w:ascii="Times New Roman" w:hAnsi="Times New Roman" w:eastAsia="宋体" w:cs="Times New Roman"/>
                      <w:b w:val="0"/>
                      <w:bCs/>
                      <w:color w:val="auto"/>
                      <w:sz w:val="21"/>
                      <w:szCs w:val="21"/>
                      <w:lang w:val="en-US" w:eastAsia="zh-CN"/>
                    </w:rPr>
                    <w:t>化学发光分析仪</w:t>
                  </w:r>
                </w:p>
              </w:tc>
              <w:tc>
                <w:tcPr>
                  <w:tcW w:w="1640" w:type="dxa"/>
                  <w:tcBorders>
                    <w:tl2br w:val="nil"/>
                    <w:tr2bl w:val="nil"/>
                  </w:tcBorders>
                  <w:noWrap/>
                  <w:vAlign w:val="center"/>
                </w:tcPr>
                <w:p w14:paraId="4B307F17">
                  <w:pPr>
                    <w:keepNext w:val="0"/>
                    <w:keepLines w:val="0"/>
                    <w:widowControl/>
                    <w:suppressLineNumbers w:val="0"/>
                    <w:jc w:val="center"/>
                    <w:textAlignment w:val="center"/>
                    <w:rPr>
                      <w:rFonts w:hint="default" w:ascii="Times New Roman" w:hAnsi="Times New Roman" w:eastAsia="宋体" w:cs="Times New Roman"/>
                      <w:i w:val="0"/>
                      <w:color w:val="auto"/>
                      <w:kern w:val="2"/>
                      <w:sz w:val="21"/>
                      <w:szCs w:val="21"/>
                      <w:highlight w:val="none"/>
                      <w:u w:val="none"/>
                      <w:lang w:val="en-US" w:eastAsia="zh-CN" w:bidi="ar-SA"/>
                    </w:rPr>
                  </w:pPr>
                  <w:r>
                    <w:rPr>
                      <w:rFonts w:hint="default" w:ascii="Times New Roman" w:hAnsi="Times New Roman" w:eastAsia="宋体" w:cs="Times New Roman"/>
                      <w:i w:val="0"/>
                      <w:color w:val="auto"/>
                      <w:kern w:val="0"/>
                      <w:sz w:val="21"/>
                      <w:szCs w:val="21"/>
                      <w:highlight w:val="none"/>
                      <w:u w:val="none"/>
                      <w:lang w:val="en-US" w:eastAsia="zh-CN" w:bidi="ar"/>
                    </w:rPr>
                    <w:t>1</w:t>
                  </w:r>
                </w:p>
              </w:tc>
              <w:tc>
                <w:tcPr>
                  <w:tcW w:w="1603" w:type="dxa"/>
                  <w:tcBorders>
                    <w:tl2br w:val="nil"/>
                    <w:tr2bl w:val="nil"/>
                  </w:tcBorders>
                  <w:noWrap/>
                  <w:vAlign w:val="center"/>
                </w:tcPr>
                <w:p w14:paraId="3A51D5C3">
                  <w:pPr>
                    <w:keepNext w:val="0"/>
                    <w:keepLines w:val="0"/>
                    <w:widowControl/>
                    <w:suppressLineNumbers w:val="0"/>
                    <w:jc w:val="center"/>
                    <w:textAlignment w:val="center"/>
                    <w:rPr>
                      <w:rFonts w:hint="default" w:ascii="Times New Roman" w:hAnsi="Times New Roman" w:eastAsia="宋体" w:cs="Times New Roman"/>
                      <w:i w:val="0"/>
                      <w:color w:val="auto"/>
                      <w:kern w:val="2"/>
                      <w:sz w:val="21"/>
                      <w:szCs w:val="21"/>
                      <w:highlight w:val="none"/>
                      <w:u w:val="none"/>
                      <w:lang w:val="en-US" w:eastAsia="zh-CN" w:bidi="ar-SA"/>
                    </w:rPr>
                  </w:pPr>
                  <w:r>
                    <w:rPr>
                      <w:rFonts w:hint="default" w:ascii="Times New Roman" w:hAnsi="Times New Roman" w:eastAsia="宋体" w:cs="Times New Roman"/>
                      <w:i w:val="0"/>
                      <w:color w:val="auto"/>
                      <w:kern w:val="0"/>
                      <w:sz w:val="21"/>
                      <w:szCs w:val="21"/>
                      <w:highlight w:val="none"/>
                      <w:u w:val="none"/>
                      <w:lang w:val="en-US" w:eastAsia="zh-CN" w:bidi="ar"/>
                    </w:rPr>
                    <w:t>台</w:t>
                  </w:r>
                </w:p>
              </w:tc>
            </w:tr>
            <w:tr w14:paraId="3A79E0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1364" w:type="dxa"/>
                  <w:tcBorders>
                    <w:tl2br w:val="nil"/>
                    <w:tr2bl w:val="nil"/>
                  </w:tcBorders>
                  <w:noWrap/>
                  <w:vAlign w:val="center"/>
                </w:tcPr>
                <w:p w14:paraId="7DBBE7F4">
                  <w:pPr>
                    <w:widowControl/>
                    <w:jc w:val="center"/>
                    <w:rPr>
                      <w:rFonts w:hint="default" w:ascii="Times New Roman" w:hAnsi="Times New Roman" w:eastAsia="宋体" w:cs="Times New Roman"/>
                      <w:color w:val="auto"/>
                      <w:kern w:val="0"/>
                      <w:szCs w:val="21"/>
                      <w:highlight w:val="none"/>
                      <w:lang w:val="en-US" w:eastAsia="zh-CN"/>
                    </w:rPr>
                  </w:pPr>
                  <w:r>
                    <w:rPr>
                      <w:rFonts w:hint="eastAsia" w:ascii="Times New Roman" w:hAnsi="Times New Roman" w:cs="Times New Roman"/>
                      <w:color w:val="auto"/>
                      <w:kern w:val="0"/>
                      <w:szCs w:val="21"/>
                      <w:highlight w:val="none"/>
                      <w:lang w:val="en-US" w:eastAsia="zh-CN"/>
                    </w:rPr>
                    <w:t>26</w:t>
                  </w:r>
                </w:p>
              </w:tc>
              <w:tc>
                <w:tcPr>
                  <w:tcW w:w="3526" w:type="dxa"/>
                  <w:tcBorders>
                    <w:tl2br w:val="nil"/>
                    <w:tr2bl w:val="nil"/>
                  </w:tcBorders>
                  <w:noWrap/>
                  <w:vAlign w:val="center"/>
                </w:tcPr>
                <w:p w14:paraId="7D0E7A25">
                  <w:pPr>
                    <w:spacing w:line="240" w:lineRule="auto"/>
                    <w:jc w:val="center"/>
                    <w:rPr>
                      <w:rFonts w:hint="default" w:ascii="Times New Roman" w:hAnsi="Times New Roman" w:eastAsia="宋体" w:cs="Times New Roman"/>
                      <w:i w:val="0"/>
                      <w:color w:val="auto"/>
                      <w:kern w:val="2"/>
                      <w:sz w:val="21"/>
                      <w:szCs w:val="21"/>
                      <w:highlight w:val="none"/>
                      <w:u w:val="none"/>
                      <w:lang w:val="en-US" w:eastAsia="zh-CN" w:bidi="ar-SA"/>
                    </w:rPr>
                  </w:pPr>
                  <w:r>
                    <w:rPr>
                      <w:rFonts w:hint="eastAsia" w:ascii="Times New Roman" w:hAnsi="Times New Roman" w:eastAsia="宋体" w:cs="Times New Roman"/>
                      <w:b w:val="0"/>
                      <w:bCs/>
                      <w:color w:val="auto"/>
                      <w:sz w:val="21"/>
                      <w:szCs w:val="21"/>
                      <w:lang w:val="en-US" w:eastAsia="zh-CN"/>
                    </w:rPr>
                    <w:t>手术床</w:t>
                  </w:r>
                </w:p>
              </w:tc>
              <w:tc>
                <w:tcPr>
                  <w:tcW w:w="1640" w:type="dxa"/>
                  <w:tcBorders>
                    <w:tl2br w:val="nil"/>
                    <w:tr2bl w:val="nil"/>
                  </w:tcBorders>
                  <w:noWrap/>
                  <w:vAlign w:val="center"/>
                </w:tcPr>
                <w:p w14:paraId="4096D913">
                  <w:pPr>
                    <w:keepNext w:val="0"/>
                    <w:keepLines w:val="0"/>
                    <w:widowControl/>
                    <w:suppressLineNumbers w:val="0"/>
                    <w:jc w:val="center"/>
                    <w:textAlignment w:val="center"/>
                    <w:rPr>
                      <w:rFonts w:hint="default" w:ascii="Times New Roman" w:hAnsi="Times New Roman" w:eastAsia="宋体" w:cs="Times New Roman"/>
                      <w:i w:val="0"/>
                      <w:color w:val="auto"/>
                      <w:kern w:val="2"/>
                      <w:sz w:val="21"/>
                      <w:szCs w:val="21"/>
                      <w:highlight w:val="none"/>
                      <w:u w:val="none"/>
                      <w:lang w:val="en-US" w:eastAsia="zh-CN" w:bidi="ar-SA"/>
                    </w:rPr>
                  </w:pPr>
                  <w:r>
                    <w:rPr>
                      <w:rFonts w:hint="default" w:ascii="Times New Roman" w:hAnsi="Times New Roman" w:eastAsia="宋体" w:cs="Times New Roman"/>
                      <w:i w:val="0"/>
                      <w:color w:val="auto"/>
                      <w:kern w:val="0"/>
                      <w:sz w:val="21"/>
                      <w:szCs w:val="21"/>
                      <w:highlight w:val="none"/>
                      <w:u w:val="none"/>
                      <w:lang w:val="en-US" w:eastAsia="zh-CN" w:bidi="ar"/>
                    </w:rPr>
                    <w:t>1</w:t>
                  </w:r>
                </w:p>
              </w:tc>
              <w:tc>
                <w:tcPr>
                  <w:tcW w:w="1603" w:type="dxa"/>
                  <w:tcBorders>
                    <w:tl2br w:val="nil"/>
                    <w:tr2bl w:val="nil"/>
                  </w:tcBorders>
                  <w:noWrap/>
                  <w:vAlign w:val="center"/>
                </w:tcPr>
                <w:p w14:paraId="5D3D80B3">
                  <w:pPr>
                    <w:keepNext w:val="0"/>
                    <w:keepLines w:val="0"/>
                    <w:widowControl/>
                    <w:suppressLineNumbers w:val="0"/>
                    <w:jc w:val="center"/>
                    <w:textAlignment w:val="center"/>
                    <w:rPr>
                      <w:rFonts w:hint="default" w:ascii="Times New Roman" w:hAnsi="Times New Roman" w:eastAsia="宋体" w:cs="Times New Roman"/>
                      <w:i w:val="0"/>
                      <w:color w:val="auto"/>
                      <w:kern w:val="2"/>
                      <w:sz w:val="21"/>
                      <w:szCs w:val="21"/>
                      <w:highlight w:val="none"/>
                      <w:u w:val="none"/>
                      <w:lang w:val="en-US" w:eastAsia="zh-CN" w:bidi="ar-SA"/>
                    </w:rPr>
                  </w:pPr>
                  <w:r>
                    <w:rPr>
                      <w:rFonts w:hint="default" w:ascii="Times New Roman" w:hAnsi="Times New Roman" w:eastAsia="宋体" w:cs="Times New Roman"/>
                      <w:i w:val="0"/>
                      <w:color w:val="auto"/>
                      <w:kern w:val="0"/>
                      <w:sz w:val="21"/>
                      <w:szCs w:val="21"/>
                      <w:highlight w:val="none"/>
                      <w:u w:val="none"/>
                      <w:lang w:val="en-US" w:eastAsia="zh-CN" w:bidi="ar"/>
                    </w:rPr>
                    <w:t>台</w:t>
                  </w:r>
                </w:p>
              </w:tc>
            </w:tr>
            <w:tr w14:paraId="481DDA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1364" w:type="dxa"/>
                  <w:tcBorders>
                    <w:tl2br w:val="nil"/>
                    <w:tr2bl w:val="nil"/>
                  </w:tcBorders>
                  <w:noWrap/>
                  <w:vAlign w:val="center"/>
                </w:tcPr>
                <w:p w14:paraId="0A18A4C4">
                  <w:pPr>
                    <w:widowControl/>
                    <w:jc w:val="center"/>
                    <w:rPr>
                      <w:rFonts w:hint="default" w:ascii="Times New Roman" w:hAnsi="Times New Roman" w:eastAsia="宋体" w:cs="Times New Roman"/>
                      <w:color w:val="auto"/>
                      <w:kern w:val="0"/>
                      <w:szCs w:val="21"/>
                      <w:highlight w:val="none"/>
                      <w:lang w:val="en-US" w:eastAsia="zh-CN"/>
                    </w:rPr>
                  </w:pPr>
                  <w:r>
                    <w:rPr>
                      <w:rFonts w:hint="eastAsia" w:ascii="Times New Roman" w:hAnsi="Times New Roman" w:cs="Times New Roman"/>
                      <w:color w:val="auto"/>
                      <w:kern w:val="0"/>
                      <w:szCs w:val="21"/>
                      <w:highlight w:val="none"/>
                      <w:lang w:val="en-US" w:eastAsia="zh-CN"/>
                    </w:rPr>
                    <w:t>27</w:t>
                  </w:r>
                </w:p>
              </w:tc>
              <w:tc>
                <w:tcPr>
                  <w:tcW w:w="3526" w:type="dxa"/>
                  <w:tcBorders>
                    <w:tl2br w:val="nil"/>
                    <w:tr2bl w:val="nil"/>
                  </w:tcBorders>
                  <w:noWrap/>
                  <w:vAlign w:val="center"/>
                </w:tcPr>
                <w:p w14:paraId="09DC9298">
                  <w:pPr>
                    <w:spacing w:line="240" w:lineRule="auto"/>
                    <w:jc w:val="center"/>
                    <w:rPr>
                      <w:rFonts w:hint="default" w:ascii="Times New Roman" w:hAnsi="Times New Roman" w:eastAsia="宋体" w:cs="Times New Roman"/>
                      <w:i w:val="0"/>
                      <w:color w:val="auto"/>
                      <w:kern w:val="2"/>
                      <w:sz w:val="21"/>
                      <w:szCs w:val="21"/>
                      <w:highlight w:val="none"/>
                      <w:u w:val="none"/>
                      <w:lang w:val="en-US" w:eastAsia="zh-CN" w:bidi="ar-SA"/>
                    </w:rPr>
                  </w:pPr>
                  <w:r>
                    <w:rPr>
                      <w:rFonts w:hint="eastAsia" w:ascii="Times New Roman" w:hAnsi="Times New Roman" w:eastAsia="宋体" w:cs="Times New Roman"/>
                      <w:b w:val="0"/>
                      <w:bCs/>
                      <w:color w:val="auto"/>
                      <w:sz w:val="21"/>
                      <w:szCs w:val="21"/>
                      <w:lang w:val="en-US" w:eastAsia="zh-CN"/>
                    </w:rPr>
                    <w:t>无影灯</w:t>
                  </w:r>
                </w:p>
              </w:tc>
              <w:tc>
                <w:tcPr>
                  <w:tcW w:w="1640" w:type="dxa"/>
                  <w:tcBorders>
                    <w:tl2br w:val="nil"/>
                    <w:tr2bl w:val="nil"/>
                  </w:tcBorders>
                  <w:noWrap/>
                  <w:vAlign w:val="center"/>
                </w:tcPr>
                <w:p w14:paraId="2A2CEDC3">
                  <w:pPr>
                    <w:keepNext w:val="0"/>
                    <w:keepLines w:val="0"/>
                    <w:widowControl/>
                    <w:suppressLineNumbers w:val="0"/>
                    <w:jc w:val="center"/>
                    <w:textAlignment w:val="center"/>
                    <w:rPr>
                      <w:rFonts w:hint="default" w:ascii="Times New Roman" w:hAnsi="Times New Roman" w:eastAsia="宋体" w:cs="Times New Roman"/>
                      <w:i w:val="0"/>
                      <w:color w:val="auto"/>
                      <w:kern w:val="2"/>
                      <w:sz w:val="21"/>
                      <w:szCs w:val="21"/>
                      <w:highlight w:val="none"/>
                      <w:u w:val="none"/>
                      <w:lang w:val="en-US" w:eastAsia="zh-CN" w:bidi="ar-SA"/>
                    </w:rPr>
                  </w:pPr>
                  <w:r>
                    <w:rPr>
                      <w:rFonts w:hint="default" w:ascii="Times New Roman" w:hAnsi="Times New Roman" w:eastAsia="宋体" w:cs="Times New Roman"/>
                      <w:i w:val="0"/>
                      <w:color w:val="auto"/>
                      <w:kern w:val="0"/>
                      <w:sz w:val="21"/>
                      <w:szCs w:val="21"/>
                      <w:highlight w:val="none"/>
                      <w:u w:val="none"/>
                      <w:lang w:val="en-US" w:eastAsia="zh-CN" w:bidi="ar"/>
                    </w:rPr>
                    <w:t>1</w:t>
                  </w:r>
                </w:p>
              </w:tc>
              <w:tc>
                <w:tcPr>
                  <w:tcW w:w="1603" w:type="dxa"/>
                  <w:tcBorders>
                    <w:tl2br w:val="nil"/>
                    <w:tr2bl w:val="nil"/>
                  </w:tcBorders>
                  <w:noWrap/>
                  <w:vAlign w:val="center"/>
                </w:tcPr>
                <w:p w14:paraId="10EFCD1B">
                  <w:pPr>
                    <w:keepNext w:val="0"/>
                    <w:keepLines w:val="0"/>
                    <w:widowControl/>
                    <w:suppressLineNumbers w:val="0"/>
                    <w:jc w:val="center"/>
                    <w:textAlignment w:val="center"/>
                    <w:rPr>
                      <w:rFonts w:hint="default" w:ascii="Times New Roman" w:hAnsi="Times New Roman" w:eastAsia="宋体" w:cs="Times New Roman"/>
                      <w:i w:val="0"/>
                      <w:color w:val="auto"/>
                      <w:kern w:val="2"/>
                      <w:sz w:val="21"/>
                      <w:szCs w:val="21"/>
                      <w:highlight w:val="none"/>
                      <w:u w:val="none"/>
                      <w:lang w:val="en-US" w:eastAsia="zh-CN" w:bidi="ar-SA"/>
                    </w:rPr>
                  </w:pPr>
                  <w:r>
                    <w:rPr>
                      <w:rFonts w:hint="default" w:ascii="Times New Roman" w:hAnsi="Times New Roman" w:eastAsia="宋体" w:cs="Times New Roman"/>
                      <w:i w:val="0"/>
                      <w:color w:val="auto"/>
                      <w:kern w:val="0"/>
                      <w:sz w:val="21"/>
                      <w:szCs w:val="21"/>
                      <w:highlight w:val="none"/>
                      <w:u w:val="none"/>
                      <w:lang w:val="en-US" w:eastAsia="zh-CN" w:bidi="ar"/>
                    </w:rPr>
                    <w:t>台</w:t>
                  </w:r>
                </w:p>
              </w:tc>
            </w:tr>
            <w:tr w14:paraId="740DCB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1364" w:type="dxa"/>
                  <w:tcBorders>
                    <w:tl2br w:val="nil"/>
                    <w:tr2bl w:val="nil"/>
                  </w:tcBorders>
                  <w:noWrap/>
                  <w:vAlign w:val="center"/>
                </w:tcPr>
                <w:p w14:paraId="26706C97">
                  <w:pPr>
                    <w:widowControl/>
                    <w:jc w:val="center"/>
                    <w:rPr>
                      <w:rFonts w:hint="default" w:ascii="Times New Roman" w:hAnsi="Times New Roman" w:eastAsia="宋体" w:cs="Times New Roman"/>
                      <w:color w:val="auto"/>
                      <w:kern w:val="0"/>
                      <w:szCs w:val="21"/>
                      <w:highlight w:val="none"/>
                      <w:lang w:val="en-US" w:eastAsia="zh-CN"/>
                    </w:rPr>
                  </w:pPr>
                  <w:r>
                    <w:rPr>
                      <w:rFonts w:hint="eastAsia" w:ascii="Times New Roman" w:hAnsi="Times New Roman" w:cs="Times New Roman"/>
                      <w:color w:val="auto"/>
                      <w:kern w:val="0"/>
                      <w:szCs w:val="21"/>
                      <w:highlight w:val="none"/>
                      <w:lang w:val="en-US" w:eastAsia="zh-CN"/>
                    </w:rPr>
                    <w:t>28</w:t>
                  </w:r>
                </w:p>
              </w:tc>
              <w:tc>
                <w:tcPr>
                  <w:tcW w:w="3526" w:type="dxa"/>
                  <w:tcBorders>
                    <w:tl2br w:val="nil"/>
                    <w:tr2bl w:val="nil"/>
                  </w:tcBorders>
                  <w:noWrap/>
                  <w:vAlign w:val="center"/>
                </w:tcPr>
                <w:p w14:paraId="4A56E2C4">
                  <w:pPr>
                    <w:spacing w:line="240" w:lineRule="auto"/>
                    <w:jc w:val="center"/>
                    <w:rPr>
                      <w:rFonts w:hint="default" w:ascii="Times New Roman" w:hAnsi="Times New Roman" w:eastAsia="宋体" w:cs="Times New Roman"/>
                      <w:i w:val="0"/>
                      <w:color w:val="auto"/>
                      <w:kern w:val="2"/>
                      <w:sz w:val="21"/>
                      <w:szCs w:val="21"/>
                      <w:highlight w:val="none"/>
                      <w:u w:val="none"/>
                      <w:lang w:val="en-US" w:eastAsia="zh-CN" w:bidi="ar-SA"/>
                    </w:rPr>
                  </w:pPr>
                  <w:r>
                    <w:rPr>
                      <w:rFonts w:hint="eastAsia" w:ascii="Times New Roman" w:hAnsi="Times New Roman" w:eastAsia="宋体" w:cs="Times New Roman"/>
                      <w:b w:val="0"/>
                      <w:bCs/>
                      <w:color w:val="auto"/>
                      <w:sz w:val="21"/>
                      <w:szCs w:val="21"/>
                      <w:lang w:val="en-US" w:eastAsia="zh-CN"/>
                    </w:rPr>
                    <w:t>C臂机</w:t>
                  </w:r>
                </w:p>
              </w:tc>
              <w:tc>
                <w:tcPr>
                  <w:tcW w:w="1640" w:type="dxa"/>
                  <w:tcBorders>
                    <w:tl2br w:val="nil"/>
                    <w:tr2bl w:val="nil"/>
                  </w:tcBorders>
                  <w:noWrap/>
                  <w:vAlign w:val="center"/>
                </w:tcPr>
                <w:p w14:paraId="73E4BBF9">
                  <w:pPr>
                    <w:keepNext w:val="0"/>
                    <w:keepLines w:val="0"/>
                    <w:widowControl/>
                    <w:suppressLineNumbers w:val="0"/>
                    <w:jc w:val="center"/>
                    <w:textAlignment w:val="center"/>
                    <w:rPr>
                      <w:rFonts w:hint="default" w:ascii="Times New Roman" w:hAnsi="Times New Roman" w:eastAsia="宋体" w:cs="Times New Roman"/>
                      <w:i w:val="0"/>
                      <w:color w:val="auto"/>
                      <w:kern w:val="2"/>
                      <w:sz w:val="21"/>
                      <w:szCs w:val="21"/>
                      <w:highlight w:val="none"/>
                      <w:u w:val="none"/>
                      <w:lang w:val="en-US" w:eastAsia="zh-CN" w:bidi="ar-SA"/>
                    </w:rPr>
                  </w:pPr>
                  <w:r>
                    <w:rPr>
                      <w:rFonts w:hint="default" w:ascii="Times New Roman" w:hAnsi="Times New Roman" w:eastAsia="宋体" w:cs="Times New Roman"/>
                      <w:i w:val="0"/>
                      <w:color w:val="auto"/>
                      <w:kern w:val="0"/>
                      <w:sz w:val="21"/>
                      <w:szCs w:val="21"/>
                      <w:highlight w:val="none"/>
                      <w:u w:val="none"/>
                      <w:lang w:val="en-US" w:eastAsia="zh-CN" w:bidi="ar"/>
                    </w:rPr>
                    <w:t>1</w:t>
                  </w:r>
                </w:p>
              </w:tc>
              <w:tc>
                <w:tcPr>
                  <w:tcW w:w="1603" w:type="dxa"/>
                  <w:tcBorders>
                    <w:tl2br w:val="nil"/>
                    <w:tr2bl w:val="nil"/>
                  </w:tcBorders>
                  <w:noWrap/>
                  <w:vAlign w:val="center"/>
                </w:tcPr>
                <w:p w14:paraId="75C4E932">
                  <w:pPr>
                    <w:keepNext w:val="0"/>
                    <w:keepLines w:val="0"/>
                    <w:widowControl/>
                    <w:suppressLineNumbers w:val="0"/>
                    <w:jc w:val="center"/>
                    <w:textAlignment w:val="center"/>
                    <w:rPr>
                      <w:rFonts w:hint="default" w:ascii="Times New Roman" w:hAnsi="Times New Roman" w:eastAsia="宋体" w:cs="Times New Roman"/>
                      <w:i w:val="0"/>
                      <w:color w:val="auto"/>
                      <w:kern w:val="2"/>
                      <w:sz w:val="21"/>
                      <w:szCs w:val="21"/>
                      <w:highlight w:val="none"/>
                      <w:u w:val="none"/>
                      <w:lang w:val="en-US" w:eastAsia="zh-CN" w:bidi="ar-SA"/>
                    </w:rPr>
                  </w:pPr>
                  <w:r>
                    <w:rPr>
                      <w:rFonts w:hint="default" w:ascii="Times New Roman" w:hAnsi="Times New Roman" w:eastAsia="宋体" w:cs="Times New Roman"/>
                      <w:i w:val="0"/>
                      <w:color w:val="auto"/>
                      <w:kern w:val="0"/>
                      <w:sz w:val="21"/>
                      <w:szCs w:val="21"/>
                      <w:highlight w:val="none"/>
                      <w:u w:val="none"/>
                      <w:lang w:val="en-US" w:eastAsia="zh-CN" w:bidi="ar"/>
                    </w:rPr>
                    <w:t>台</w:t>
                  </w:r>
                </w:p>
              </w:tc>
            </w:tr>
            <w:tr w14:paraId="5E782D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1364" w:type="dxa"/>
                  <w:tcBorders>
                    <w:tl2br w:val="nil"/>
                    <w:tr2bl w:val="nil"/>
                  </w:tcBorders>
                  <w:noWrap/>
                  <w:vAlign w:val="center"/>
                </w:tcPr>
                <w:p w14:paraId="1EE1D25B">
                  <w:pPr>
                    <w:widowControl/>
                    <w:jc w:val="center"/>
                    <w:rPr>
                      <w:rFonts w:hint="default" w:ascii="Times New Roman" w:hAnsi="Times New Roman" w:eastAsia="宋体" w:cs="Times New Roman"/>
                      <w:color w:val="auto"/>
                      <w:kern w:val="0"/>
                      <w:szCs w:val="21"/>
                      <w:highlight w:val="none"/>
                      <w:lang w:val="en-US" w:eastAsia="zh-CN"/>
                    </w:rPr>
                  </w:pPr>
                  <w:r>
                    <w:rPr>
                      <w:rFonts w:hint="eastAsia" w:ascii="Times New Roman" w:hAnsi="Times New Roman" w:cs="Times New Roman"/>
                      <w:color w:val="auto"/>
                      <w:kern w:val="0"/>
                      <w:szCs w:val="21"/>
                      <w:highlight w:val="none"/>
                      <w:lang w:val="en-US" w:eastAsia="zh-CN"/>
                    </w:rPr>
                    <w:t>29</w:t>
                  </w:r>
                </w:p>
              </w:tc>
              <w:tc>
                <w:tcPr>
                  <w:tcW w:w="3526" w:type="dxa"/>
                  <w:tcBorders>
                    <w:tl2br w:val="nil"/>
                    <w:tr2bl w:val="nil"/>
                  </w:tcBorders>
                  <w:noWrap/>
                  <w:vAlign w:val="center"/>
                </w:tcPr>
                <w:p w14:paraId="429B1B69">
                  <w:pPr>
                    <w:spacing w:line="240" w:lineRule="auto"/>
                    <w:jc w:val="center"/>
                    <w:rPr>
                      <w:rFonts w:hint="default" w:ascii="Times New Roman" w:hAnsi="Times New Roman" w:eastAsia="宋体" w:cs="Times New Roman"/>
                      <w:i w:val="0"/>
                      <w:color w:val="auto"/>
                      <w:kern w:val="2"/>
                      <w:sz w:val="21"/>
                      <w:szCs w:val="21"/>
                      <w:highlight w:val="none"/>
                      <w:u w:val="none"/>
                      <w:lang w:val="en-US" w:eastAsia="zh-CN" w:bidi="ar-SA"/>
                    </w:rPr>
                  </w:pPr>
                  <w:r>
                    <w:rPr>
                      <w:rFonts w:hint="eastAsia" w:ascii="Times New Roman" w:hAnsi="Times New Roman" w:eastAsia="宋体" w:cs="Times New Roman"/>
                      <w:b w:val="0"/>
                      <w:bCs/>
                      <w:color w:val="auto"/>
                      <w:sz w:val="21"/>
                      <w:szCs w:val="21"/>
                      <w:lang w:val="en-US" w:eastAsia="zh-CN"/>
                    </w:rPr>
                    <w:t>麻醉机</w:t>
                  </w:r>
                </w:p>
              </w:tc>
              <w:tc>
                <w:tcPr>
                  <w:tcW w:w="1640" w:type="dxa"/>
                  <w:tcBorders>
                    <w:tl2br w:val="nil"/>
                    <w:tr2bl w:val="nil"/>
                  </w:tcBorders>
                  <w:noWrap/>
                  <w:vAlign w:val="center"/>
                </w:tcPr>
                <w:p w14:paraId="6534B253">
                  <w:pPr>
                    <w:keepNext w:val="0"/>
                    <w:keepLines w:val="0"/>
                    <w:widowControl/>
                    <w:suppressLineNumbers w:val="0"/>
                    <w:jc w:val="center"/>
                    <w:textAlignment w:val="center"/>
                    <w:rPr>
                      <w:rFonts w:hint="default" w:ascii="Times New Roman" w:hAnsi="Times New Roman" w:eastAsia="宋体" w:cs="Times New Roman"/>
                      <w:i w:val="0"/>
                      <w:color w:val="auto"/>
                      <w:kern w:val="2"/>
                      <w:sz w:val="21"/>
                      <w:szCs w:val="21"/>
                      <w:highlight w:val="none"/>
                      <w:u w:val="none"/>
                      <w:lang w:val="en-US" w:eastAsia="zh-CN" w:bidi="ar-SA"/>
                    </w:rPr>
                  </w:pPr>
                  <w:r>
                    <w:rPr>
                      <w:rFonts w:hint="eastAsia" w:ascii="Times New Roman" w:hAnsi="Times New Roman" w:eastAsia="宋体" w:cs="Times New Roman"/>
                      <w:i w:val="0"/>
                      <w:color w:val="auto"/>
                      <w:kern w:val="0"/>
                      <w:sz w:val="21"/>
                      <w:szCs w:val="21"/>
                      <w:highlight w:val="none"/>
                      <w:u w:val="none"/>
                      <w:lang w:val="en-US" w:eastAsia="zh-CN" w:bidi="ar"/>
                    </w:rPr>
                    <w:t>1</w:t>
                  </w:r>
                </w:p>
              </w:tc>
              <w:tc>
                <w:tcPr>
                  <w:tcW w:w="1603" w:type="dxa"/>
                  <w:tcBorders>
                    <w:tl2br w:val="nil"/>
                    <w:tr2bl w:val="nil"/>
                  </w:tcBorders>
                  <w:noWrap/>
                  <w:vAlign w:val="center"/>
                </w:tcPr>
                <w:p w14:paraId="54B8B127">
                  <w:pPr>
                    <w:keepNext w:val="0"/>
                    <w:keepLines w:val="0"/>
                    <w:widowControl/>
                    <w:suppressLineNumbers w:val="0"/>
                    <w:jc w:val="center"/>
                    <w:textAlignment w:val="center"/>
                    <w:rPr>
                      <w:rFonts w:hint="default" w:ascii="Times New Roman" w:hAnsi="Times New Roman" w:eastAsia="宋体" w:cs="Times New Roman"/>
                      <w:i w:val="0"/>
                      <w:color w:val="auto"/>
                      <w:kern w:val="2"/>
                      <w:sz w:val="21"/>
                      <w:szCs w:val="21"/>
                      <w:highlight w:val="none"/>
                      <w:u w:val="none"/>
                      <w:lang w:val="en-US" w:eastAsia="zh-CN" w:bidi="ar-SA"/>
                    </w:rPr>
                  </w:pPr>
                  <w:r>
                    <w:rPr>
                      <w:rFonts w:hint="default" w:ascii="Times New Roman" w:hAnsi="Times New Roman" w:eastAsia="宋体" w:cs="Times New Roman"/>
                      <w:i w:val="0"/>
                      <w:color w:val="auto"/>
                      <w:kern w:val="0"/>
                      <w:sz w:val="21"/>
                      <w:szCs w:val="21"/>
                      <w:highlight w:val="none"/>
                      <w:u w:val="none"/>
                      <w:lang w:val="en-US" w:eastAsia="zh-CN" w:bidi="ar"/>
                    </w:rPr>
                    <w:t>台</w:t>
                  </w:r>
                </w:p>
              </w:tc>
            </w:tr>
            <w:tr w14:paraId="7F1F3C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1364" w:type="dxa"/>
                  <w:tcBorders>
                    <w:tl2br w:val="nil"/>
                    <w:tr2bl w:val="nil"/>
                  </w:tcBorders>
                  <w:noWrap/>
                  <w:vAlign w:val="center"/>
                </w:tcPr>
                <w:p w14:paraId="4E93DF14">
                  <w:pPr>
                    <w:widowControl/>
                    <w:jc w:val="center"/>
                    <w:rPr>
                      <w:rFonts w:hint="default" w:ascii="Times New Roman" w:hAnsi="Times New Roman" w:eastAsia="宋体" w:cs="Times New Roman"/>
                      <w:color w:val="auto"/>
                      <w:kern w:val="0"/>
                      <w:szCs w:val="21"/>
                      <w:highlight w:val="none"/>
                      <w:lang w:val="en-US" w:eastAsia="zh-CN"/>
                    </w:rPr>
                  </w:pPr>
                  <w:r>
                    <w:rPr>
                      <w:rFonts w:hint="eastAsia" w:ascii="Times New Roman" w:hAnsi="Times New Roman" w:cs="Times New Roman"/>
                      <w:color w:val="auto"/>
                      <w:kern w:val="0"/>
                      <w:szCs w:val="21"/>
                      <w:highlight w:val="none"/>
                      <w:lang w:val="en-US" w:eastAsia="zh-CN"/>
                    </w:rPr>
                    <w:t>30</w:t>
                  </w:r>
                </w:p>
              </w:tc>
              <w:tc>
                <w:tcPr>
                  <w:tcW w:w="3526" w:type="dxa"/>
                  <w:tcBorders>
                    <w:tl2br w:val="nil"/>
                    <w:tr2bl w:val="nil"/>
                  </w:tcBorders>
                  <w:noWrap/>
                  <w:vAlign w:val="center"/>
                </w:tcPr>
                <w:p w14:paraId="7AB57995">
                  <w:pPr>
                    <w:spacing w:line="240" w:lineRule="auto"/>
                    <w:jc w:val="center"/>
                    <w:rPr>
                      <w:rFonts w:hint="default" w:ascii="Times New Roman" w:hAnsi="Times New Roman" w:eastAsia="宋体" w:cs="Times New Roman"/>
                      <w:i w:val="0"/>
                      <w:color w:val="auto"/>
                      <w:kern w:val="2"/>
                      <w:sz w:val="21"/>
                      <w:szCs w:val="21"/>
                      <w:highlight w:val="none"/>
                      <w:u w:val="none"/>
                      <w:lang w:val="en-US" w:eastAsia="zh-CN" w:bidi="ar-SA"/>
                    </w:rPr>
                  </w:pPr>
                  <w:r>
                    <w:rPr>
                      <w:rFonts w:hint="eastAsia" w:ascii="Times New Roman" w:hAnsi="Times New Roman" w:eastAsia="宋体" w:cs="Times New Roman"/>
                      <w:b w:val="0"/>
                      <w:bCs/>
                      <w:color w:val="auto"/>
                      <w:sz w:val="21"/>
                      <w:szCs w:val="21"/>
                      <w:lang w:val="en-US" w:eastAsia="zh-CN"/>
                    </w:rPr>
                    <w:t>腹腔镜系统</w:t>
                  </w:r>
                </w:p>
              </w:tc>
              <w:tc>
                <w:tcPr>
                  <w:tcW w:w="1640" w:type="dxa"/>
                  <w:tcBorders>
                    <w:tl2br w:val="nil"/>
                    <w:tr2bl w:val="nil"/>
                  </w:tcBorders>
                  <w:noWrap/>
                  <w:vAlign w:val="center"/>
                </w:tcPr>
                <w:p w14:paraId="67D11330">
                  <w:pPr>
                    <w:keepNext w:val="0"/>
                    <w:keepLines w:val="0"/>
                    <w:widowControl/>
                    <w:suppressLineNumbers w:val="0"/>
                    <w:jc w:val="center"/>
                    <w:textAlignment w:val="center"/>
                    <w:rPr>
                      <w:rFonts w:hint="default" w:ascii="Times New Roman" w:hAnsi="Times New Roman" w:eastAsia="宋体" w:cs="Times New Roman"/>
                      <w:i w:val="0"/>
                      <w:color w:val="auto"/>
                      <w:kern w:val="2"/>
                      <w:sz w:val="21"/>
                      <w:szCs w:val="21"/>
                      <w:highlight w:val="none"/>
                      <w:u w:val="none"/>
                      <w:lang w:val="en-US" w:eastAsia="zh-CN" w:bidi="ar-SA"/>
                    </w:rPr>
                  </w:pPr>
                  <w:r>
                    <w:rPr>
                      <w:rFonts w:hint="eastAsia" w:ascii="Times New Roman" w:hAnsi="Times New Roman" w:eastAsia="宋体" w:cs="Times New Roman"/>
                      <w:i w:val="0"/>
                      <w:color w:val="auto"/>
                      <w:kern w:val="0"/>
                      <w:sz w:val="21"/>
                      <w:szCs w:val="21"/>
                      <w:highlight w:val="none"/>
                      <w:u w:val="none"/>
                      <w:lang w:val="en-US" w:eastAsia="zh-CN" w:bidi="ar"/>
                    </w:rPr>
                    <w:t>1</w:t>
                  </w:r>
                </w:p>
              </w:tc>
              <w:tc>
                <w:tcPr>
                  <w:tcW w:w="1603" w:type="dxa"/>
                  <w:tcBorders>
                    <w:tl2br w:val="nil"/>
                    <w:tr2bl w:val="nil"/>
                  </w:tcBorders>
                  <w:noWrap/>
                  <w:vAlign w:val="center"/>
                </w:tcPr>
                <w:p w14:paraId="248E870E">
                  <w:pPr>
                    <w:keepNext w:val="0"/>
                    <w:keepLines w:val="0"/>
                    <w:widowControl/>
                    <w:suppressLineNumbers w:val="0"/>
                    <w:jc w:val="center"/>
                    <w:textAlignment w:val="center"/>
                    <w:rPr>
                      <w:rFonts w:hint="default" w:ascii="Times New Roman" w:hAnsi="Times New Roman" w:eastAsia="宋体" w:cs="Times New Roman"/>
                      <w:i w:val="0"/>
                      <w:color w:val="auto"/>
                      <w:kern w:val="2"/>
                      <w:sz w:val="21"/>
                      <w:szCs w:val="21"/>
                      <w:highlight w:val="none"/>
                      <w:u w:val="none"/>
                      <w:lang w:val="en-US" w:eastAsia="zh-CN" w:bidi="ar-SA"/>
                    </w:rPr>
                  </w:pPr>
                  <w:r>
                    <w:rPr>
                      <w:rFonts w:hint="default" w:ascii="Times New Roman" w:hAnsi="Times New Roman" w:eastAsia="宋体" w:cs="Times New Roman"/>
                      <w:i w:val="0"/>
                      <w:color w:val="auto"/>
                      <w:kern w:val="0"/>
                      <w:sz w:val="21"/>
                      <w:szCs w:val="21"/>
                      <w:highlight w:val="none"/>
                      <w:u w:val="none"/>
                      <w:lang w:val="en-US" w:eastAsia="zh-CN" w:bidi="ar"/>
                    </w:rPr>
                    <w:t>台</w:t>
                  </w:r>
                </w:p>
              </w:tc>
            </w:tr>
            <w:tr w14:paraId="7C6AB4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1364" w:type="dxa"/>
                  <w:tcBorders>
                    <w:tl2br w:val="nil"/>
                    <w:tr2bl w:val="nil"/>
                  </w:tcBorders>
                  <w:noWrap/>
                  <w:vAlign w:val="center"/>
                </w:tcPr>
                <w:p w14:paraId="01580663">
                  <w:pPr>
                    <w:widowControl/>
                    <w:jc w:val="center"/>
                    <w:rPr>
                      <w:rFonts w:hint="default" w:ascii="Times New Roman" w:hAnsi="Times New Roman" w:eastAsia="宋体" w:cs="Times New Roman"/>
                      <w:color w:val="auto"/>
                      <w:kern w:val="0"/>
                      <w:szCs w:val="21"/>
                      <w:highlight w:val="none"/>
                      <w:lang w:val="en-US" w:eastAsia="zh-CN"/>
                    </w:rPr>
                  </w:pPr>
                  <w:r>
                    <w:rPr>
                      <w:rFonts w:hint="eastAsia" w:ascii="Times New Roman" w:hAnsi="Times New Roman" w:cs="Times New Roman"/>
                      <w:color w:val="auto"/>
                      <w:kern w:val="0"/>
                      <w:szCs w:val="21"/>
                      <w:highlight w:val="none"/>
                      <w:lang w:val="en-US" w:eastAsia="zh-CN"/>
                    </w:rPr>
                    <w:t>31</w:t>
                  </w:r>
                </w:p>
              </w:tc>
              <w:tc>
                <w:tcPr>
                  <w:tcW w:w="3526" w:type="dxa"/>
                  <w:tcBorders>
                    <w:tl2br w:val="nil"/>
                    <w:tr2bl w:val="nil"/>
                  </w:tcBorders>
                  <w:noWrap/>
                  <w:vAlign w:val="center"/>
                </w:tcPr>
                <w:p w14:paraId="736307A8">
                  <w:pPr>
                    <w:spacing w:line="240" w:lineRule="auto"/>
                    <w:jc w:val="center"/>
                    <w:rPr>
                      <w:rFonts w:hint="default" w:ascii="Times New Roman" w:hAnsi="Times New Roman" w:eastAsia="宋体" w:cs="Times New Roman"/>
                      <w:i w:val="0"/>
                      <w:color w:val="auto"/>
                      <w:kern w:val="2"/>
                      <w:sz w:val="21"/>
                      <w:szCs w:val="21"/>
                      <w:highlight w:val="none"/>
                      <w:u w:val="none"/>
                      <w:lang w:val="en-US" w:eastAsia="zh-CN" w:bidi="ar-SA"/>
                    </w:rPr>
                  </w:pPr>
                  <w:r>
                    <w:rPr>
                      <w:rFonts w:hint="eastAsia" w:ascii="Times New Roman" w:hAnsi="Times New Roman" w:eastAsia="宋体" w:cs="Times New Roman"/>
                      <w:b w:val="0"/>
                      <w:bCs/>
                      <w:color w:val="auto"/>
                      <w:sz w:val="21"/>
                      <w:szCs w:val="21"/>
                      <w:lang w:val="en-US" w:eastAsia="zh-CN"/>
                    </w:rPr>
                    <w:t>高压灭菌设备</w:t>
                  </w:r>
                </w:p>
              </w:tc>
              <w:tc>
                <w:tcPr>
                  <w:tcW w:w="1640" w:type="dxa"/>
                  <w:tcBorders>
                    <w:tl2br w:val="nil"/>
                    <w:tr2bl w:val="nil"/>
                  </w:tcBorders>
                  <w:noWrap/>
                  <w:vAlign w:val="center"/>
                </w:tcPr>
                <w:p w14:paraId="13E194E3">
                  <w:pPr>
                    <w:keepNext w:val="0"/>
                    <w:keepLines w:val="0"/>
                    <w:widowControl/>
                    <w:suppressLineNumbers w:val="0"/>
                    <w:jc w:val="center"/>
                    <w:textAlignment w:val="center"/>
                    <w:rPr>
                      <w:rFonts w:hint="default" w:ascii="Times New Roman" w:hAnsi="Times New Roman" w:eastAsia="宋体" w:cs="Times New Roman"/>
                      <w:i w:val="0"/>
                      <w:color w:val="auto"/>
                      <w:kern w:val="2"/>
                      <w:sz w:val="21"/>
                      <w:szCs w:val="21"/>
                      <w:highlight w:val="none"/>
                      <w:u w:val="none"/>
                      <w:lang w:val="en-US" w:eastAsia="zh-CN" w:bidi="ar-SA"/>
                    </w:rPr>
                  </w:pPr>
                  <w:r>
                    <w:rPr>
                      <w:rFonts w:hint="eastAsia" w:ascii="Times New Roman" w:hAnsi="Times New Roman" w:eastAsia="宋体" w:cs="Times New Roman"/>
                      <w:i w:val="0"/>
                      <w:color w:val="auto"/>
                      <w:kern w:val="0"/>
                      <w:sz w:val="21"/>
                      <w:szCs w:val="21"/>
                      <w:highlight w:val="none"/>
                      <w:u w:val="none"/>
                      <w:lang w:val="en-US" w:eastAsia="zh-CN" w:bidi="ar"/>
                    </w:rPr>
                    <w:t>1</w:t>
                  </w:r>
                </w:p>
              </w:tc>
              <w:tc>
                <w:tcPr>
                  <w:tcW w:w="1603" w:type="dxa"/>
                  <w:tcBorders>
                    <w:tl2br w:val="nil"/>
                    <w:tr2bl w:val="nil"/>
                  </w:tcBorders>
                  <w:noWrap/>
                  <w:vAlign w:val="center"/>
                </w:tcPr>
                <w:p w14:paraId="52780571">
                  <w:pPr>
                    <w:keepNext w:val="0"/>
                    <w:keepLines w:val="0"/>
                    <w:widowControl/>
                    <w:suppressLineNumbers w:val="0"/>
                    <w:jc w:val="center"/>
                    <w:textAlignment w:val="center"/>
                    <w:rPr>
                      <w:rFonts w:hint="default" w:ascii="Times New Roman" w:hAnsi="Times New Roman" w:eastAsia="宋体" w:cs="Times New Roman"/>
                      <w:i w:val="0"/>
                      <w:color w:val="auto"/>
                      <w:kern w:val="2"/>
                      <w:sz w:val="21"/>
                      <w:szCs w:val="21"/>
                      <w:highlight w:val="none"/>
                      <w:u w:val="none"/>
                      <w:lang w:val="en-US" w:eastAsia="zh-CN" w:bidi="ar-SA"/>
                    </w:rPr>
                  </w:pPr>
                  <w:r>
                    <w:rPr>
                      <w:rFonts w:hint="default" w:ascii="Times New Roman" w:hAnsi="Times New Roman" w:eastAsia="宋体" w:cs="Times New Roman"/>
                      <w:i w:val="0"/>
                      <w:color w:val="auto"/>
                      <w:kern w:val="0"/>
                      <w:sz w:val="21"/>
                      <w:szCs w:val="21"/>
                      <w:highlight w:val="none"/>
                      <w:u w:val="none"/>
                      <w:lang w:val="en-US" w:eastAsia="zh-CN" w:bidi="ar"/>
                    </w:rPr>
                    <w:t>台</w:t>
                  </w:r>
                </w:p>
              </w:tc>
            </w:tr>
            <w:tr w14:paraId="7DC446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1364" w:type="dxa"/>
                  <w:tcBorders>
                    <w:tl2br w:val="nil"/>
                    <w:tr2bl w:val="nil"/>
                  </w:tcBorders>
                  <w:noWrap/>
                  <w:vAlign w:val="center"/>
                </w:tcPr>
                <w:p w14:paraId="70DD6C82">
                  <w:pPr>
                    <w:widowControl/>
                    <w:jc w:val="center"/>
                    <w:rPr>
                      <w:rFonts w:hint="default" w:ascii="Times New Roman" w:hAnsi="Times New Roman" w:eastAsia="宋体" w:cs="Times New Roman"/>
                      <w:color w:val="auto"/>
                      <w:kern w:val="0"/>
                      <w:szCs w:val="21"/>
                      <w:highlight w:val="none"/>
                      <w:lang w:val="en-US" w:eastAsia="zh-CN"/>
                    </w:rPr>
                  </w:pPr>
                  <w:r>
                    <w:rPr>
                      <w:rFonts w:hint="eastAsia" w:ascii="Times New Roman" w:hAnsi="Times New Roman" w:cs="Times New Roman"/>
                      <w:color w:val="auto"/>
                      <w:kern w:val="0"/>
                      <w:szCs w:val="21"/>
                      <w:highlight w:val="none"/>
                      <w:lang w:val="en-US" w:eastAsia="zh-CN"/>
                    </w:rPr>
                    <w:t>32</w:t>
                  </w:r>
                </w:p>
              </w:tc>
              <w:tc>
                <w:tcPr>
                  <w:tcW w:w="3526" w:type="dxa"/>
                  <w:tcBorders>
                    <w:tl2br w:val="nil"/>
                    <w:tr2bl w:val="nil"/>
                  </w:tcBorders>
                  <w:noWrap/>
                  <w:vAlign w:val="center"/>
                </w:tcPr>
                <w:p w14:paraId="3B41AEE3">
                  <w:pPr>
                    <w:spacing w:line="240" w:lineRule="auto"/>
                    <w:jc w:val="center"/>
                    <w:rPr>
                      <w:rFonts w:hint="default" w:ascii="Times New Roman" w:hAnsi="Times New Roman" w:eastAsia="宋体" w:cs="Times New Roman"/>
                      <w:i w:val="0"/>
                      <w:color w:val="auto"/>
                      <w:kern w:val="2"/>
                      <w:sz w:val="21"/>
                      <w:szCs w:val="21"/>
                      <w:highlight w:val="none"/>
                      <w:u w:val="none"/>
                      <w:lang w:val="en-US" w:eastAsia="zh-CN" w:bidi="ar-SA"/>
                    </w:rPr>
                  </w:pPr>
                  <w:r>
                    <w:rPr>
                      <w:rFonts w:hint="eastAsia" w:ascii="Times New Roman" w:hAnsi="Times New Roman" w:eastAsia="宋体" w:cs="Times New Roman"/>
                      <w:b w:val="0"/>
                      <w:bCs/>
                      <w:color w:val="auto"/>
                      <w:sz w:val="21"/>
                      <w:szCs w:val="21"/>
                      <w:lang w:val="en-US" w:eastAsia="zh-CN"/>
                    </w:rPr>
                    <w:t>DR</w:t>
                  </w:r>
                </w:p>
              </w:tc>
              <w:tc>
                <w:tcPr>
                  <w:tcW w:w="1640" w:type="dxa"/>
                  <w:tcBorders>
                    <w:tl2br w:val="nil"/>
                    <w:tr2bl w:val="nil"/>
                  </w:tcBorders>
                  <w:noWrap/>
                  <w:vAlign w:val="center"/>
                </w:tcPr>
                <w:p w14:paraId="730F4C31">
                  <w:pPr>
                    <w:keepNext w:val="0"/>
                    <w:keepLines w:val="0"/>
                    <w:widowControl/>
                    <w:suppressLineNumbers w:val="0"/>
                    <w:jc w:val="center"/>
                    <w:textAlignment w:val="center"/>
                    <w:rPr>
                      <w:rFonts w:hint="default" w:ascii="Times New Roman" w:hAnsi="Times New Roman" w:eastAsia="宋体" w:cs="Times New Roman"/>
                      <w:i w:val="0"/>
                      <w:color w:val="auto"/>
                      <w:kern w:val="2"/>
                      <w:sz w:val="21"/>
                      <w:szCs w:val="21"/>
                      <w:highlight w:val="none"/>
                      <w:u w:val="none"/>
                      <w:lang w:val="en-US" w:eastAsia="zh-CN" w:bidi="ar-SA"/>
                    </w:rPr>
                  </w:pPr>
                  <w:r>
                    <w:rPr>
                      <w:rFonts w:hint="eastAsia" w:ascii="Times New Roman" w:hAnsi="Times New Roman" w:eastAsia="宋体" w:cs="Times New Roman"/>
                      <w:i w:val="0"/>
                      <w:color w:val="auto"/>
                      <w:kern w:val="0"/>
                      <w:sz w:val="21"/>
                      <w:szCs w:val="21"/>
                      <w:highlight w:val="none"/>
                      <w:u w:val="none"/>
                      <w:lang w:val="en-US" w:eastAsia="zh-CN" w:bidi="ar"/>
                    </w:rPr>
                    <w:t>1</w:t>
                  </w:r>
                </w:p>
              </w:tc>
              <w:tc>
                <w:tcPr>
                  <w:tcW w:w="1603" w:type="dxa"/>
                  <w:tcBorders>
                    <w:tl2br w:val="nil"/>
                    <w:tr2bl w:val="nil"/>
                  </w:tcBorders>
                  <w:noWrap/>
                  <w:vAlign w:val="center"/>
                </w:tcPr>
                <w:p w14:paraId="602A6373">
                  <w:pPr>
                    <w:keepNext w:val="0"/>
                    <w:keepLines w:val="0"/>
                    <w:widowControl/>
                    <w:suppressLineNumbers w:val="0"/>
                    <w:jc w:val="center"/>
                    <w:textAlignment w:val="center"/>
                    <w:rPr>
                      <w:rFonts w:hint="default" w:ascii="Times New Roman" w:hAnsi="Times New Roman" w:eastAsia="宋体" w:cs="Times New Roman"/>
                      <w:i w:val="0"/>
                      <w:color w:val="auto"/>
                      <w:kern w:val="2"/>
                      <w:sz w:val="21"/>
                      <w:szCs w:val="21"/>
                      <w:highlight w:val="none"/>
                      <w:u w:val="none"/>
                      <w:lang w:val="en-US" w:eastAsia="zh-CN" w:bidi="ar-SA"/>
                    </w:rPr>
                  </w:pPr>
                  <w:r>
                    <w:rPr>
                      <w:rFonts w:hint="default" w:ascii="Times New Roman" w:hAnsi="Times New Roman" w:eastAsia="宋体" w:cs="Times New Roman"/>
                      <w:i w:val="0"/>
                      <w:color w:val="auto"/>
                      <w:kern w:val="0"/>
                      <w:sz w:val="21"/>
                      <w:szCs w:val="21"/>
                      <w:highlight w:val="none"/>
                      <w:u w:val="none"/>
                      <w:lang w:val="en-US" w:eastAsia="zh-CN" w:bidi="ar"/>
                    </w:rPr>
                    <w:t>台</w:t>
                  </w:r>
                </w:p>
              </w:tc>
            </w:tr>
            <w:tr w14:paraId="6172D6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1364" w:type="dxa"/>
                  <w:tcBorders>
                    <w:tl2br w:val="nil"/>
                    <w:tr2bl w:val="nil"/>
                  </w:tcBorders>
                  <w:noWrap/>
                  <w:vAlign w:val="center"/>
                </w:tcPr>
                <w:p w14:paraId="119F45E3">
                  <w:pPr>
                    <w:widowControl/>
                    <w:jc w:val="center"/>
                    <w:rPr>
                      <w:rFonts w:hint="default" w:ascii="Times New Roman" w:hAnsi="Times New Roman" w:eastAsia="宋体" w:cs="Times New Roman"/>
                      <w:color w:val="auto"/>
                      <w:kern w:val="0"/>
                      <w:szCs w:val="21"/>
                      <w:highlight w:val="none"/>
                      <w:lang w:val="en-US" w:eastAsia="zh-CN"/>
                    </w:rPr>
                  </w:pPr>
                  <w:r>
                    <w:rPr>
                      <w:rFonts w:hint="eastAsia" w:ascii="Times New Roman" w:hAnsi="Times New Roman" w:cs="Times New Roman"/>
                      <w:color w:val="auto"/>
                      <w:kern w:val="0"/>
                      <w:szCs w:val="21"/>
                      <w:highlight w:val="none"/>
                      <w:lang w:val="en-US" w:eastAsia="zh-CN"/>
                    </w:rPr>
                    <w:t>33</w:t>
                  </w:r>
                </w:p>
              </w:tc>
              <w:tc>
                <w:tcPr>
                  <w:tcW w:w="3526" w:type="dxa"/>
                  <w:tcBorders>
                    <w:tl2br w:val="nil"/>
                    <w:tr2bl w:val="nil"/>
                  </w:tcBorders>
                  <w:noWrap/>
                  <w:vAlign w:val="center"/>
                </w:tcPr>
                <w:p w14:paraId="199AA231">
                  <w:pPr>
                    <w:spacing w:line="240" w:lineRule="auto"/>
                    <w:jc w:val="center"/>
                    <w:rPr>
                      <w:rFonts w:hint="default" w:ascii="Times New Roman" w:hAnsi="Times New Roman" w:eastAsia="宋体" w:cs="Times New Roman"/>
                      <w:i w:val="0"/>
                      <w:color w:val="auto"/>
                      <w:kern w:val="2"/>
                      <w:sz w:val="21"/>
                      <w:szCs w:val="21"/>
                      <w:highlight w:val="none"/>
                      <w:u w:val="none"/>
                      <w:lang w:val="en-US" w:eastAsia="zh-CN" w:bidi="ar-SA"/>
                    </w:rPr>
                  </w:pPr>
                  <w:r>
                    <w:rPr>
                      <w:rFonts w:hint="eastAsia" w:ascii="Times New Roman" w:hAnsi="Times New Roman" w:eastAsia="宋体" w:cs="Times New Roman"/>
                      <w:b w:val="0"/>
                      <w:bCs/>
                      <w:color w:val="auto"/>
                      <w:sz w:val="21"/>
                      <w:szCs w:val="21"/>
                      <w:lang w:val="en-US" w:eastAsia="zh-CN"/>
                    </w:rPr>
                    <w:t>B超</w:t>
                  </w:r>
                </w:p>
              </w:tc>
              <w:tc>
                <w:tcPr>
                  <w:tcW w:w="1640" w:type="dxa"/>
                  <w:tcBorders>
                    <w:tl2br w:val="nil"/>
                    <w:tr2bl w:val="nil"/>
                  </w:tcBorders>
                  <w:noWrap/>
                  <w:vAlign w:val="center"/>
                </w:tcPr>
                <w:p w14:paraId="5495B562">
                  <w:pPr>
                    <w:keepNext w:val="0"/>
                    <w:keepLines w:val="0"/>
                    <w:widowControl/>
                    <w:suppressLineNumbers w:val="0"/>
                    <w:jc w:val="center"/>
                    <w:textAlignment w:val="center"/>
                    <w:rPr>
                      <w:rFonts w:hint="default" w:ascii="Times New Roman" w:hAnsi="Times New Roman" w:eastAsia="宋体" w:cs="Times New Roman"/>
                      <w:i w:val="0"/>
                      <w:color w:val="auto"/>
                      <w:kern w:val="2"/>
                      <w:sz w:val="21"/>
                      <w:szCs w:val="21"/>
                      <w:highlight w:val="none"/>
                      <w:u w:val="none"/>
                      <w:lang w:val="en-US" w:eastAsia="zh-CN" w:bidi="ar-SA"/>
                    </w:rPr>
                  </w:pPr>
                  <w:r>
                    <w:rPr>
                      <w:rFonts w:hint="eastAsia" w:ascii="Times New Roman" w:hAnsi="Times New Roman" w:eastAsia="宋体" w:cs="Times New Roman"/>
                      <w:i w:val="0"/>
                      <w:color w:val="auto"/>
                      <w:kern w:val="0"/>
                      <w:sz w:val="21"/>
                      <w:szCs w:val="21"/>
                      <w:highlight w:val="none"/>
                      <w:u w:val="none"/>
                      <w:lang w:val="en-US" w:eastAsia="zh-CN" w:bidi="ar"/>
                    </w:rPr>
                    <w:t>1</w:t>
                  </w:r>
                </w:p>
              </w:tc>
              <w:tc>
                <w:tcPr>
                  <w:tcW w:w="1603" w:type="dxa"/>
                  <w:tcBorders>
                    <w:tl2br w:val="nil"/>
                    <w:tr2bl w:val="nil"/>
                  </w:tcBorders>
                  <w:noWrap/>
                  <w:vAlign w:val="center"/>
                </w:tcPr>
                <w:p w14:paraId="7C996219">
                  <w:pPr>
                    <w:keepNext w:val="0"/>
                    <w:keepLines w:val="0"/>
                    <w:widowControl/>
                    <w:suppressLineNumbers w:val="0"/>
                    <w:jc w:val="center"/>
                    <w:textAlignment w:val="center"/>
                    <w:rPr>
                      <w:rFonts w:hint="default" w:ascii="Times New Roman" w:hAnsi="Times New Roman" w:eastAsia="宋体" w:cs="Times New Roman"/>
                      <w:i w:val="0"/>
                      <w:color w:val="auto"/>
                      <w:kern w:val="2"/>
                      <w:sz w:val="21"/>
                      <w:szCs w:val="21"/>
                      <w:highlight w:val="none"/>
                      <w:u w:val="none"/>
                      <w:lang w:val="en-US" w:eastAsia="zh-CN" w:bidi="ar-SA"/>
                    </w:rPr>
                  </w:pPr>
                  <w:r>
                    <w:rPr>
                      <w:rFonts w:hint="default" w:ascii="Times New Roman" w:hAnsi="Times New Roman" w:eastAsia="宋体" w:cs="Times New Roman"/>
                      <w:i w:val="0"/>
                      <w:color w:val="auto"/>
                      <w:kern w:val="0"/>
                      <w:sz w:val="21"/>
                      <w:szCs w:val="21"/>
                      <w:highlight w:val="none"/>
                      <w:u w:val="none"/>
                      <w:lang w:val="en-US" w:eastAsia="zh-CN" w:bidi="ar"/>
                    </w:rPr>
                    <w:t>台</w:t>
                  </w:r>
                </w:p>
              </w:tc>
            </w:tr>
            <w:tr w14:paraId="79737E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1364" w:type="dxa"/>
                  <w:noWrap w:val="0"/>
                  <w:vAlign w:val="center"/>
                </w:tcPr>
                <w:p w14:paraId="00F76929">
                  <w:pPr>
                    <w:widowControl/>
                    <w:jc w:val="center"/>
                    <w:rPr>
                      <w:rFonts w:hint="default" w:ascii="Times New Roman" w:hAnsi="Times New Roman" w:eastAsia="宋体" w:cs="Times New Roman"/>
                      <w:color w:val="auto"/>
                      <w:kern w:val="0"/>
                      <w:sz w:val="21"/>
                      <w:szCs w:val="21"/>
                      <w:highlight w:val="none"/>
                      <w:lang w:val="en-US" w:eastAsia="zh-CN" w:bidi="ar-SA"/>
                    </w:rPr>
                  </w:pPr>
                  <w:r>
                    <w:rPr>
                      <w:rFonts w:hint="eastAsia" w:ascii="Times New Roman" w:hAnsi="Times New Roman" w:cs="Times New Roman"/>
                      <w:color w:val="auto"/>
                      <w:kern w:val="0"/>
                      <w:szCs w:val="21"/>
                      <w:highlight w:val="none"/>
                      <w:lang w:val="en-US" w:eastAsia="zh-CN"/>
                    </w:rPr>
                    <w:t>34</w:t>
                  </w:r>
                </w:p>
              </w:tc>
              <w:tc>
                <w:tcPr>
                  <w:tcW w:w="3526" w:type="dxa"/>
                  <w:noWrap w:val="0"/>
                  <w:vAlign w:val="center"/>
                </w:tcPr>
                <w:p w14:paraId="17A387A0">
                  <w:pPr>
                    <w:spacing w:line="240" w:lineRule="auto"/>
                    <w:jc w:val="center"/>
                    <w:rPr>
                      <w:rFonts w:hint="default" w:ascii="Times New Roman" w:hAnsi="Times New Roman" w:eastAsia="宋体" w:cs="Times New Roman"/>
                      <w:i w:val="0"/>
                      <w:color w:val="auto"/>
                      <w:kern w:val="2"/>
                      <w:sz w:val="21"/>
                      <w:szCs w:val="21"/>
                      <w:highlight w:val="none"/>
                      <w:u w:val="none"/>
                      <w:lang w:val="en-US" w:eastAsia="zh-CN" w:bidi="ar-SA"/>
                    </w:rPr>
                  </w:pPr>
                  <w:r>
                    <w:rPr>
                      <w:rFonts w:hint="eastAsia" w:ascii="Times New Roman" w:hAnsi="Times New Roman" w:eastAsia="宋体" w:cs="Times New Roman"/>
                      <w:b w:val="0"/>
                      <w:bCs/>
                      <w:color w:val="auto"/>
                      <w:sz w:val="21"/>
                      <w:szCs w:val="21"/>
                      <w:lang w:val="en-US" w:eastAsia="zh-CN"/>
                    </w:rPr>
                    <w:t>心电图</w:t>
                  </w:r>
                </w:p>
              </w:tc>
              <w:tc>
                <w:tcPr>
                  <w:tcW w:w="1640" w:type="dxa"/>
                  <w:noWrap w:val="0"/>
                  <w:vAlign w:val="center"/>
                </w:tcPr>
                <w:p w14:paraId="69BBEBA3">
                  <w:pPr>
                    <w:keepNext w:val="0"/>
                    <w:keepLines w:val="0"/>
                    <w:widowControl/>
                    <w:suppressLineNumbers w:val="0"/>
                    <w:jc w:val="center"/>
                    <w:textAlignment w:val="center"/>
                    <w:rPr>
                      <w:rFonts w:hint="default" w:ascii="Times New Roman" w:hAnsi="Times New Roman" w:eastAsia="宋体" w:cs="Times New Roman"/>
                      <w:i w:val="0"/>
                      <w:color w:val="auto"/>
                      <w:kern w:val="2"/>
                      <w:sz w:val="21"/>
                      <w:szCs w:val="21"/>
                      <w:highlight w:val="none"/>
                      <w:u w:val="none"/>
                      <w:lang w:val="en-US" w:eastAsia="zh-CN" w:bidi="ar-SA"/>
                    </w:rPr>
                  </w:pPr>
                  <w:r>
                    <w:rPr>
                      <w:rFonts w:hint="default" w:ascii="Times New Roman" w:hAnsi="Times New Roman" w:eastAsia="宋体" w:cs="Times New Roman"/>
                      <w:i w:val="0"/>
                      <w:color w:val="auto"/>
                      <w:kern w:val="0"/>
                      <w:sz w:val="21"/>
                      <w:szCs w:val="21"/>
                      <w:highlight w:val="none"/>
                      <w:u w:val="none"/>
                      <w:lang w:val="en-US" w:eastAsia="zh-CN" w:bidi="ar"/>
                    </w:rPr>
                    <w:t>1</w:t>
                  </w:r>
                </w:p>
              </w:tc>
              <w:tc>
                <w:tcPr>
                  <w:tcW w:w="1603" w:type="dxa"/>
                  <w:noWrap w:val="0"/>
                  <w:vAlign w:val="center"/>
                </w:tcPr>
                <w:p w14:paraId="4B76BBAE">
                  <w:pPr>
                    <w:keepNext w:val="0"/>
                    <w:keepLines w:val="0"/>
                    <w:widowControl/>
                    <w:suppressLineNumbers w:val="0"/>
                    <w:jc w:val="center"/>
                    <w:textAlignment w:val="center"/>
                    <w:rPr>
                      <w:rFonts w:hint="default" w:ascii="Times New Roman" w:hAnsi="Times New Roman" w:eastAsia="宋体" w:cs="Times New Roman"/>
                      <w:i w:val="0"/>
                      <w:color w:val="auto"/>
                      <w:kern w:val="2"/>
                      <w:sz w:val="21"/>
                      <w:szCs w:val="21"/>
                      <w:highlight w:val="none"/>
                      <w:u w:val="none"/>
                      <w:lang w:val="en-US" w:eastAsia="zh-CN" w:bidi="ar-SA"/>
                    </w:rPr>
                  </w:pPr>
                  <w:r>
                    <w:rPr>
                      <w:rFonts w:hint="default" w:ascii="Times New Roman" w:hAnsi="Times New Roman" w:eastAsia="宋体" w:cs="Times New Roman"/>
                      <w:i w:val="0"/>
                      <w:color w:val="auto"/>
                      <w:kern w:val="0"/>
                      <w:sz w:val="21"/>
                      <w:szCs w:val="21"/>
                      <w:highlight w:val="none"/>
                      <w:u w:val="none"/>
                      <w:lang w:val="en-US" w:eastAsia="zh-CN" w:bidi="ar"/>
                    </w:rPr>
                    <w:t>台</w:t>
                  </w:r>
                </w:p>
              </w:tc>
            </w:tr>
          </w:tbl>
          <w:p w14:paraId="34192839">
            <w:pPr>
              <w:pStyle w:val="22"/>
              <w:spacing w:line="360" w:lineRule="auto"/>
              <w:ind w:firstLine="480" w:firstLineChars="200"/>
              <w:rPr>
                <w:rFonts w:hint="eastAsia"/>
                <w:bCs/>
                <w:color w:val="000000"/>
                <w:sz w:val="24"/>
              </w:rPr>
            </w:pPr>
            <w:r>
              <w:rPr>
                <w:rFonts w:hint="eastAsia"/>
                <w:bCs/>
                <w:color w:val="000000"/>
                <w:sz w:val="24"/>
                <w:lang w:eastAsia="zh-CN"/>
              </w:rPr>
              <w:t>注：</w:t>
            </w:r>
            <w:r>
              <w:rPr>
                <w:bCs/>
                <w:color w:val="000000"/>
                <w:sz w:val="24"/>
              </w:rPr>
              <w:t>本次环评不包括医用X射线装置的评价，根据《射线装置分类》（公告2017年第66号），医用CT、DR为Ⅲ类射线装置，对照《建设项目环境影响评价分类管理名录（2021版）》应填报环境影响登记表。建设单位应在上述设备投入使用前登录建设项目环境影响登记表备案系统进行备案并向生态环境行政主管部门申领辐射安全许可证。</w:t>
            </w:r>
          </w:p>
          <w:p w14:paraId="3279F4D6">
            <w:pPr>
              <w:numPr>
                <w:ilvl w:val="0"/>
                <w:numId w:val="4"/>
              </w:numPr>
              <w:spacing w:line="360" w:lineRule="auto"/>
              <w:ind w:firstLine="482" w:firstLineChars="200"/>
              <w:rPr>
                <w:rFonts w:hint="eastAsia"/>
                <w:b/>
                <w:bCs/>
                <w:color w:val="auto"/>
                <w:sz w:val="24"/>
                <w:highlight w:val="none"/>
                <w:lang w:val="en-US" w:eastAsia="zh-CN"/>
              </w:rPr>
            </w:pPr>
            <w:r>
              <w:rPr>
                <w:rFonts w:hint="eastAsia"/>
                <w:b/>
                <w:bCs/>
                <w:color w:val="auto"/>
                <w:sz w:val="24"/>
                <w:highlight w:val="none"/>
                <w:lang w:val="en-US" w:eastAsia="zh-CN"/>
              </w:rPr>
              <w:t>公用工程</w:t>
            </w:r>
          </w:p>
          <w:p w14:paraId="795AB4D9">
            <w:pPr>
              <w:widowControl w:val="0"/>
              <w:bidi w:val="0"/>
              <w:spacing w:afterLines="0" w:line="360" w:lineRule="auto"/>
              <w:ind w:firstLine="480" w:firstLineChars="200"/>
              <w:jc w:val="both"/>
              <w:rPr>
                <w:rFonts w:ascii="Times New Roman" w:hAnsi="Times New Roman" w:eastAsia="宋体" w:cs="Times New Roman"/>
                <w:color w:val="000000"/>
                <w:kern w:val="2"/>
                <w:sz w:val="24"/>
                <w:szCs w:val="24"/>
                <w:highlight w:val="none"/>
                <w:lang w:val="en-US" w:eastAsia="zh-CN" w:bidi="ar-SA"/>
              </w:rPr>
            </w:pPr>
            <w:r>
              <w:rPr>
                <w:rFonts w:hint="eastAsia" w:ascii="宋体" w:hAnsi="宋体" w:eastAsia="宋体" w:cs="宋体"/>
                <w:color w:val="000000"/>
                <w:kern w:val="2"/>
                <w:sz w:val="24"/>
                <w:szCs w:val="24"/>
                <w:highlight w:val="none"/>
                <w:lang w:val="en-US" w:eastAsia="zh-CN" w:bidi="ar-SA"/>
              </w:rPr>
              <w:t>①</w:t>
            </w:r>
            <w:r>
              <w:rPr>
                <w:rFonts w:hint="eastAsia" w:ascii="Times New Roman" w:hAnsi="Times New Roman" w:eastAsia="宋体" w:cs="Times New Roman"/>
                <w:color w:val="000000"/>
                <w:kern w:val="2"/>
                <w:sz w:val="24"/>
                <w:szCs w:val="24"/>
                <w:highlight w:val="none"/>
                <w:lang w:val="en-US" w:eastAsia="zh-CN" w:bidi="ar-SA"/>
              </w:rPr>
              <w:t>给水：</w:t>
            </w:r>
          </w:p>
          <w:p w14:paraId="2251B4F3">
            <w:pPr>
              <w:widowControl w:val="0"/>
              <w:bidi w:val="0"/>
              <w:spacing w:afterLines="0" w:line="360" w:lineRule="auto"/>
              <w:ind w:firstLine="480" w:firstLineChars="200"/>
              <w:jc w:val="both"/>
              <w:rPr>
                <w:rFonts w:ascii="Times New Roman" w:hAnsi="Times New Roman" w:eastAsia="宋体" w:cs="Times New Roman"/>
                <w:color w:val="000000"/>
                <w:kern w:val="2"/>
                <w:sz w:val="24"/>
                <w:szCs w:val="24"/>
                <w:highlight w:val="none"/>
                <w:lang w:val="en-US" w:eastAsia="zh-CN" w:bidi="ar-SA"/>
              </w:rPr>
            </w:pPr>
            <w:r>
              <w:rPr>
                <w:rFonts w:hint="eastAsia" w:ascii="Times New Roman" w:hAnsi="Times New Roman" w:eastAsia="宋体" w:cs="Times New Roman"/>
                <w:color w:val="000000"/>
                <w:kern w:val="2"/>
                <w:sz w:val="24"/>
                <w:szCs w:val="24"/>
                <w:highlight w:val="none"/>
                <w:lang w:val="en-US" w:eastAsia="zh-CN" w:bidi="ar-SA"/>
              </w:rPr>
              <w:t>本项目用水由市政供水管网供给，供水能满足用水水量及水压的要求。本项目用水主要为生活用水、</w:t>
            </w:r>
            <w:r>
              <w:rPr>
                <w:rFonts w:hint="eastAsia" w:cs="Times New Roman"/>
                <w:color w:val="000000"/>
                <w:kern w:val="2"/>
                <w:sz w:val="24"/>
                <w:szCs w:val="24"/>
                <w:highlight w:val="none"/>
                <w:lang w:val="en-US" w:eastAsia="zh-CN" w:bidi="ar-SA"/>
              </w:rPr>
              <w:t>普通</w:t>
            </w:r>
            <w:r>
              <w:rPr>
                <w:rFonts w:hint="eastAsia" w:ascii="Times New Roman" w:hAnsi="Times New Roman" w:eastAsia="宋体" w:cs="Times New Roman"/>
                <w:color w:val="000000"/>
                <w:kern w:val="2"/>
                <w:sz w:val="24"/>
                <w:szCs w:val="24"/>
                <w:highlight w:val="none"/>
                <w:lang w:val="en-US" w:eastAsia="zh-CN" w:bidi="ar-SA"/>
              </w:rPr>
              <w:t>门诊用水、</w:t>
            </w:r>
            <w:r>
              <w:rPr>
                <w:rFonts w:hint="eastAsia" w:cs="Times New Roman"/>
                <w:color w:val="000000"/>
                <w:kern w:val="2"/>
                <w:sz w:val="24"/>
                <w:szCs w:val="24"/>
                <w:highlight w:val="none"/>
                <w:lang w:val="en-US" w:eastAsia="zh-CN" w:bidi="ar-SA"/>
              </w:rPr>
              <w:t>口腔科用水、</w:t>
            </w:r>
            <w:r>
              <w:rPr>
                <w:rFonts w:hint="eastAsia" w:ascii="Times New Roman" w:hAnsi="Times New Roman" w:eastAsia="宋体" w:cs="Times New Roman"/>
                <w:color w:val="000000"/>
                <w:kern w:val="2"/>
                <w:sz w:val="24"/>
                <w:szCs w:val="24"/>
                <w:highlight w:val="none"/>
                <w:lang w:val="en-US" w:eastAsia="zh-CN" w:bidi="ar-SA"/>
              </w:rPr>
              <w:t>病房用水、检验用水</w:t>
            </w:r>
            <w:r>
              <w:rPr>
                <w:rFonts w:hint="eastAsia" w:cs="Times New Roman"/>
                <w:color w:val="000000"/>
                <w:kern w:val="2"/>
                <w:sz w:val="24"/>
                <w:szCs w:val="24"/>
                <w:highlight w:val="none"/>
                <w:lang w:val="en-US" w:eastAsia="zh-CN" w:bidi="ar-SA"/>
              </w:rPr>
              <w:t>、手术室用水</w:t>
            </w:r>
            <w:r>
              <w:rPr>
                <w:rFonts w:hint="eastAsia" w:ascii="Times New Roman" w:hAnsi="Times New Roman" w:eastAsia="宋体" w:cs="Times New Roman"/>
                <w:color w:val="000000"/>
                <w:kern w:val="2"/>
                <w:sz w:val="24"/>
                <w:szCs w:val="24"/>
                <w:highlight w:val="none"/>
                <w:lang w:val="en-US" w:eastAsia="zh-CN" w:bidi="ar-SA"/>
              </w:rPr>
              <w:t>和保洁用水。</w:t>
            </w:r>
          </w:p>
          <w:p w14:paraId="75CDED91">
            <w:pPr>
              <w:widowControl w:val="0"/>
              <w:bidi w:val="0"/>
              <w:spacing w:afterLines="0" w:line="360" w:lineRule="auto"/>
              <w:ind w:firstLine="480" w:firstLineChars="200"/>
              <w:jc w:val="both"/>
              <w:rPr>
                <w:rFonts w:ascii="Times New Roman" w:hAnsi="Times New Roman" w:eastAsia="宋体" w:cs="Times New Roman"/>
                <w:color w:val="000000"/>
                <w:kern w:val="2"/>
                <w:sz w:val="24"/>
                <w:szCs w:val="24"/>
                <w:highlight w:val="none"/>
                <w:lang w:val="en-US" w:eastAsia="zh-CN" w:bidi="ar-SA"/>
              </w:rPr>
            </w:pPr>
            <w:r>
              <w:rPr>
                <w:rFonts w:hint="eastAsia" w:ascii="宋体" w:hAnsi="宋体" w:eastAsia="宋体" w:cs="宋体"/>
                <w:color w:val="000000"/>
                <w:kern w:val="2"/>
                <w:sz w:val="24"/>
                <w:szCs w:val="24"/>
                <w:highlight w:val="none"/>
                <w:lang w:val="en-US" w:eastAsia="zh-CN" w:bidi="ar-SA"/>
              </w:rPr>
              <w:t>②</w:t>
            </w:r>
            <w:r>
              <w:rPr>
                <w:rFonts w:hint="eastAsia" w:ascii="Times New Roman" w:hAnsi="Times New Roman" w:eastAsia="宋体" w:cs="Times New Roman"/>
                <w:color w:val="000000"/>
                <w:kern w:val="2"/>
                <w:sz w:val="24"/>
                <w:szCs w:val="24"/>
                <w:highlight w:val="none"/>
                <w:lang w:val="en-US" w:eastAsia="zh-CN" w:bidi="ar-SA"/>
              </w:rPr>
              <w:t>排水：</w:t>
            </w:r>
          </w:p>
          <w:p w14:paraId="4C438482">
            <w:pPr>
              <w:widowControl w:val="0"/>
              <w:bidi w:val="0"/>
              <w:spacing w:afterLines="0" w:line="360" w:lineRule="auto"/>
              <w:ind w:firstLine="480" w:firstLineChars="200"/>
              <w:jc w:val="both"/>
              <w:rPr>
                <w:rFonts w:ascii="Times New Roman" w:hAnsi="Times New Roman" w:eastAsia="宋体" w:cs="Times New Roman"/>
                <w:color w:val="000000"/>
                <w:kern w:val="2"/>
                <w:sz w:val="24"/>
                <w:szCs w:val="24"/>
                <w:highlight w:val="none"/>
                <w:lang w:val="en-US" w:eastAsia="zh-CN" w:bidi="ar-SA"/>
              </w:rPr>
            </w:pPr>
            <w:r>
              <w:rPr>
                <w:rFonts w:hint="eastAsia" w:ascii="Times New Roman" w:hAnsi="Times New Roman" w:eastAsia="宋体" w:cs="Times New Roman"/>
                <w:color w:val="000000"/>
                <w:kern w:val="2"/>
                <w:sz w:val="24"/>
                <w:szCs w:val="24"/>
                <w:highlight w:val="none"/>
                <w:lang w:val="en-US" w:eastAsia="zh-CN" w:bidi="ar-SA"/>
              </w:rPr>
              <w:t>项目排水实行雨污分流、污污分流制度，雨水收集后接入市政雨水管网。</w:t>
            </w:r>
          </w:p>
          <w:p w14:paraId="57623C49">
            <w:pPr>
              <w:widowControl w:val="0"/>
              <w:bidi w:val="0"/>
              <w:spacing w:afterLines="0" w:line="360" w:lineRule="auto"/>
              <w:ind w:firstLine="480" w:firstLineChars="200"/>
              <w:jc w:val="both"/>
              <w:rPr>
                <w:rFonts w:hint="eastAsia"/>
                <w:sz w:val="24"/>
                <w:szCs w:val="24"/>
                <w:highlight w:val="none"/>
                <w:lang w:eastAsia="zh-CN"/>
              </w:rPr>
            </w:pPr>
            <w:r>
              <w:rPr>
                <w:rFonts w:hint="eastAsia" w:ascii="Times New Roman" w:hAnsi="Times New Roman" w:eastAsia="宋体" w:cs="Times New Roman"/>
                <w:color w:val="000000"/>
                <w:kern w:val="2"/>
                <w:sz w:val="24"/>
                <w:szCs w:val="24"/>
                <w:highlight w:val="none"/>
                <w:lang w:val="en-US" w:eastAsia="zh-CN" w:bidi="ar-SA"/>
              </w:rPr>
              <w:t>医院运营期产生的废水包括生活污水、</w:t>
            </w:r>
            <w:r>
              <w:rPr>
                <w:rFonts w:hint="eastAsia" w:cs="Times New Roman"/>
                <w:color w:val="000000"/>
                <w:kern w:val="2"/>
                <w:sz w:val="24"/>
                <w:szCs w:val="24"/>
                <w:highlight w:val="none"/>
                <w:lang w:val="en-US" w:eastAsia="zh-CN" w:bidi="ar-SA"/>
              </w:rPr>
              <w:t>普通</w:t>
            </w:r>
            <w:r>
              <w:rPr>
                <w:rFonts w:hint="eastAsia" w:ascii="Times New Roman" w:hAnsi="Times New Roman" w:eastAsia="宋体" w:cs="Times New Roman"/>
                <w:color w:val="000000"/>
                <w:kern w:val="2"/>
                <w:sz w:val="24"/>
                <w:szCs w:val="24"/>
                <w:highlight w:val="none"/>
                <w:lang w:val="en-US" w:eastAsia="zh-CN" w:bidi="ar-SA"/>
              </w:rPr>
              <w:t>门诊废水、</w:t>
            </w:r>
            <w:r>
              <w:rPr>
                <w:rFonts w:hint="eastAsia" w:cs="Times New Roman"/>
                <w:color w:val="000000"/>
                <w:kern w:val="2"/>
                <w:sz w:val="24"/>
                <w:szCs w:val="24"/>
                <w:highlight w:val="none"/>
                <w:lang w:val="en-US" w:eastAsia="zh-CN" w:bidi="ar-SA"/>
              </w:rPr>
              <w:t>口腔科废水、</w:t>
            </w:r>
            <w:r>
              <w:rPr>
                <w:rFonts w:hint="eastAsia" w:ascii="Times New Roman" w:hAnsi="Times New Roman" w:eastAsia="宋体" w:cs="Times New Roman"/>
                <w:color w:val="000000"/>
                <w:kern w:val="2"/>
                <w:sz w:val="24"/>
                <w:szCs w:val="24"/>
                <w:highlight w:val="none"/>
                <w:lang w:val="en-US" w:eastAsia="zh-CN" w:bidi="ar-SA"/>
              </w:rPr>
              <w:t>病房废水、检验废水</w:t>
            </w:r>
            <w:r>
              <w:rPr>
                <w:rFonts w:hint="eastAsia" w:cs="Times New Roman"/>
                <w:color w:val="000000"/>
                <w:kern w:val="2"/>
                <w:sz w:val="24"/>
                <w:szCs w:val="24"/>
                <w:highlight w:val="none"/>
                <w:lang w:val="en-US" w:eastAsia="zh-CN" w:bidi="ar-SA"/>
              </w:rPr>
              <w:t>、手术室废水、浓水</w:t>
            </w:r>
            <w:r>
              <w:rPr>
                <w:rFonts w:hint="eastAsia" w:ascii="Times New Roman" w:hAnsi="Times New Roman" w:eastAsia="宋体" w:cs="Times New Roman"/>
                <w:color w:val="000000"/>
                <w:kern w:val="2"/>
                <w:sz w:val="24"/>
                <w:szCs w:val="24"/>
                <w:highlight w:val="none"/>
                <w:lang w:val="en-US" w:eastAsia="zh-CN" w:bidi="ar-SA"/>
              </w:rPr>
              <w:t>和保洁废水。生活污水、普通门诊废水、口腔科废水、病房废水、检验废水</w:t>
            </w:r>
            <w:r>
              <w:rPr>
                <w:rFonts w:hint="eastAsia" w:cs="Times New Roman"/>
                <w:color w:val="000000"/>
                <w:kern w:val="2"/>
                <w:sz w:val="24"/>
                <w:szCs w:val="24"/>
                <w:highlight w:val="none"/>
                <w:lang w:val="en-US" w:eastAsia="zh-CN" w:bidi="ar-SA"/>
              </w:rPr>
              <w:t>、手术室废水</w:t>
            </w:r>
            <w:r>
              <w:rPr>
                <w:rFonts w:hint="eastAsia" w:ascii="Times New Roman" w:hAnsi="Times New Roman" w:eastAsia="宋体" w:cs="Times New Roman"/>
                <w:color w:val="000000"/>
                <w:kern w:val="2"/>
                <w:sz w:val="24"/>
                <w:szCs w:val="24"/>
                <w:highlight w:val="none"/>
                <w:lang w:val="en-US" w:eastAsia="zh-CN" w:bidi="ar-SA"/>
              </w:rPr>
              <w:t>经化粪池预处理后，与浓水、保洁废水一同进入医院自建污水处理站处理达标后，接管进入潘集区芦集镇再生水厂进一步处理</w:t>
            </w:r>
            <w:r>
              <w:rPr>
                <w:rFonts w:hint="eastAsia"/>
                <w:sz w:val="24"/>
                <w:szCs w:val="24"/>
                <w:highlight w:val="none"/>
                <w:lang w:eastAsia="zh-CN"/>
              </w:rPr>
              <w:t>。</w:t>
            </w:r>
          </w:p>
          <w:p w14:paraId="2003EDC8">
            <w:pPr>
              <w:widowControl w:val="0"/>
              <w:bidi w:val="0"/>
              <w:spacing w:afterLines="0" w:line="360" w:lineRule="auto"/>
              <w:ind w:firstLine="480" w:firstLineChars="200"/>
              <w:jc w:val="both"/>
              <w:rPr>
                <w:rFonts w:ascii="Times New Roman" w:hAnsi="Times New Roman" w:eastAsia="宋体" w:cs="Times New Roman"/>
                <w:color w:val="000000"/>
                <w:kern w:val="2"/>
                <w:sz w:val="24"/>
                <w:szCs w:val="24"/>
                <w:highlight w:val="none"/>
                <w:lang w:val="en-US" w:eastAsia="zh-CN" w:bidi="ar-SA"/>
              </w:rPr>
            </w:pPr>
            <w:r>
              <w:rPr>
                <w:rFonts w:hint="eastAsia" w:ascii="宋体" w:hAnsi="宋体" w:eastAsia="宋体" w:cs="宋体"/>
                <w:color w:val="000000"/>
                <w:kern w:val="2"/>
                <w:sz w:val="24"/>
                <w:szCs w:val="24"/>
                <w:highlight w:val="none"/>
                <w:lang w:val="en-US" w:eastAsia="zh-CN" w:bidi="ar-SA"/>
              </w:rPr>
              <w:t>③</w:t>
            </w:r>
            <w:r>
              <w:rPr>
                <w:rFonts w:hint="eastAsia" w:ascii="Times New Roman" w:hAnsi="Times New Roman" w:eastAsia="宋体" w:cs="Times New Roman"/>
                <w:color w:val="000000"/>
                <w:kern w:val="2"/>
                <w:sz w:val="24"/>
                <w:szCs w:val="24"/>
                <w:highlight w:val="none"/>
                <w:lang w:val="en-US" w:eastAsia="zh-CN" w:bidi="ar-SA"/>
              </w:rPr>
              <w:t>供电：</w:t>
            </w:r>
          </w:p>
          <w:p w14:paraId="32D7BE5B">
            <w:pPr>
              <w:widowControl w:val="0"/>
              <w:bidi w:val="0"/>
              <w:spacing w:afterLines="0" w:line="360" w:lineRule="auto"/>
              <w:ind w:firstLine="480" w:firstLineChars="200"/>
              <w:jc w:val="both"/>
              <w:rPr>
                <w:rFonts w:ascii="Times New Roman" w:hAnsi="Times New Roman" w:eastAsia="宋体" w:cs="Times New Roman"/>
                <w:color w:val="000000"/>
                <w:kern w:val="2"/>
                <w:sz w:val="24"/>
                <w:szCs w:val="24"/>
                <w:highlight w:val="none"/>
                <w:lang w:val="en-US" w:eastAsia="zh-CN" w:bidi="ar-SA"/>
              </w:rPr>
            </w:pPr>
            <w:r>
              <w:rPr>
                <w:rFonts w:hint="eastAsia" w:ascii="Times New Roman" w:hAnsi="Times New Roman" w:eastAsia="宋体" w:cs="Times New Roman"/>
                <w:color w:val="000000"/>
                <w:kern w:val="2"/>
                <w:sz w:val="24"/>
                <w:szCs w:val="24"/>
                <w:highlight w:val="none"/>
                <w:lang w:val="en-US" w:eastAsia="zh-CN" w:bidi="ar-SA"/>
              </w:rPr>
              <w:t>本项目营运期用电由市政电网提供</w:t>
            </w:r>
            <w:r>
              <w:rPr>
                <w:rFonts w:ascii="Times New Roman" w:hAnsi="Times New Roman" w:eastAsia="宋体" w:cs="Times New Roman"/>
                <w:color w:val="000000"/>
                <w:kern w:val="2"/>
                <w:sz w:val="24"/>
                <w:szCs w:val="24"/>
                <w:highlight w:val="none"/>
                <w:lang w:val="en-US" w:eastAsia="zh-CN" w:bidi="ar-SA"/>
              </w:rPr>
              <w:t>。</w:t>
            </w:r>
          </w:p>
          <w:p w14:paraId="033FED55">
            <w:pPr>
              <w:widowControl w:val="0"/>
              <w:bidi w:val="0"/>
              <w:spacing w:afterLines="0" w:line="360" w:lineRule="auto"/>
              <w:ind w:firstLine="480" w:firstLineChars="200"/>
              <w:jc w:val="both"/>
              <w:rPr>
                <w:rFonts w:ascii="Times New Roman" w:hAnsi="Times New Roman" w:eastAsia="宋体" w:cs="Times New Roman"/>
                <w:color w:val="000000"/>
                <w:kern w:val="2"/>
                <w:sz w:val="24"/>
                <w:szCs w:val="24"/>
                <w:highlight w:val="none"/>
                <w:lang w:val="en-US" w:eastAsia="zh-CN" w:bidi="ar-SA"/>
              </w:rPr>
            </w:pPr>
            <w:r>
              <w:rPr>
                <w:rFonts w:hint="eastAsia" w:ascii="宋体" w:hAnsi="宋体" w:eastAsia="宋体" w:cs="宋体"/>
                <w:color w:val="000000"/>
                <w:kern w:val="2"/>
                <w:sz w:val="24"/>
                <w:szCs w:val="24"/>
                <w:highlight w:val="none"/>
                <w:lang w:val="en-US" w:eastAsia="zh-CN" w:bidi="ar-SA"/>
              </w:rPr>
              <w:t>④</w:t>
            </w:r>
            <w:r>
              <w:rPr>
                <w:rFonts w:hint="eastAsia" w:ascii="Times New Roman" w:hAnsi="Times New Roman" w:eastAsia="宋体" w:cs="Times New Roman"/>
                <w:color w:val="000000"/>
                <w:kern w:val="2"/>
                <w:sz w:val="24"/>
                <w:szCs w:val="24"/>
                <w:highlight w:val="none"/>
                <w:lang w:val="en-US" w:eastAsia="zh-CN" w:bidi="ar-SA"/>
              </w:rPr>
              <w:t>供热制冷：</w:t>
            </w:r>
          </w:p>
          <w:p w14:paraId="608210FF">
            <w:pPr>
              <w:widowControl w:val="0"/>
              <w:bidi w:val="0"/>
              <w:spacing w:afterLines="0" w:line="360" w:lineRule="auto"/>
              <w:ind w:firstLine="480" w:firstLineChars="200"/>
              <w:jc w:val="both"/>
              <w:rPr>
                <w:rFonts w:ascii="Times New Roman" w:hAnsi="Times New Roman" w:eastAsia="宋体" w:cs="Times New Roman"/>
                <w:color w:val="000000"/>
                <w:kern w:val="2"/>
                <w:sz w:val="24"/>
                <w:szCs w:val="24"/>
                <w:highlight w:val="none"/>
                <w:lang w:val="en-US" w:eastAsia="zh-CN" w:bidi="ar-SA"/>
              </w:rPr>
            </w:pPr>
            <w:r>
              <w:rPr>
                <w:rFonts w:hint="eastAsia" w:ascii="Times New Roman" w:hAnsi="Times New Roman" w:eastAsia="宋体" w:cs="Times New Roman"/>
                <w:color w:val="000000"/>
                <w:kern w:val="2"/>
                <w:sz w:val="24"/>
                <w:szCs w:val="24"/>
                <w:highlight w:val="none"/>
                <w:lang w:val="en-US" w:eastAsia="zh-CN" w:bidi="ar-SA"/>
              </w:rPr>
              <w:t>本项目不设锅炉，医疗及生活所需热水采用电加热，病房和办公区采用空调制冷供热。</w:t>
            </w:r>
          </w:p>
          <w:p w14:paraId="7065295D">
            <w:pPr>
              <w:spacing w:line="360" w:lineRule="auto"/>
              <w:ind w:firstLine="482" w:firstLineChars="200"/>
              <w:rPr>
                <w:color w:val="auto"/>
                <w:sz w:val="24"/>
                <w:highlight w:val="none"/>
              </w:rPr>
            </w:pPr>
            <w:r>
              <w:rPr>
                <w:rFonts w:hint="eastAsia"/>
                <w:b/>
                <w:bCs/>
                <w:color w:val="auto"/>
                <w:sz w:val="24"/>
                <w:highlight w:val="none"/>
                <w:lang w:val="en-US" w:eastAsia="zh-CN"/>
              </w:rPr>
              <w:t>7.</w:t>
            </w:r>
            <w:r>
              <w:rPr>
                <w:b/>
                <w:bCs/>
                <w:color w:val="auto"/>
                <w:sz w:val="24"/>
                <w:highlight w:val="none"/>
              </w:rPr>
              <w:t>劳动定员和工作班制</w:t>
            </w:r>
          </w:p>
          <w:p w14:paraId="53130C7F">
            <w:pPr>
              <w:spacing w:line="360" w:lineRule="auto"/>
              <w:ind w:firstLine="480" w:firstLineChars="200"/>
              <w:rPr>
                <w:rFonts w:hint="default" w:eastAsia="宋体"/>
                <w:color w:val="auto"/>
                <w:sz w:val="24"/>
                <w:highlight w:val="none"/>
                <w:lang w:val="en-US" w:eastAsia="zh-CN"/>
              </w:rPr>
            </w:pPr>
            <w:r>
              <w:rPr>
                <w:color w:val="auto"/>
                <w:sz w:val="24"/>
                <w:highlight w:val="none"/>
              </w:rPr>
              <w:t>本项目劳动定员</w:t>
            </w:r>
            <w:r>
              <w:rPr>
                <w:rFonts w:hint="eastAsia"/>
                <w:color w:val="auto"/>
                <w:sz w:val="24"/>
                <w:highlight w:val="none"/>
                <w:lang w:val="en-US" w:eastAsia="zh-CN"/>
              </w:rPr>
              <w:t>86</w:t>
            </w:r>
            <w:r>
              <w:rPr>
                <w:color w:val="auto"/>
                <w:sz w:val="24"/>
                <w:highlight w:val="none"/>
              </w:rPr>
              <w:t>人</w:t>
            </w:r>
            <w:r>
              <w:rPr>
                <w:rFonts w:hint="eastAsia"/>
                <w:color w:val="auto"/>
                <w:sz w:val="24"/>
                <w:highlight w:val="none"/>
                <w:lang w:eastAsia="zh-CN"/>
              </w:rPr>
              <w:t>，项目不设住宿、食堂，实行三</w:t>
            </w:r>
            <w:r>
              <w:rPr>
                <w:rFonts w:hint="eastAsia"/>
                <w:color w:val="auto"/>
                <w:sz w:val="24"/>
                <w:highlight w:val="none"/>
              </w:rPr>
              <w:t>班制，每班工作8h，年工作</w:t>
            </w:r>
            <w:r>
              <w:rPr>
                <w:rFonts w:hint="eastAsia"/>
                <w:color w:val="auto"/>
                <w:sz w:val="24"/>
                <w:highlight w:val="none"/>
                <w:lang w:val="en-US" w:eastAsia="zh-CN"/>
              </w:rPr>
              <w:t>365</w:t>
            </w:r>
            <w:r>
              <w:rPr>
                <w:rFonts w:hint="eastAsia"/>
                <w:color w:val="auto"/>
                <w:sz w:val="24"/>
                <w:highlight w:val="none"/>
              </w:rPr>
              <w:t>天</w:t>
            </w:r>
            <w:r>
              <w:rPr>
                <w:rFonts w:hint="eastAsia"/>
                <w:color w:val="auto"/>
                <w:sz w:val="24"/>
                <w:highlight w:val="none"/>
                <w:lang w:val="en-US" w:eastAsia="zh-CN"/>
              </w:rPr>
              <w:t>。</w:t>
            </w:r>
          </w:p>
          <w:p w14:paraId="723565CC">
            <w:pPr>
              <w:numPr>
                <w:ilvl w:val="0"/>
                <w:numId w:val="0"/>
              </w:numPr>
              <w:spacing w:line="360" w:lineRule="auto"/>
              <w:ind w:firstLine="482" w:firstLineChars="200"/>
              <w:rPr>
                <w:rFonts w:hint="eastAsia"/>
                <w:b/>
                <w:color w:val="auto"/>
                <w:sz w:val="24"/>
                <w:highlight w:val="none"/>
              </w:rPr>
            </w:pPr>
            <w:r>
              <w:rPr>
                <w:rFonts w:hint="eastAsia"/>
                <w:b/>
                <w:color w:val="auto"/>
                <w:sz w:val="24"/>
                <w:highlight w:val="none"/>
                <w:lang w:val="en-US" w:eastAsia="zh-CN"/>
              </w:rPr>
              <w:t>8.</w:t>
            </w:r>
            <w:r>
              <w:rPr>
                <w:rFonts w:hint="eastAsia"/>
                <w:b/>
                <w:color w:val="auto"/>
                <w:sz w:val="24"/>
                <w:highlight w:val="none"/>
              </w:rPr>
              <w:t>水平衡分析</w:t>
            </w:r>
          </w:p>
          <w:p w14:paraId="2172451F">
            <w:pPr>
              <w:pStyle w:val="19"/>
              <w:spacing w:line="360" w:lineRule="auto"/>
              <w:ind w:firstLine="480" w:firstLineChars="200"/>
              <w:rPr>
                <w:rFonts w:hint="eastAsia" w:ascii="Times New Roman" w:eastAsia="宋体"/>
                <w:color w:val="auto"/>
                <w:sz w:val="24"/>
                <w:szCs w:val="24"/>
                <w:highlight w:val="yellow"/>
                <w:lang w:eastAsia="zh-CN"/>
              </w:rPr>
            </w:pPr>
            <w:r>
              <w:rPr>
                <w:rFonts w:hint="eastAsia" w:ascii="Times New Roman"/>
                <w:bCs/>
                <w:color w:val="auto"/>
                <w:sz w:val="24"/>
                <w:szCs w:val="24"/>
                <w:highlight w:val="none"/>
                <w:lang w:val="en-US" w:eastAsia="zh-CN"/>
              </w:rPr>
              <w:t>项目不设置洗衣房，</w:t>
            </w:r>
            <w:r>
              <w:rPr>
                <w:rFonts w:hint="eastAsia" w:ascii="Times New Roman"/>
                <w:bCs/>
                <w:color w:val="auto"/>
                <w:sz w:val="24"/>
                <w:szCs w:val="24"/>
                <w:highlight w:val="none"/>
              </w:rPr>
              <w:t>运营期用水环节</w:t>
            </w:r>
            <w:r>
              <w:rPr>
                <w:rFonts w:hint="eastAsia" w:ascii="Times New Roman"/>
                <w:bCs/>
                <w:color w:val="auto"/>
                <w:sz w:val="24"/>
                <w:szCs w:val="24"/>
                <w:highlight w:val="none"/>
                <w:lang w:val="en-US" w:eastAsia="zh-CN"/>
              </w:rPr>
              <w:t>如下。</w:t>
            </w:r>
          </w:p>
          <w:p w14:paraId="09A40018">
            <w:pPr>
              <w:pStyle w:val="11"/>
              <w:numPr>
                <w:ilvl w:val="0"/>
                <w:numId w:val="0"/>
              </w:numPr>
              <w:spacing w:line="360" w:lineRule="auto"/>
              <w:ind w:left="420" w:leftChars="200" w:firstLine="0" w:firstLineChars="0"/>
              <w:jc w:val="left"/>
              <w:rPr>
                <w:rFonts w:hint="eastAsia"/>
                <w:color w:val="auto"/>
                <w:sz w:val="24"/>
                <w:szCs w:val="24"/>
                <w:highlight w:val="none"/>
              </w:rPr>
            </w:pPr>
            <w:r>
              <w:rPr>
                <w:rFonts w:hint="eastAsia"/>
                <w:color w:val="auto"/>
                <w:sz w:val="24"/>
                <w:szCs w:val="24"/>
                <w:highlight w:val="none"/>
                <w:lang w:eastAsia="zh-CN"/>
              </w:rPr>
              <w:t>（</w:t>
            </w:r>
            <w:r>
              <w:rPr>
                <w:rFonts w:hint="eastAsia"/>
                <w:color w:val="auto"/>
                <w:sz w:val="24"/>
                <w:szCs w:val="24"/>
                <w:highlight w:val="none"/>
                <w:lang w:val="en-US" w:eastAsia="zh-CN"/>
              </w:rPr>
              <w:t>1</w:t>
            </w:r>
            <w:r>
              <w:rPr>
                <w:rFonts w:hint="eastAsia"/>
                <w:color w:val="auto"/>
                <w:sz w:val="24"/>
                <w:szCs w:val="24"/>
                <w:highlight w:val="none"/>
                <w:lang w:eastAsia="zh-CN"/>
              </w:rPr>
              <w:t>）</w:t>
            </w:r>
            <w:r>
              <w:rPr>
                <w:rFonts w:hint="eastAsia"/>
                <w:color w:val="auto"/>
                <w:sz w:val="24"/>
                <w:szCs w:val="24"/>
                <w:highlight w:val="none"/>
              </w:rPr>
              <w:t>生活用水</w:t>
            </w:r>
          </w:p>
          <w:p w14:paraId="25F1B32B">
            <w:pPr>
              <w:spacing w:line="360" w:lineRule="auto"/>
              <w:ind w:firstLine="480" w:firstLineChars="200"/>
              <w:rPr>
                <w:rFonts w:hint="eastAsia" w:ascii="Times New Roman" w:hAnsi="Times New Roman"/>
                <w:b w:val="0"/>
                <w:bCs w:val="0"/>
                <w:color w:val="auto"/>
                <w:sz w:val="21"/>
                <w:szCs w:val="21"/>
              </w:rPr>
            </w:pPr>
            <w:r>
              <w:rPr>
                <w:rFonts w:hint="eastAsia" w:ascii="Times New Roman" w:hAnsi="Times New Roman"/>
                <w:color w:val="auto"/>
                <w:sz w:val="24"/>
                <w:szCs w:val="24"/>
                <w:lang w:val="en-US" w:eastAsia="zh-CN"/>
              </w:rPr>
              <w:t>项目劳动定员86</w:t>
            </w:r>
            <w:r>
              <w:rPr>
                <w:rFonts w:ascii="Times New Roman" w:hAnsi="Times New Roman"/>
                <w:color w:val="auto"/>
                <w:sz w:val="24"/>
                <w:szCs w:val="24"/>
              </w:rPr>
              <w:t>人，</w:t>
            </w:r>
            <w:r>
              <w:rPr>
                <w:color w:val="auto"/>
                <w:sz w:val="24"/>
                <w:szCs w:val="24"/>
              </w:rPr>
              <w:t>根据《</w:t>
            </w:r>
            <w:r>
              <w:rPr>
                <w:color w:val="auto"/>
                <w:sz w:val="24"/>
              </w:rPr>
              <w:t>安徽省行业用水定额》（DB</w:t>
            </w:r>
            <w:r>
              <w:rPr>
                <w:rFonts w:hint="eastAsia"/>
                <w:color w:val="auto"/>
                <w:sz w:val="24"/>
                <w:lang w:val="en-US" w:eastAsia="zh-CN"/>
              </w:rPr>
              <w:t>34</w:t>
            </w:r>
            <w:r>
              <w:rPr>
                <w:color w:val="auto"/>
                <w:sz w:val="24"/>
              </w:rPr>
              <w:t>/T679─20</w:t>
            </w:r>
            <w:r>
              <w:rPr>
                <w:rFonts w:hint="eastAsia"/>
                <w:color w:val="auto"/>
                <w:sz w:val="24"/>
              </w:rPr>
              <w:t>25</w:t>
            </w:r>
            <w:r>
              <w:rPr>
                <w:color w:val="auto"/>
                <w:sz w:val="24"/>
              </w:rPr>
              <w:t>）</w:t>
            </w:r>
            <w:r>
              <w:rPr>
                <w:rFonts w:hint="eastAsia"/>
                <w:color w:val="auto"/>
                <w:sz w:val="24"/>
              </w:rPr>
              <w:t>“表5服务业用水定额表”中“S922国家行政机构（企业独立办公室用水参照本定额）”，则用水量取38t/（人.a）</w:t>
            </w:r>
            <w:r>
              <w:rPr>
                <w:rFonts w:hint="eastAsia"/>
                <w:color w:val="auto"/>
                <w:sz w:val="24"/>
                <w:szCs w:val="24"/>
              </w:rPr>
              <w:t>，则生活用水量为</w:t>
            </w:r>
            <w:r>
              <w:rPr>
                <w:rFonts w:hint="eastAsia"/>
                <w:color w:val="auto"/>
                <w:sz w:val="24"/>
                <w:szCs w:val="24"/>
                <w:lang w:val="en-US" w:eastAsia="zh-CN"/>
              </w:rPr>
              <w:t>8.953</w:t>
            </w:r>
            <w:r>
              <w:rPr>
                <w:rFonts w:hint="eastAsia"/>
                <w:color w:val="auto"/>
                <w:sz w:val="24"/>
                <w:szCs w:val="24"/>
              </w:rPr>
              <w:t>t/d，</w:t>
            </w:r>
            <w:r>
              <w:rPr>
                <w:rFonts w:hint="eastAsia"/>
                <w:color w:val="auto"/>
                <w:sz w:val="24"/>
                <w:szCs w:val="24"/>
                <w:lang w:val="en-US" w:eastAsia="zh-CN"/>
              </w:rPr>
              <w:t>3268</w:t>
            </w:r>
            <w:r>
              <w:rPr>
                <w:rFonts w:hint="eastAsia"/>
                <w:color w:val="auto"/>
                <w:sz w:val="24"/>
                <w:szCs w:val="24"/>
              </w:rPr>
              <w:t>t/a。污水产生量按用水量的80%计算，则生活污水产生量为</w:t>
            </w:r>
            <w:r>
              <w:rPr>
                <w:rFonts w:hint="eastAsia"/>
                <w:color w:val="auto"/>
                <w:sz w:val="24"/>
                <w:szCs w:val="24"/>
                <w:lang w:val="en-US" w:eastAsia="zh-CN"/>
              </w:rPr>
              <w:t>7.163</w:t>
            </w:r>
            <w:r>
              <w:rPr>
                <w:rFonts w:hint="eastAsia"/>
                <w:color w:val="auto"/>
                <w:sz w:val="24"/>
                <w:szCs w:val="24"/>
              </w:rPr>
              <w:t>t/d（</w:t>
            </w:r>
            <w:r>
              <w:rPr>
                <w:rFonts w:hint="eastAsia"/>
                <w:color w:val="auto"/>
                <w:sz w:val="24"/>
                <w:szCs w:val="24"/>
                <w:lang w:val="en-US" w:eastAsia="zh-CN"/>
              </w:rPr>
              <w:t>2614.4</w:t>
            </w:r>
            <w:r>
              <w:rPr>
                <w:rFonts w:hint="eastAsia"/>
                <w:color w:val="auto"/>
                <w:sz w:val="24"/>
                <w:szCs w:val="24"/>
              </w:rPr>
              <w:t>t/a）。</w:t>
            </w:r>
          </w:p>
          <w:p w14:paraId="683E80CB">
            <w:pPr>
              <w:spacing w:line="360" w:lineRule="auto"/>
              <w:ind w:firstLine="480" w:firstLineChars="200"/>
              <w:rPr>
                <w:rFonts w:hint="default"/>
                <w:color w:val="auto"/>
                <w:sz w:val="24"/>
                <w:highlight w:val="none"/>
                <w:lang w:val="en-US" w:eastAsia="zh-CN"/>
              </w:rPr>
            </w:pPr>
            <w:r>
              <w:rPr>
                <w:rFonts w:hint="eastAsia" w:ascii="Times New Roman" w:hAnsi="Times New Roman" w:cs="Times New Roman"/>
                <w:color w:val="auto"/>
                <w:sz w:val="24"/>
                <w:lang w:eastAsia="zh-CN"/>
              </w:rPr>
              <w:t>（</w:t>
            </w:r>
            <w:r>
              <w:rPr>
                <w:rFonts w:hint="eastAsia" w:ascii="Times New Roman" w:hAnsi="Times New Roman" w:cs="Times New Roman"/>
                <w:color w:val="auto"/>
                <w:sz w:val="24"/>
                <w:lang w:val="en-US" w:eastAsia="zh-CN"/>
              </w:rPr>
              <w:t>2</w:t>
            </w:r>
            <w:r>
              <w:rPr>
                <w:rFonts w:hint="eastAsia" w:ascii="Times New Roman" w:hAnsi="Times New Roman" w:cs="Times New Roman"/>
                <w:color w:val="auto"/>
                <w:sz w:val="24"/>
                <w:lang w:eastAsia="zh-CN"/>
              </w:rPr>
              <w:t>）</w:t>
            </w:r>
            <w:r>
              <w:rPr>
                <w:rFonts w:hint="eastAsia" w:ascii="宋体" w:hAnsi="宋体" w:eastAsia="宋体" w:cs="宋体"/>
                <w:color w:val="auto"/>
                <w:sz w:val="24"/>
                <w:lang w:val="en-US" w:eastAsia="zh-CN"/>
              </w:rPr>
              <w:t>门诊用水</w:t>
            </w:r>
          </w:p>
          <w:p w14:paraId="458AAA13">
            <w:pPr>
              <w:keepNext w:val="0"/>
              <w:keepLines w:val="0"/>
              <w:widowControl/>
              <w:suppressLineNumbers w:val="0"/>
              <w:spacing w:line="360" w:lineRule="auto"/>
              <w:ind w:firstLine="480" w:firstLineChars="200"/>
              <w:jc w:val="left"/>
              <w:rPr>
                <w:rFonts w:hint="default" w:ascii="Times New Roman" w:hAnsi="Times New Roman" w:cs="Times New Roman"/>
                <w:color w:val="auto"/>
                <w:sz w:val="24"/>
                <w:lang w:eastAsia="zh-CN"/>
              </w:rPr>
            </w:pPr>
            <w:r>
              <w:rPr>
                <w:rFonts w:ascii="Times New Roman" w:hAnsi="Times New Roman" w:eastAsia="Segoe UI" w:cs="Times New Roman"/>
                <w:i w:val="0"/>
                <w:iCs w:val="0"/>
                <w:caps w:val="0"/>
                <w:color w:val="0F1115"/>
                <w:spacing w:val="0"/>
                <w:sz w:val="24"/>
                <w:szCs w:val="24"/>
                <w:shd w:val="clear" w:color="auto" w:fill="FFFFFF"/>
              </w:rPr>
              <w:t>项目门诊预计接待 150 人次/d，其中口腔科 50 人次/d，普通门诊 100 人次/d。</w:t>
            </w:r>
          </w:p>
          <w:p w14:paraId="6DAE2142">
            <w:pPr>
              <w:keepNext w:val="0"/>
              <w:keepLines w:val="0"/>
              <w:widowControl/>
              <w:suppressLineNumbers w:val="0"/>
              <w:spacing w:line="360" w:lineRule="auto"/>
              <w:ind w:firstLine="480" w:firstLineChars="200"/>
              <w:jc w:val="left"/>
              <w:rPr>
                <w:rFonts w:hint="eastAsia" w:ascii="Times New Roman" w:hAnsi="Times New Roman" w:eastAsia="宋体" w:cs="Times New Roman"/>
                <w:i w:val="0"/>
                <w:iCs w:val="0"/>
                <w:caps w:val="0"/>
                <w:color w:val="0F1115"/>
                <w:spacing w:val="0"/>
                <w:sz w:val="24"/>
                <w:szCs w:val="24"/>
                <w:shd w:val="clear" w:color="auto" w:fill="FFFFFF"/>
              </w:rPr>
            </w:pPr>
            <w:r>
              <w:rPr>
                <w:rFonts w:hint="default" w:ascii="Times New Roman" w:hAnsi="Times New Roman" w:cs="Times New Roman"/>
                <w:color w:val="auto"/>
                <w:sz w:val="24"/>
                <w:lang w:eastAsia="zh-CN"/>
              </w:rPr>
              <w:t>①</w:t>
            </w:r>
            <w:r>
              <w:rPr>
                <w:rFonts w:hint="default" w:ascii="Times New Roman" w:hAnsi="Times New Roman" w:cs="Times New Roman"/>
                <w:color w:val="auto"/>
                <w:sz w:val="24"/>
                <w:lang w:val="en-US" w:eastAsia="zh-CN"/>
              </w:rPr>
              <w:t>普通门诊用水：</w:t>
            </w:r>
            <w:r>
              <w:rPr>
                <w:rFonts w:ascii="Times New Roman" w:hAnsi="Times New Roman" w:eastAsia="Segoe UI" w:cs="Times New Roman"/>
                <w:i w:val="0"/>
                <w:iCs w:val="0"/>
                <w:caps w:val="0"/>
                <w:color w:val="0F1115"/>
                <w:spacing w:val="0"/>
                <w:sz w:val="24"/>
                <w:szCs w:val="24"/>
                <w:shd w:val="clear" w:color="auto" w:fill="FFFFFF"/>
              </w:rPr>
              <w:t>根据《综合医院建筑设计规范》（GB51039-2014），门诊病人用水定额为10~15 L/人·次，本项目取 10 L/人·次。</w:t>
            </w:r>
            <w:r>
              <w:rPr>
                <w:rFonts w:hint="eastAsia" w:ascii="Times New Roman" w:hAnsi="Times New Roman" w:eastAsia="宋体" w:cs="Times New Roman"/>
                <w:i w:val="0"/>
                <w:iCs w:val="0"/>
                <w:caps w:val="0"/>
                <w:color w:val="0F1115"/>
                <w:spacing w:val="0"/>
                <w:sz w:val="24"/>
                <w:szCs w:val="24"/>
                <w:shd w:val="clear" w:color="auto" w:fill="FFFFFF"/>
                <w:lang w:val="en-US" w:eastAsia="zh-CN"/>
              </w:rPr>
              <w:t>则用水量为1t/d（365t/a）。废水产生系数按0.8计，则废水产生量为0.8t/d，292t/a。</w:t>
            </w:r>
          </w:p>
          <w:p w14:paraId="77743C57">
            <w:pPr>
              <w:keepNext w:val="0"/>
              <w:keepLines w:val="0"/>
              <w:widowControl/>
              <w:suppressLineNumbers w:val="0"/>
              <w:spacing w:line="360" w:lineRule="auto"/>
              <w:ind w:firstLine="480" w:firstLineChars="200"/>
              <w:jc w:val="left"/>
              <w:rPr>
                <w:rFonts w:hint="eastAsia"/>
                <w:color w:val="auto"/>
                <w:sz w:val="24"/>
                <w:lang w:eastAsia="zh-CN"/>
              </w:rPr>
            </w:pPr>
            <w:r>
              <w:rPr>
                <w:rFonts w:hint="default" w:ascii="Times New Roman" w:hAnsi="Times New Roman" w:cs="Times New Roman"/>
                <w:color w:val="auto"/>
                <w:sz w:val="24"/>
                <w:lang w:eastAsia="zh-CN"/>
              </w:rPr>
              <w:t>②</w:t>
            </w:r>
            <w:r>
              <w:rPr>
                <w:rFonts w:hint="default" w:ascii="Times New Roman" w:hAnsi="Times New Roman" w:cs="Times New Roman"/>
                <w:color w:val="auto"/>
                <w:sz w:val="24"/>
                <w:lang w:val="en-US" w:eastAsia="zh-CN"/>
              </w:rPr>
              <w:t>口</w:t>
            </w:r>
            <w:r>
              <w:rPr>
                <w:rFonts w:hint="eastAsia" w:ascii="Times New Roman" w:hAnsi="Times New Roman" w:cs="Times New Roman"/>
                <w:color w:val="auto"/>
                <w:sz w:val="24"/>
                <w:lang w:val="en-US" w:eastAsia="zh-CN"/>
              </w:rPr>
              <w:t>腔科</w:t>
            </w:r>
            <w:r>
              <w:rPr>
                <w:rFonts w:hint="default" w:ascii="Times New Roman" w:hAnsi="Times New Roman" w:cs="Times New Roman"/>
                <w:color w:val="auto"/>
                <w:sz w:val="24"/>
                <w:lang w:val="en-US" w:eastAsia="zh-CN"/>
              </w:rPr>
              <w:t>用水：设置牙椅 1 台，用水定额按 40 L/d·牙椅计，则用水量为 0.04 t/d（14.6 t/a）。废水产生系数按 0.8 计，废水产生量 0.032 t/d（11.68 t/a）。</w:t>
            </w:r>
            <w:r>
              <w:rPr>
                <w:rFonts w:hint="eastAsia" w:cs="Times New Roman"/>
                <w:color w:val="auto"/>
                <w:sz w:val="24"/>
                <w:lang w:val="en-US" w:eastAsia="zh-CN"/>
              </w:rPr>
              <w:t xml:space="preserve">  </w:t>
            </w:r>
            <w:r>
              <w:rPr>
                <w:rFonts w:hint="eastAsia" w:ascii="Times New Roman" w:hAnsi="Times New Roman" w:eastAsia="宋体" w:cs="Times New Roman"/>
                <w:color w:val="auto"/>
                <w:sz w:val="24"/>
                <w:lang w:eastAsia="zh-CN"/>
              </w:rPr>
              <w:t>（</w:t>
            </w:r>
            <w:r>
              <w:rPr>
                <w:rFonts w:hint="eastAsia" w:ascii="Times New Roman" w:hAnsi="Times New Roman" w:eastAsia="宋体" w:cs="Times New Roman"/>
                <w:color w:val="auto"/>
                <w:sz w:val="24"/>
                <w:lang w:val="en-US" w:eastAsia="zh-CN"/>
              </w:rPr>
              <w:t>3</w:t>
            </w:r>
            <w:r>
              <w:rPr>
                <w:rFonts w:hint="eastAsia" w:ascii="Times New Roman" w:hAnsi="Times New Roman" w:eastAsia="宋体" w:cs="Times New Roman"/>
                <w:color w:val="auto"/>
                <w:sz w:val="24"/>
                <w:lang w:eastAsia="zh-CN"/>
              </w:rPr>
              <w:t>）</w:t>
            </w:r>
            <w:r>
              <w:rPr>
                <w:rFonts w:hint="eastAsia"/>
                <w:color w:val="auto"/>
                <w:sz w:val="24"/>
                <w:lang w:eastAsia="zh-CN"/>
              </w:rPr>
              <w:t>病房用水</w:t>
            </w:r>
          </w:p>
          <w:p w14:paraId="387E0922">
            <w:pPr>
              <w:spacing w:line="360" w:lineRule="auto"/>
              <w:ind w:firstLine="480" w:firstLineChars="200"/>
              <w:rPr>
                <w:rFonts w:hint="eastAsia" w:ascii="Times New Roman" w:hAnsi="Times New Roman"/>
                <w:b w:val="0"/>
                <w:bCs/>
                <w:color w:val="auto"/>
                <w:sz w:val="24"/>
                <w:szCs w:val="24"/>
                <w:highlight w:val="none"/>
                <w:lang w:eastAsia="zh-CN"/>
              </w:rPr>
            </w:pPr>
            <w:r>
              <w:rPr>
                <w:rFonts w:hint="eastAsia" w:ascii="Times New Roman" w:hAnsi="Times New Roman"/>
                <w:b w:val="0"/>
                <w:bCs/>
                <w:color w:val="auto"/>
                <w:sz w:val="24"/>
                <w:szCs w:val="24"/>
                <w:highlight w:val="none"/>
              </w:rPr>
              <w:t>项目设</w:t>
            </w:r>
            <w:r>
              <w:rPr>
                <w:rFonts w:hint="eastAsia" w:ascii="Times New Roman" w:hAnsi="Times New Roman"/>
                <w:b w:val="0"/>
                <w:bCs/>
                <w:color w:val="auto"/>
                <w:sz w:val="24"/>
                <w:szCs w:val="24"/>
                <w:highlight w:val="none"/>
                <w:lang w:val="en-US" w:eastAsia="zh-CN"/>
              </w:rPr>
              <w:t>2</w:t>
            </w:r>
            <w:r>
              <w:rPr>
                <w:rFonts w:hint="eastAsia"/>
                <w:b w:val="0"/>
                <w:bCs/>
                <w:color w:val="auto"/>
                <w:sz w:val="24"/>
                <w:szCs w:val="24"/>
                <w:highlight w:val="none"/>
                <w:lang w:val="en-US" w:eastAsia="zh-CN"/>
              </w:rPr>
              <w:t>20</w:t>
            </w:r>
            <w:r>
              <w:rPr>
                <w:rFonts w:hint="eastAsia" w:ascii="Times New Roman" w:hAnsi="Times New Roman"/>
                <w:b w:val="0"/>
                <w:bCs/>
                <w:color w:val="auto"/>
                <w:sz w:val="24"/>
                <w:szCs w:val="24"/>
                <w:highlight w:val="none"/>
              </w:rPr>
              <w:t>张普通病房床位，不设置感染病房床位。根据《综合医院建筑设计规范》（GB51039-2014），病床用水量为250L/（床·d）~400 L/（床·d），</w:t>
            </w:r>
            <w:r>
              <w:rPr>
                <w:rFonts w:hint="eastAsia"/>
                <w:color w:val="auto"/>
                <w:sz w:val="24"/>
                <w:highlight w:val="none"/>
                <w:lang w:val="en-US" w:eastAsia="zh-CN"/>
              </w:rPr>
              <w:t>按照医院实际运行经验，</w:t>
            </w:r>
            <w:r>
              <w:rPr>
                <w:rFonts w:hint="eastAsia" w:ascii="Times New Roman" w:hAnsi="Times New Roman"/>
                <w:b w:val="0"/>
                <w:bCs/>
                <w:color w:val="auto"/>
                <w:sz w:val="24"/>
                <w:szCs w:val="24"/>
                <w:highlight w:val="none"/>
              </w:rPr>
              <w:t>本次环评取值</w:t>
            </w:r>
            <w:r>
              <w:rPr>
                <w:rFonts w:hint="eastAsia" w:ascii="Times New Roman" w:hAnsi="Times New Roman"/>
                <w:b w:val="0"/>
                <w:bCs/>
                <w:color w:val="auto"/>
                <w:sz w:val="24"/>
                <w:szCs w:val="24"/>
                <w:highlight w:val="none"/>
                <w:lang w:val="en-US" w:eastAsia="zh-CN"/>
              </w:rPr>
              <w:t>250</w:t>
            </w:r>
            <w:r>
              <w:rPr>
                <w:rFonts w:hint="eastAsia" w:ascii="Times New Roman" w:hAnsi="Times New Roman"/>
                <w:b w:val="0"/>
                <w:bCs/>
                <w:color w:val="auto"/>
                <w:sz w:val="24"/>
                <w:szCs w:val="24"/>
                <w:highlight w:val="none"/>
              </w:rPr>
              <w:t>L/（床·d）计算，则项目病房用水量为</w:t>
            </w:r>
            <w:r>
              <w:rPr>
                <w:rFonts w:hint="eastAsia" w:ascii="Times New Roman" w:hAnsi="Times New Roman"/>
                <w:b w:val="0"/>
                <w:bCs/>
                <w:color w:val="auto"/>
                <w:sz w:val="24"/>
                <w:szCs w:val="24"/>
                <w:highlight w:val="none"/>
                <w:lang w:val="en-US" w:eastAsia="zh-CN"/>
              </w:rPr>
              <w:t>5</w:t>
            </w:r>
            <w:r>
              <w:rPr>
                <w:rFonts w:hint="eastAsia"/>
                <w:b w:val="0"/>
                <w:bCs/>
                <w:color w:val="auto"/>
                <w:sz w:val="24"/>
                <w:szCs w:val="24"/>
                <w:highlight w:val="none"/>
                <w:lang w:val="en-US" w:eastAsia="zh-CN"/>
              </w:rPr>
              <w:t>5</w:t>
            </w:r>
            <w:r>
              <w:rPr>
                <w:rFonts w:hint="eastAsia" w:ascii="Times New Roman" w:hAnsi="Times New Roman"/>
                <w:b w:val="0"/>
                <w:bCs/>
                <w:color w:val="auto"/>
                <w:sz w:val="24"/>
                <w:szCs w:val="24"/>
                <w:highlight w:val="none"/>
                <w:lang w:eastAsia="zh-CN"/>
              </w:rPr>
              <w:t>t</w:t>
            </w:r>
            <w:r>
              <w:rPr>
                <w:rFonts w:hint="eastAsia" w:ascii="Times New Roman" w:hAnsi="Times New Roman"/>
                <w:b w:val="0"/>
                <w:bCs/>
                <w:color w:val="auto"/>
                <w:sz w:val="24"/>
                <w:szCs w:val="24"/>
                <w:highlight w:val="none"/>
              </w:rPr>
              <w:t>/d</w:t>
            </w:r>
            <w:r>
              <w:rPr>
                <w:rFonts w:hint="eastAsia" w:ascii="Times New Roman" w:hAnsi="Times New Roman"/>
                <w:b w:val="0"/>
                <w:bCs/>
                <w:color w:val="auto"/>
                <w:sz w:val="24"/>
                <w:szCs w:val="24"/>
                <w:highlight w:val="none"/>
                <w:lang w:eastAsia="zh-CN"/>
              </w:rPr>
              <w:t>，</w:t>
            </w:r>
            <w:r>
              <w:rPr>
                <w:rFonts w:hint="eastAsia"/>
                <w:b w:val="0"/>
                <w:bCs/>
                <w:color w:val="auto"/>
                <w:sz w:val="24"/>
                <w:szCs w:val="24"/>
                <w:highlight w:val="none"/>
                <w:lang w:val="en-US" w:eastAsia="zh-CN"/>
              </w:rPr>
              <w:t>20075</w:t>
            </w:r>
            <w:r>
              <w:rPr>
                <w:rFonts w:hint="eastAsia" w:ascii="Times New Roman" w:hAnsi="Times New Roman"/>
                <w:b w:val="0"/>
                <w:bCs/>
                <w:color w:val="auto"/>
                <w:sz w:val="24"/>
                <w:szCs w:val="24"/>
                <w:highlight w:val="none"/>
                <w:lang w:eastAsia="zh-CN"/>
              </w:rPr>
              <w:t>t</w:t>
            </w:r>
            <w:r>
              <w:rPr>
                <w:rFonts w:hint="eastAsia" w:ascii="Times New Roman" w:hAnsi="Times New Roman"/>
                <w:b w:val="0"/>
                <w:bCs/>
                <w:color w:val="auto"/>
                <w:sz w:val="24"/>
                <w:szCs w:val="24"/>
                <w:highlight w:val="none"/>
              </w:rPr>
              <w:t>/a</w:t>
            </w:r>
            <w:r>
              <w:rPr>
                <w:rFonts w:hint="eastAsia" w:ascii="Times New Roman" w:hAnsi="Times New Roman"/>
                <w:b w:val="0"/>
                <w:bCs/>
                <w:color w:val="auto"/>
                <w:sz w:val="24"/>
                <w:szCs w:val="24"/>
                <w:highlight w:val="none"/>
                <w:lang w:eastAsia="zh-CN"/>
              </w:rPr>
              <w:t>。</w:t>
            </w:r>
          </w:p>
          <w:p w14:paraId="5635BA20">
            <w:pPr>
              <w:spacing w:line="360" w:lineRule="auto"/>
              <w:ind w:firstLine="480" w:firstLineChars="200"/>
              <w:rPr>
                <w:rFonts w:hint="eastAsia" w:ascii="Times New Roman" w:hAnsi="Times New Roman"/>
                <w:b w:val="0"/>
                <w:bCs/>
                <w:color w:val="auto"/>
                <w:sz w:val="24"/>
                <w:szCs w:val="24"/>
                <w:highlight w:val="none"/>
                <w:lang w:val="en-US" w:eastAsia="zh-CN"/>
              </w:rPr>
            </w:pPr>
            <w:r>
              <w:rPr>
                <w:rFonts w:hint="eastAsia" w:ascii="Times New Roman" w:hAnsi="Times New Roman"/>
                <w:b w:val="0"/>
                <w:bCs/>
                <w:color w:val="auto"/>
                <w:sz w:val="24"/>
                <w:szCs w:val="24"/>
                <w:highlight w:val="none"/>
                <w:lang w:eastAsia="zh-CN"/>
              </w:rPr>
              <w:t>废水产生系数按0.8计，则病房废水产生量为</w:t>
            </w:r>
            <w:r>
              <w:rPr>
                <w:rFonts w:hint="eastAsia" w:ascii="Times New Roman" w:hAnsi="Times New Roman"/>
                <w:b w:val="0"/>
                <w:bCs/>
                <w:color w:val="auto"/>
                <w:sz w:val="24"/>
                <w:szCs w:val="24"/>
                <w:highlight w:val="none"/>
                <w:lang w:val="en-US" w:eastAsia="zh-CN"/>
              </w:rPr>
              <w:t>4</w:t>
            </w:r>
            <w:r>
              <w:rPr>
                <w:rFonts w:hint="eastAsia"/>
                <w:b w:val="0"/>
                <w:bCs/>
                <w:color w:val="auto"/>
                <w:sz w:val="24"/>
                <w:szCs w:val="24"/>
                <w:highlight w:val="none"/>
                <w:lang w:val="en-US" w:eastAsia="zh-CN"/>
              </w:rPr>
              <w:t>4</w:t>
            </w:r>
            <w:r>
              <w:rPr>
                <w:rFonts w:hint="eastAsia" w:ascii="Times New Roman" w:hAnsi="Times New Roman"/>
                <w:b w:val="0"/>
                <w:bCs/>
                <w:color w:val="auto"/>
                <w:sz w:val="24"/>
                <w:szCs w:val="24"/>
                <w:highlight w:val="none"/>
                <w:lang w:val="en-US" w:eastAsia="zh-CN"/>
              </w:rPr>
              <w:t>t/d，</w:t>
            </w:r>
            <w:r>
              <w:rPr>
                <w:rFonts w:hint="eastAsia"/>
                <w:b w:val="0"/>
                <w:bCs/>
                <w:color w:val="auto"/>
                <w:sz w:val="24"/>
                <w:szCs w:val="24"/>
                <w:highlight w:val="none"/>
                <w:lang w:val="en-US" w:eastAsia="zh-CN"/>
              </w:rPr>
              <w:t>16060</w:t>
            </w:r>
            <w:r>
              <w:rPr>
                <w:rFonts w:hint="eastAsia" w:ascii="Times New Roman" w:hAnsi="Times New Roman"/>
                <w:b w:val="0"/>
                <w:bCs/>
                <w:color w:val="auto"/>
                <w:sz w:val="24"/>
                <w:szCs w:val="24"/>
                <w:highlight w:val="none"/>
                <w:lang w:val="en-US" w:eastAsia="zh-CN"/>
              </w:rPr>
              <w:t>t/</w:t>
            </w:r>
            <w:r>
              <w:rPr>
                <w:rFonts w:hint="eastAsia"/>
                <w:b w:val="0"/>
                <w:bCs/>
                <w:color w:val="auto"/>
                <w:sz w:val="24"/>
                <w:szCs w:val="24"/>
                <w:highlight w:val="none"/>
                <w:lang w:val="en-US" w:eastAsia="zh-CN"/>
              </w:rPr>
              <w:t>a</w:t>
            </w:r>
            <w:r>
              <w:rPr>
                <w:rFonts w:hint="eastAsia" w:ascii="Times New Roman" w:hAnsi="Times New Roman"/>
                <w:b w:val="0"/>
                <w:bCs/>
                <w:color w:val="auto"/>
                <w:sz w:val="24"/>
                <w:szCs w:val="24"/>
                <w:highlight w:val="none"/>
                <w:lang w:val="en-US" w:eastAsia="zh-CN"/>
              </w:rPr>
              <w:t>。</w:t>
            </w:r>
          </w:p>
          <w:p w14:paraId="18D61E89">
            <w:pPr>
              <w:spacing w:line="360" w:lineRule="auto"/>
              <w:ind w:firstLine="480" w:firstLineChars="200"/>
              <w:rPr>
                <w:rFonts w:hint="eastAsia" w:ascii="Times New Roman" w:hAnsi="Times New Roman" w:eastAsia="宋体"/>
                <w:b w:val="0"/>
                <w:bCs/>
                <w:color w:val="auto"/>
                <w:sz w:val="24"/>
                <w:szCs w:val="24"/>
                <w:lang w:eastAsia="zh-CN"/>
              </w:rPr>
            </w:pPr>
            <w:r>
              <w:rPr>
                <w:rFonts w:hint="eastAsia" w:ascii="宋体" w:hAnsi="宋体" w:eastAsia="宋体" w:cs="宋体"/>
                <w:b w:val="0"/>
                <w:bCs/>
                <w:color w:val="auto"/>
                <w:sz w:val="24"/>
                <w:szCs w:val="24"/>
                <w:lang w:eastAsia="zh-CN"/>
              </w:rPr>
              <w:t>（</w:t>
            </w:r>
            <w:r>
              <w:rPr>
                <w:rFonts w:hint="eastAsia" w:ascii="宋体" w:hAnsi="宋体" w:eastAsia="宋体" w:cs="宋体"/>
                <w:b w:val="0"/>
                <w:bCs/>
                <w:color w:val="auto"/>
                <w:sz w:val="24"/>
                <w:szCs w:val="24"/>
                <w:lang w:val="en-US" w:eastAsia="zh-CN"/>
              </w:rPr>
              <w:t>4</w:t>
            </w:r>
            <w:r>
              <w:rPr>
                <w:rFonts w:hint="eastAsia" w:ascii="宋体" w:hAnsi="宋体" w:eastAsia="宋体" w:cs="宋体"/>
                <w:b w:val="0"/>
                <w:bCs/>
                <w:color w:val="auto"/>
                <w:sz w:val="24"/>
                <w:szCs w:val="24"/>
                <w:lang w:eastAsia="zh-CN"/>
              </w:rPr>
              <w:t>）</w:t>
            </w:r>
            <w:r>
              <w:rPr>
                <w:rFonts w:hint="eastAsia" w:ascii="Times New Roman" w:hAnsi="Times New Roman" w:eastAsia="宋体"/>
                <w:b w:val="0"/>
                <w:bCs/>
                <w:color w:val="auto"/>
                <w:sz w:val="24"/>
                <w:szCs w:val="24"/>
                <w:lang w:eastAsia="zh-CN"/>
              </w:rPr>
              <w:t>检验用水</w:t>
            </w:r>
          </w:p>
          <w:p w14:paraId="4ABED7B2">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textAlignment w:val="auto"/>
              <w:rPr>
                <w:rFonts w:hint="default" w:ascii="Times New Roman" w:hAnsi="Times New Roman" w:eastAsia="Segoe UI" w:cs="Times New Roman"/>
                <w:i w:val="0"/>
                <w:iCs w:val="0"/>
                <w:caps w:val="0"/>
                <w:color w:val="0F1115"/>
                <w:spacing w:val="0"/>
                <w:sz w:val="24"/>
                <w:szCs w:val="24"/>
                <w:shd w:val="clear" w:color="auto" w:fill="FFFFFF"/>
              </w:rPr>
            </w:pPr>
            <w:r>
              <w:rPr>
                <w:rFonts w:hint="default" w:ascii="Times New Roman" w:hAnsi="Times New Roman" w:cs="Times New Roman"/>
                <w:color w:val="auto"/>
                <w:sz w:val="24"/>
                <w:highlight w:val="none"/>
                <w:lang w:val="en-US" w:eastAsia="zh-CN"/>
              </w:rPr>
              <w:t>项目检验室主要从事血常规、尿常规等常规分析，使用外购的成品检测试剂进行检验，不采用手工配置含氰、铬、酸试剂的方法化验，检验室采集的样本直接进入仪器进行分析，试剂滴在器皿上处理样本，最后作为检验废液纳入医疗废物，交由资质单位处置。</w:t>
            </w:r>
            <w:r>
              <w:rPr>
                <w:rFonts w:ascii="Times New Roman" w:hAnsi="Times New Roman" w:eastAsia="Segoe UI" w:cs="Times New Roman"/>
                <w:i w:val="0"/>
                <w:iCs w:val="0"/>
                <w:caps w:val="0"/>
                <w:color w:val="0F1115"/>
                <w:spacing w:val="0"/>
                <w:sz w:val="24"/>
                <w:szCs w:val="24"/>
                <w:shd w:val="clear" w:color="auto" w:fill="FFFFFF"/>
              </w:rPr>
              <w:t>检验科血常规分析仪使用成品清洗液进行仪器内部自动清洗，清洗废液由仪器废液收集系统集中收集</w:t>
            </w:r>
            <w:r>
              <w:rPr>
                <w:rFonts w:hint="default" w:ascii="Times New Roman" w:hAnsi="Times New Roman" w:eastAsia="宋体" w:cs="Times New Roman"/>
                <w:i w:val="0"/>
                <w:iCs w:val="0"/>
                <w:caps w:val="0"/>
                <w:color w:val="0F1115"/>
                <w:spacing w:val="0"/>
                <w:sz w:val="24"/>
                <w:szCs w:val="24"/>
                <w:shd w:val="clear" w:color="auto" w:fill="FFFFFF"/>
                <w:lang w:eastAsia="zh-CN"/>
              </w:rPr>
              <w:t>，</w:t>
            </w:r>
            <w:r>
              <w:rPr>
                <w:rFonts w:hint="default" w:ascii="Times New Roman" w:hAnsi="Times New Roman" w:eastAsia="Segoe UI" w:cs="Times New Roman"/>
                <w:i w:val="0"/>
                <w:iCs w:val="0"/>
                <w:caps w:val="0"/>
                <w:color w:val="0F1115"/>
                <w:spacing w:val="0"/>
                <w:sz w:val="24"/>
                <w:szCs w:val="24"/>
                <w:shd w:val="clear" w:color="auto" w:fill="FFFFFF"/>
              </w:rPr>
              <w:t>最终作为医疗废物（HW01）委托有资质单位处置。</w:t>
            </w:r>
          </w:p>
          <w:p w14:paraId="2D6B770F">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textAlignment w:val="auto"/>
              <w:rPr>
                <w:rFonts w:hint="default" w:ascii="Times New Roman" w:hAnsi="Times New Roman" w:cs="Times New Roman"/>
                <w:color w:val="auto"/>
                <w:sz w:val="24"/>
                <w:highlight w:val="none"/>
                <w:lang w:eastAsia="zh-CN"/>
              </w:rPr>
            </w:pPr>
            <w:r>
              <w:rPr>
                <w:rFonts w:hint="default" w:ascii="Times New Roman" w:hAnsi="Times New Roman" w:cs="Times New Roman"/>
                <w:color w:val="auto"/>
                <w:sz w:val="24"/>
                <w:highlight w:val="none"/>
                <w:lang w:val="en-US" w:eastAsia="zh-CN"/>
              </w:rPr>
              <w:t>检验室只</w:t>
            </w:r>
            <w:r>
              <w:rPr>
                <w:rFonts w:hint="eastAsia" w:cs="Times New Roman"/>
                <w:color w:val="auto"/>
                <w:sz w:val="24"/>
                <w:highlight w:val="none"/>
                <w:lang w:val="en-US" w:eastAsia="zh-CN"/>
              </w:rPr>
              <w:t>涉及</w:t>
            </w:r>
            <w:r>
              <w:rPr>
                <w:rFonts w:hint="default" w:ascii="Times New Roman" w:hAnsi="Times New Roman" w:cs="Times New Roman"/>
                <w:color w:val="auto"/>
                <w:sz w:val="24"/>
                <w:highlight w:val="none"/>
                <w:lang w:val="en-US" w:eastAsia="zh-CN"/>
              </w:rPr>
              <w:t>清洗用水（采样和样本检测使用的仪器、器皿的洗涤用水，</w:t>
            </w:r>
            <w:r>
              <w:rPr>
                <w:rFonts w:ascii="Times New Roman" w:hAnsi="Times New Roman" w:eastAsia="Segoe UI" w:cs="Times New Roman"/>
                <w:i w:val="0"/>
                <w:iCs w:val="0"/>
                <w:caps w:val="0"/>
                <w:color w:val="0F1115"/>
                <w:spacing w:val="0"/>
                <w:sz w:val="24"/>
                <w:szCs w:val="24"/>
                <w:shd w:val="clear" w:color="auto" w:fill="FFFFFF"/>
              </w:rPr>
              <w:t>不包括仪器内部自动清洗用水</w:t>
            </w:r>
            <w:r>
              <w:rPr>
                <w:rFonts w:hint="default" w:ascii="Times New Roman" w:hAnsi="Times New Roman" w:cs="Times New Roman"/>
                <w:color w:val="auto"/>
                <w:sz w:val="24"/>
                <w:highlight w:val="none"/>
                <w:lang w:val="en-US" w:eastAsia="zh-CN"/>
              </w:rPr>
              <w:t>），根据建设单位提供资料，用水量为</w:t>
            </w:r>
            <w:r>
              <w:rPr>
                <w:rFonts w:hint="eastAsia" w:ascii="Times New Roman" w:hAnsi="Times New Roman" w:cs="Times New Roman"/>
                <w:color w:val="auto"/>
                <w:sz w:val="24"/>
                <w:highlight w:val="none"/>
                <w:lang w:val="en-US" w:eastAsia="zh-CN"/>
              </w:rPr>
              <w:t>1</w:t>
            </w:r>
            <w:r>
              <w:rPr>
                <w:rFonts w:hint="default" w:ascii="Times New Roman" w:hAnsi="Times New Roman" w:cs="Times New Roman"/>
                <w:color w:val="auto"/>
                <w:sz w:val="24"/>
                <w:highlight w:val="none"/>
                <w:lang w:val="en-US" w:eastAsia="zh-CN"/>
              </w:rPr>
              <w:t>t</w:t>
            </w:r>
            <w:r>
              <w:rPr>
                <w:rFonts w:hint="default" w:ascii="Times New Roman" w:hAnsi="Times New Roman" w:cs="Times New Roman"/>
                <w:color w:val="auto"/>
                <w:sz w:val="24"/>
                <w:highlight w:val="none"/>
              </w:rPr>
              <w:t>/d</w:t>
            </w:r>
            <w:r>
              <w:rPr>
                <w:rFonts w:hint="default" w:ascii="Times New Roman" w:hAnsi="Times New Roman" w:cs="Times New Roman"/>
                <w:color w:val="auto"/>
                <w:sz w:val="24"/>
                <w:highlight w:val="none"/>
                <w:lang w:eastAsia="zh-CN"/>
              </w:rPr>
              <w:t>。</w:t>
            </w:r>
          </w:p>
          <w:p w14:paraId="1F2D4859">
            <w:pPr>
              <w:spacing w:line="360" w:lineRule="auto"/>
              <w:ind w:firstLine="480" w:firstLineChars="200"/>
              <w:rPr>
                <w:rFonts w:hint="default" w:ascii="Times New Roman" w:hAnsi="Times New Roman" w:eastAsia="宋体"/>
                <w:b w:val="0"/>
                <w:bCs/>
                <w:color w:val="auto"/>
                <w:sz w:val="24"/>
                <w:szCs w:val="24"/>
                <w:highlight w:val="none"/>
                <w:lang w:val="en-US" w:eastAsia="zh-CN"/>
              </w:rPr>
            </w:pPr>
            <w:r>
              <w:rPr>
                <w:rFonts w:hint="default" w:ascii="Times New Roman" w:hAnsi="Times New Roman" w:eastAsia="宋体" w:cs="Times New Roman"/>
                <w:b w:val="0"/>
                <w:bCs/>
                <w:color w:val="auto"/>
                <w:sz w:val="24"/>
                <w:szCs w:val="24"/>
                <w:lang w:eastAsia="zh-CN"/>
              </w:rPr>
              <w:t>废水产生系数按照</w:t>
            </w:r>
            <w:r>
              <w:rPr>
                <w:rFonts w:hint="default" w:ascii="Times New Roman" w:hAnsi="Times New Roman" w:eastAsia="宋体" w:cs="Times New Roman"/>
                <w:b w:val="0"/>
                <w:bCs/>
                <w:color w:val="auto"/>
                <w:sz w:val="24"/>
                <w:szCs w:val="24"/>
                <w:lang w:val="en-US" w:eastAsia="zh-CN"/>
              </w:rPr>
              <w:t>0.8计，则检验废水产</w:t>
            </w:r>
            <w:r>
              <w:rPr>
                <w:rFonts w:hint="eastAsia" w:ascii="Times New Roman" w:hAnsi="Times New Roman" w:eastAsia="宋体"/>
                <w:b w:val="0"/>
                <w:bCs/>
                <w:color w:val="auto"/>
                <w:sz w:val="24"/>
                <w:szCs w:val="24"/>
                <w:lang w:val="en-US" w:eastAsia="zh-CN"/>
              </w:rPr>
              <w:t>生量为0.8t/d，292t/a</w:t>
            </w:r>
            <w:r>
              <w:rPr>
                <w:rFonts w:hint="eastAsia"/>
                <w:b w:val="0"/>
                <w:bCs/>
                <w:color w:val="auto"/>
                <w:sz w:val="24"/>
                <w:szCs w:val="24"/>
                <w:lang w:val="en-US" w:eastAsia="zh-CN"/>
              </w:rPr>
              <w:t>。</w:t>
            </w:r>
          </w:p>
          <w:p w14:paraId="3D0D33C1">
            <w:pPr>
              <w:numPr>
                <w:ilvl w:val="0"/>
                <w:numId w:val="5"/>
              </w:numPr>
              <w:spacing w:line="360" w:lineRule="auto"/>
              <w:ind w:firstLine="480" w:firstLineChars="200"/>
              <w:rPr>
                <w:rFonts w:hint="eastAsia" w:ascii="宋体" w:hAnsi="宋体" w:eastAsia="宋体" w:cs="宋体"/>
                <w:b w:val="0"/>
                <w:bCs/>
                <w:color w:val="auto"/>
                <w:sz w:val="24"/>
                <w:szCs w:val="24"/>
                <w:highlight w:val="none"/>
                <w:lang w:val="en-US" w:eastAsia="zh-CN"/>
              </w:rPr>
            </w:pPr>
            <w:r>
              <w:rPr>
                <w:rFonts w:hint="eastAsia" w:ascii="宋体" w:hAnsi="宋体" w:eastAsia="宋体" w:cs="宋体"/>
                <w:b w:val="0"/>
                <w:bCs/>
                <w:color w:val="auto"/>
                <w:sz w:val="24"/>
                <w:szCs w:val="24"/>
                <w:highlight w:val="none"/>
                <w:lang w:val="en-US" w:eastAsia="zh-CN"/>
              </w:rPr>
              <w:t>手术室用水</w:t>
            </w:r>
          </w:p>
          <w:p w14:paraId="454E10C9">
            <w:pPr>
              <w:numPr>
                <w:ilvl w:val="0"/>
                <w:numId w:val="0"/>
              </w:numPr>
              <w:spacing w:line="360" w:lineRule="auto"/>
              <w:ind w:firstLine="480" w:firstLineChars="200"/>
              <w:rPr>
                <w:rFonts w:hint="default" w:ascii="Times New Roman" w:hAnsi="Times New Roman" w:eastAsia="宋体" w:cs="Times New Roman"/>
                <w:b w:val="0"/>
                <w:bCs/>
                <w:color w:val="auto"/>
                <w:sz w:val="24"/>
                <w:szCs w:val="24"/>
                <w:highlight w:val="none"/>
                <w:lang w:val="en-US" w:eastAsia="zh-CN"/>
              </w:rPr>
            </w:pPr>
            <w:r>
              <w:rPr>
                <w:rFonts w:hint="default" w:ascii="Times New Roman" w:hAnsi="Times New Roman" w:eastAsia="宋体" w:cs="Times New Roman"/>
                <w:b w:val="0"/>
                <w:bCs/>
                <w:color w:val="auto"/>
                <w:sz w:val="24"/>
                <w:szCs w:val="24"/>
                <w:highlight w:val="none"/>
                <w:lang w:val="en-US" w:eastAsia="zh-CN"/>
              </w:rPr>
              <w:t>本项目手术室用水均为纯水，根据建设单位提供的资料，手术室纯水用水量为</w:t>
            </w:r>
            <w:r>
              <w:rPr>
                <w:rFonts w:hint="eastAsia" w:ascii="Times New Roman" w:hAnsi="Times New Roman" w:eastAsia="宋体" w:cs="Times New Roman"/>
                <w:b w:val="0"/>
                <w:bCs/>
                <w:color w:val="auto"/>
                <w:sz w:val="24"/>
                <w:szCs w:val="24"/>
                <w:highlight w:val="none"/>
                <w:lang w:val="en-US" w:eastAsia="zh-CN"/>
              </w:rPr>
              <w:t>1t</w:t>
            </w:r>
            <w:r>
              <w:rPr>
                <w:rFonts w:hint="default" w:ascii="Times New Roman" w:hAnsi="Times New Roman" w:eastAsia="宋体" w:cs="Times New Roman"/>
                <w:b w:val="0"/>
                <w:bCs/>
                <w:color w:val="auto"/>
                <w:sz w:val="24"/>
                <w:szCs w:val="24"/>
                <w:highlight w:val="none"/>
                <w:lang w:val="en-US" w:eastAsia="zh-CN"/>
              </w:rPr>
              <w:t>/d，</w:t>
            </w:r>
            <w:r>
              <w:rPr>
                <w:rFonts w:hint="eastAsia" w:ascii="Times New Roman" w:hAnsi="Times New Roman" w:eastAsia="宋体" w:cs="Times New Roman"/>
                <w:b w:val="0"/>
                <w:bCs/>
                <w:color w:val="auto"/>
                <w:sz w:val="24"/>
                <w:szCs w:val="24"/>
                <w:highlight w:val="none"/>
                <w:lang w:val="en-US" w:eastAsia="zh-CN"/>
              </w:rPr>
              <w:t>365t</w:t>
            </w:r>
            <w:r>
              <w:rPr>
                <w:rFonts w:hint="default" w:ascii="Times New Roman" w:hAnsi="Times New Roman" w:eastAsia="宋体" w:cs="Times New Roman"/>
                <w:b w:val="0"/>
                <w:bCs/>
                <w:color w:val="auto"/>
                <w:sz w:val="24"/>
                <w:szCs w:val="24"/>
                <w:highlight w:val="none"/>
                <w:lang w:val="en-US" w:eastAsia="zh-CN"/>
              </w:rPr>
              <w:t>/a，排污系数按0.9 计，则本项目手术室废水量为</w:t>
            </w:r>
            <w:r>
              <w:rPr>
                <w:rFonts w:hint="eastAsia" w:ascii="Times New Roman" w:hAnsi="Times New Roman" w:eastAsia="宋体" w:cs="Times New Roman"/>
                <w:b w:val="0"/>
                <w:bCs/>
                <w:color w:val="auto"/>
                <w:sz w:val="24"/>
                <w:szCs w:val="24"/>
                <w:highlight w:val="none"/>
                <w:lang w:val="en-US" w:eastAsia="zh-CN"/>
              </w:rPr>
              <w:t>0.9t</w:t>
            </w:r>
            <w:r>
              <w:rPr>
                <w:rFonts w:hint="default" w:ascii="Times New Roman" w:hAnsi="Times New Roman" w:eastAsia="宋体" w:cs="Times New Roman"/>
                <w:b w:val="0"/>
                <w:bCs/>
                <w:color w:val="auto"/>
                <w:sz w:val="24"/>
                <w:szCs w:val="24"/>
                <w:highlight w:val="none"/>
                <w:lang w:val="en-US" w:eastAsia="zh-CN"/>
              </w:rPr>
              <w:t>/d（</w:t>
            </w:r>
            <w:r>
              <w:rPr>
                <w:rFonts w:hint="eastAsia" w:ascii="Times New Roman" w:hAnsi="Times New Roman" w:eastAsia="宋体" w:cs="Times New Roman"/>
                <w:b w:val="0"/>
                <w:bCs/>
                <w:color w:val="auto"/>
                <w:sz w:val="24"/>
                <w:szCs w:val="24"/>
                <w:highlight w:val="none"/>
                <w:lang w:val="en-US" w:eastAsia="zh-CN"/>
              </w:rPr>
              <w:t>328.5t</w:t>
            </w:r>
            <w:r>
              <w:rPr>
                <w:rFonts w:hint="default" w:ascii="Times New Roman" w:hAnsi="Times New Roman" w:eastAsia="宋体" w:cs="Times New Roman"/>
                <w:b w:val="0"/>
                <w:bCs/>
                <w:color w:val="auto"/>
                <w:sz w:val="24"/>
                <w:szCs w:val="24"/>
                <w:highlight w:val="none"/>
                <w:lang w:val="en-US" w:eastAsia="zh-CN"/>
              </w:rPr>
              <w:t>/a）。纯水机制备效率约70%，故手术室制备纯水用水量为1</w:t>
            </w:r>
            <w:r>
              <w:rPr>
                <w:rFonts w:hint="eastAsia" w:ascii="Times New Roman" w:hAnsi="Times New Roman" w:eastAsia="宋体" w:cs="Times New Roman"/>
                <w:b w:val="0"/>
                <w:bCs/>
                <w:color w:val="auto"/>
                <w:sz w:val="24"/>
                <w:szCs w:val="24"/>
                <w:highlight w:val="none"/>
                <w:lang w:val="en-US" w:eastAsia="zh-CN"/>
              </w:rPr>
              <w:t>.429t</w:t>
            </w:r>
            <w:r>
              <w:rPr>
                <w:rFonts w:hint="default" w:ascii="Times New Roman" w:hAnsi="Times New Roman" w:eastAsia="宋体" w:cs="Times New Roman"/>
                <w:b w:val="0"/>
                <w:bCs/>
                <w:color w:val="auto"/>
                <w:sz w:val="24"/>
                <w:szCs w:val="24"/>
                <w:highlight w:val="none"/>
                <w:lang w:val="en-US" w:eastAsia="zh-CN"/>
              </w:rPr>
              <w:t>/d</w:t>
            </w:r>
            <w:r>
              <w:rPr>
                <w:rFonts w:hint="eastAsia" w:ascii="Times New Roman" w:hAnsi="Times New Roman" w:eastAsia="宋体" w:cs="Times New Roman"/>
                <w:b w:val="0"/>
                <w:bCs/>
                <w:color w:val="auto"/>
                <w:sz w:val="24"/>
                <w:szCs w:val="24"/>
                <w:highlight w:val="none"/>
                <w:lang w:val="en-US" w:eastAsia="zh-CN"/>
              </w:rPr>
              <w:t>（521.429t/a）</w:t>
            </w:r>
            <w:r>
              <w:rPr>
                <w:rFonts w:hint="default" w:ascii="Times New Roman" w:hAnsi="Times New Roman" w:eastAsia="宋体" w:cs="Times New Roman"/>
                <w:b w:val="0"/>
                <w:bCs/>
                <w:color w:val="auto"/>
                <w:sz w:val="24"/>
                <w:szCs w:val="24"/>
                <w:highlight w:val="none"/>
                <w:lang w:val="en-US" w:eastAsia="zh-CN"/>
              </w:rPr>
              <w:t>，纯水制备浓水产生量为</w:t>
            </w:r>
            <w:r>
              <w:rPr>
                <w:rFonts w:hint="eastAsia" w:ascii="Times New Roman" w:hAnsi="Times New Roman" w:eastAsia="宋体" w:cs="Times New Roman"/>
                <w:b w:val="0"/>
                <w:bCs/>
                <w:color w:val="auto"/>
                <w:sz w:val="24"/>
                <w:szCs w:val="24"/>
                <w:highlight w:val="none"/>
                <w:lang w:val="en-US" w:eastAsia="zh-CN"/>
              </w:rPr>
              <w:t>0.429t</w:t>
            </w:r>
            <w:r>
              <w:rPr>
                <w:rFonts w:hint="default" w:ascii="Times New Roman" w:hAnsi="Times New Roman" w:eastAsia="宋体" w:cs="Times New Roman"/>
                <w:b w:val="0"/>
                <w:bCs/>
                <w:color w:val="auto"/>
                <w:sz w:val="24"/>
                <w:szCs w:val="24"/>
                <w:highlight w:val="none"/>
                <w:lang w:val="en-US" w:eastAsia="zh-CN"/>
              </w:rPr>
              <w:t>/d（</w:t>
            </w:r>
            <w:r>
              <w:rPr>
                <w:rFonts w:hint="eastAsia" w:ascii="Times New Roman" w:hAnsi="Times New Roman" w:eastAsia="宋体" w:cs="Times New Roman"/>
                <w:b w:val="0"/>
                <w:bCs/>
                <w:color w:val="auto"/>
                <w:sz w:val="24"/>
                <w:szCs w:val="24"/>
                <w:highlight w:val="none"/>
                <w:lang w:val="en-US" w:eastAsia="zh-CN"/>
              </w:rPr>
              <w:t>156.429t</w:t>
            </w:r>
            <w:r>
              <w:rPr>
                <w:rFonts w:hint="default" w:ascii="Times New Roman" w:hAnsi="Times New Roman" w:eastAsia="宋体" w:cs="Times New Roman"/>
                <w:b w:val="0"/>
                <w:bCs/>
                <w:color w:val="auto"/>
                <w:sz w:val="24"/>
                <w:szCs w:val="24"/>
                <w:highlight w:val="none"/>
                <w:lang w:val="en-US" w:eastAsia="zh-CN"/>
              </w:rPr>
              <w:t>/a）。</w:t>
            </w:r>
          </w:p>
          <w:p w14:paraId="0236E050">
            <w:pPr>
              <w:spacing w:line="360" w:lineRule="auto"/>
              <w:ind w:firstLine="480" w:firstLineChars="200"/>
              <w:rPr>
                <w:rFonts w:hint="eastAsia" w:ascii="宋体" w:hAnsi="宋体" w:eastAsia="宋体" w:cs="宋体"/>
                <w:b w:val="0"/>
                <w:bCs/>
                <w:color w:val="auto"/>
                <w:sz w:val="24"/>
                <w:szCs w:val="24"/>
                <w:lang w:eastAsia="zh-CN"/>
              </w:rPr>
            </w:pPr>
            <w:r>
              <w:rPr>
                <w:rFonts w:hint="eastAsia" w:ascii="宋体" w:hAnsi="宋体" w:eastAsia="宋体" w:cs="宋体"/>
                <w:b w:val="0"/>
                <w:bCs/>
                <w:color w:val="auto"/>
                <w:sz w:val="24"/>
                <w:szCs w:val="24"/>
                <w:lang w:eastAsia="zh-CN"/>
              </w:rPr>
              <w:t>（</w:t>
            </w:r>
            <w:r>
              <w:rPr>
                <w:rFonts w:hint="eastAsia" w:ascii="宋体" w:hAnsi="宋体" w:eastAsia="宋体" w:cs="宋体"/>
                <w:b w:val="0"/>
                <w:bCs/>
                <w:color w:val="auto"/>
                <w:sz w:val="24"/>
                <w:szCs w:val="24"/>
                <w:lang w:val="en-US" w:eastAsia="zh-CN"/>
              </w:rPr>
              <w:t>6</w:t>
            </w:r>
            <w:r>
              <w:rPr>
                <w:rFonts w:hint="eastAsia" w:ascii="宋体" w:hAnsi="宋体" w:eastAsia="宋体" w:cs="宋体"/>
                <w:b w:val="0"/>
                <w:bCs/>
                <w:color w:val="auto"/>
                <w:sz w:val="24"/>
                <w:szCs w:val="24"/>
                <w:lang w:eastAsia="zh-CN"/>
              </w:rPr>
              <w:t>）保洁用水</w:t>
            </w:r>
          </w:p>
          <w:p w14:paraId="43909AEB">
            <w:pPr>
              <w:spacing w:line="360" w:lineRule="auto"/>
              <w:ind w:firstLine="480" w:firstLineChars="200"/>
              <w:rPr>
                <w:rFonts w:hint="default" w:ascii="Times New Roman" w:hAnsi="Times New Roman" w:eastAsia="宋体" w:cs="Times New Roman"/>
                <w:b w:val="0"/>
                <w:bCs/>
                <w:color w:val="auto"/>
                <w:sz w:val="24"/>
                <w:szCs w:val="24"/>
              </w:rPr>
            </w:pPr>
            <w:r>
              <w:rPr>
                <w:rFonts w:hint="eastAsia" w:ascii="宋体" w:hAnsi="宋体" w:eastAsia="宋体" w:cs="宋体"/>
                <w:b w:val="0"/>
                <w:bCs/>
                <w:color w:val="auto"/>
                <w:sz w:val="24"/>
                <w:szCs w:val="24"/>
              </w:rPr>
              <w:t>项目</w:t>
            </w:r>
            <w:r>
              <w:rPr>
                <w:rFonts w:hint="eastAsia" w:ascii="宋体" w:hAnsi="宋体" w:eastAsia="宋体" w:cs="宋体"/>
                <w:b w:val="0"/>
                <w:bCs/>
                <w:color w:val="auto"/>
                <w:sz w:val="24"/>
                <w:szCs w:val="24"/>
                <w:lang w:eastAsia="zh-CN"/>
              </w:rPr>
              <w:t>保洁</w:t>
            </w:r>
            <w:r>
              <w:rPr>
                <w:rFonts w:hint="eastAsia" w:ascii="宋体" w:hAnsi="宋体" w:eastAsia="宋体" w:cs="宋体"/>
                <w:b w:val="0"/>
                <w:bCs/>
                <w:color w:val="auto"/>
                <w:sz w:val="24"/>
                <w:szCs w:val="24"/>
              </w:rPr>
              <w:t>用</w:t>
            </w:r>
            <w:r>
              <w:rPr>
                <w:rFonts w:hint="default" w:ascii="Times New Roman" w:hAnsi="Times New Roman" w:eastAsia="宋体" w:cs="Times New Roman"/>
                <w:b w:val="0"/>
                <w:bCs/>
                <w:color w:val="auto"/>
                <w:sz w:val="24"/>
                <w:szCs w:val="24"/>
              </w:rPr>
              <w:t>水</w:t>
            </w:r>
            <w:r>
              <w:rPr>
                <w:rFonts w:hint="eastAsia" w:ascii="Times New Roman" w:hAnsi="Times New Roman" w:eastAsia="宋体" w:cs="Times New Roman"/>
                <w:b w:val="0"/>
                <w:bCs/>
                <w:color w:val="auto"/>
                <w:sz w:val="24"/>
                <w:szCs w:val="24"/>
                <w:lang w:eastAsia="zh-CN"/>
              </w:rPr>
              <w:t>总量</w:t>
            </w:r>
            <w:r>
              <w:rPr>
                <w:rFonts w:hint="default" w:ascii="Times New Roman" w:hAnsi="Times New Roman" w:eastAsia="宋体" w:cs="Times New Roman"/>
                <w:b w:val="0"/>
                <w:bCs/>
                <w:color w:val="auto"/>
                <w:sz w:val="24"/>
                <w:szCs w:val="24"/>
              </w:rPr>
              <w:t>为</w:t>
            </w:r>
            <w:r>
              <w:rPr>
                <w:rFonts w:hint="eastAsia" w:ascii="Times New Roman" w:hAnsi="Times New Roman" w:eastAsia="宋体" w:cs="Times New Roman"/>
                <w:b w:val="0"/>
                <w:bCs/>
                <w:color w:val="auto"/>
                <w:sz w:val="24"/>
                <w:szCs w:val="24"/>
                <w:lang w:val="en-US" w:eastAsia="zh-CN"/>
              </w:rPr>
              <w:t>0.5</w:t>
            </w:r>
            <w:r>
              <w:rPr>
                <w:rFonts w:hint="default" w:ascii="Times New Roman" w:hAnsi="Times New Roman" w:eastAsia="宋体" w:cs="Times New Roman"/>
                <w:b w:val="0"/>
                <w:bCs/>
                <w:color w:val="auto"/>
                <w:sz w:val="24"/>
                <w:szCs w:val="24"/>
                <w:lang w:val="en-US" w:eastAsia="zh-CN"/>
              </w:rPr>
              <w:t>t</w:t>
            </w:r>
            <w:r>
              <w:rPr>
                <w:rFonts w:hint="default" w:ascii="Times New Roman" w:hAnsi="Times New Roman" w:eastAsia="宋体" w:cs="Times New Roman"/>
                <w:b w:val="0"/>
                <w:bCs/>
                <w:color w:val="auto"/>
                <w:sz w:val="24"/>
                <w:szCs w:val="24"/>
              </w:rPr>
              <w:t>/d</w:t>
            </w:r>
            <w:r>
              <w:rPr>
                <w:rFonts w:hint="eastAsia" w:ascii="Times New Roman" w:hAnsi="Times New Roman" w:eastAsia="宋体" w:cs="Times New Roman"/>
                <w:b w:val="0"/>
                <w:bCs/>
                <w:color w:val="auto"/>
                <w:sz w:val="24"/>
                <w:szCs w:val="24"/>
                <w:lang w:eastAsia="zh-CN"/>
              </w:rPr>
              <w:t>，</w:t>
            </w:r>
            <w:r>
              <w:rPr>
                <w:rFonts w:hint="eastAsia" w:ascii="Times New Roman" w:hAnsi="Times New Roman" w:eastAsia="宋体" w:cs="Times New Roman"/>
                <w:b w:val="0"/>
                <w:bCs/>
                <w:color w:val="auto"/>
                <w:sz w:val="24"/>
                <w:szCs w:val="24"/>
                <w:lang w:val="en-US" w:eastAsia="zh-CN"/>
              </w:rPr>
              <w:t>182.5</w:t>
            </w:r>
            <w:r>
              <w:rPr>
                <w:rFonts w:hint="default" w:ascii="Times New Roman" w:hAnsi="Times New Roman" w:eastAsia="宋体" w:cs="Times New Roman"/>
                <w:b w:val="0"/>
                <w:bCs/>
                <w:color w:val="auto"/>
                <w:sz w:val="24"/>
                <w:szCs w:val="24"/>
                <w:lang w:val="en-US" w:eastAsia="zh-CN"/>
              </w:rPr>
              <w:t>t</w:t>
            </w:r>
            <w:r>
              <w:rPr>
                <w:rFonts w:hint="default" w:ascii="Times New Roman" w:hAnsi="Times New Roman" w:eastAsia="宋体" w:cs="Times New Roman"/>
                <w:b w:val="0"/>
                <w:bCs/>
                <w:color w:val="auto"/>
                <w:sz w:val="24"/>
                <w:szCs w:val="24"/>
              </w:rPr>
              <w:t>/a，废水产生系数按0.8计，则保洁废水产生量为</w:t>
            </w:r>
            <w:r>
              <w:rPr>
                <w:rFonts w:hint="eastAsia" w:ascii="Times New Roman" w:hAnsi="Times New Roman" w:eastAsia="宋体" w:cs="Times New Roman"/>
                <w:b w:val="0"/>
                <w:bCs/>
                <w:color w:val="auto"/>
                <w:sz w:val="24"/>
                <w:szCs w:val="24"/>
                <w:lang w:val="en-US" w:eastAsia="zh-CN"/>
              </w:rPr>
              <w:t>0.4</w:t>
            </w:r>
            <w:r>
              <w:rPr>
                <w:rFonts w:hint="default" w:ascii="Times New Roman" w:hAnsi="Times New Roman" w:eastAsia="宋体" w:cs="Times New Roman"/>
                <w:b w:val="0"/>
                <w:bCs/>
                <w:color w:val="auto"/>
                <w:sz w:val="24"/>
                <w:szCs w:val="24"/>
                <w:lang w:val="en-US" w:eastAsia="zh-CN"/>
              </w:rPr>
              <w:t>t</w:t>
            </w:r>
            <w:r>
              <w:rPr>
                <w:rFonts w:hint="default" w:ascii="Times New Roman" w:hAnsi="Times New Roman" w:eastAsia="宋体" w:cs="Times New Roman"/>
                <w:b w:val="0"/>
                <w:bCs/>
                <w:color w:val="auto"/>
                <w:sz w:val="24"/>
                <w:szCs w:val="24"/>
              </w:rPr>
              <w:t>/d</w:t>
            </w:r>
            <w:r>
              <w:rPr>
                <w:rFonts w:hint="eastAsia" w:ascii="Times New Roman" w:hAnsi="Times New Roman" w:eastAsia="宋体" w:cs="Times New Roman"/>
                <w:b w:val="0"/>
                <w:bCs/>
                <w:color w:val="auto"/>
                <w:sz w:val="24"/>
                <w:szCs w:val="24"/>
                <w:lang w:eastAsia="zh-CN"/>
              </w:rPr>
              <w:t>，</w:t>
            </w:r>
            <w:r>
              <w:rPr>
                <w:rFonts w:hint="eastAsia" w:ascii="Times New Roman" w:hAnsi="Times New Roman" w:eastAsia="宋体" w:cs="Times New Roman"/>
                <w:b w:val="0"/>
                <w:bCs/>
                <w:color w:val="auto"/>
                <w:sz w:val="24"/>
                <w:szCs w:val="24"/>
                <w:lang w:val="en-US" w:eastAsia="zh-CN"/>
              </w:rPr>
              <w:t>146</w:t>
            </w:r>
            <w:r>
              <w:rPr>
                <w:rFonts w:hint="default" w:ascii="Times New Roman" w:hAnsi="Times New Roman" w:eastAsia="宋体" w:cs="Times New Roman"/>
                <w:b w:val="0"/>
                <w:bCs/>
                <w:color w:val="auto"/>
                <w:sz w:val="24"/>
                <w:szCs w:val="24"/>
                <w:lang w:val="en-US" w:eastAsia="zh-CN"/>
              </w:rPr>
              <w:t>t</w:t>
            </w:r>
            <w:r>
              <w:rPr>
                <w:rFonts w:hint="default" w:ascii="Times New Roman" w:hAnsi="Times New Roman" w:eastAsia="宋体" w:cs="Times New Roman"/>
                <w:b w:val="0"/>
                <w:bCs/>
                <w:color w:val="auto"/>
                <w:sz w:val="24"/>
                <w:szCs w:val="24"/>
              </w:rPr>
              <w:t>/a。</w:t>
            </w:r>
          </w:p>
          <w:p w14:paraId="0ADF12F1">
            <w:pPr>
              <w:spacing w:line="240" w:lineRule="auto"/>
              <w:ind w:firstLine="2741" w:firstLineChars="1300"/>
              <w:rPr>
                <w:rFonts w:ascii="Times New Roman" w:hAnsi="Times New Roman"/>
                <w:b/>
                <w:bCs w:val="0"/>
                <w:color w:val="auto"/>
                <w:sz w:val="21"/>
                <w:szCs w:val="21"/>
              </w:rPr>
            </w:pPr>
            <w:r>
              <w:rPr>
                <w:rFonts w:ascii="Times New Roman" w:hAnsi="Times New Roman"/>
                <w:b/>
                <w:bCs w:val="0"/>
                <w:color w:val="auto"/>
                <w:sz w:val="21"/>
                <w:szCs w:val="21"/>
              </w:rPr>
              <w:t>表2-</w:t>
            </w:r>
            <w:r>
              <w:rPr>
                <w:rFonts w:hint="eastAsia" w:ascii="Times New Roman" w:hAnsi="Times New Roman"/>
                <w:b/>
                <w:bCs w:val="0"/>
                <w:color w:val="auto"/>
                <w:sz w:val="21"/>
                <w:szCs w:val="21"/>
                <w:lang w:val="en-US" w:eastAsia="zh-CN"/>
              </w:rPr>
              <w:t>7</w:t>
            </w:r>
            <w:r>
              <w:rPr>
                <w:rFonts w:hint="eastAsia" w:ascii="Times New Roman" w:hAnsi="Times New Roman"/>
                <w:b/>
                <w:bCs w:val="0"/>
                <w:color w:val="auto"/>
                <w:sz w:val="21"/>
                <w:szCs w:val="21"/>
              </w:rPr>
              <w:t xml:space="preserve"> </w:t>
            </w:r>
            <w:r>
              <w:rPr>
                <w:rFonts w:hint="eastAsia" w:ascii="Times New Roman" w:hAnsi="Times New Roman"/>
                <w:b/>
                <w:bCs w:val="0"/>
                <w:color w:val="auto"/>
                <w:sz w:val="21"/>
                <w:szCs w:val="21"/>
                <w:lang w:eastAsia="zh-CN"/>
              </w:rPr>
              <w:t>项目</w:t>
            </w:r>
            <w:r>
              <w:rPr>
                <w:rFonts w:ascii="Times New Roman" w:hAnsi="Times New Roman"/>
                <w:b/>
                <w:bCs w:val="0"/>
                <w:color w:val="auto"/>
                <w:sz w:val="21"/>
                <w:szCs w:val="21"/>
              </w:rPr>
              <w:t>废水产生排放一览表</w:t>
            </w:r>
          </w:p>
          <w:tbl>
            <w:tblPr>
              <w:tblStyle w:val="14"/>
              <w:tblW w:w="4962"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125"/>
              <w:gridCol w:w="1006"/>
              <w:gridCol w:w="1155"/>
              <w:gridCol w:w="1194"/>
              <w:gridCol w:w="1215"/>
              <w:gridCol w:w="1194"/>
              <w:gridCol w:w="1274"/>
            </w:tblGrid>
            <w:tr w14:paraId="68D91B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4" w:hRule="atLeast"/>
                <w:jc w:val="center"/>
              </w:trPr>
              <w:tc>
                <w:tcPr>
                  <w:tcW w:w="1122" w:type="dxa"/>
                  <w:tcBorders>
                    <w:top w:val="single" w:color="000000" w:sz="8" w:space="0"/>
                    <w:left w:val="single" w:color="000000" w:sz="8" w:space="0"/>
                    <w:bottom w:val="single" w:color="000000" w:sz="8" w:space="0"/>
                    <w:right w:val="single" w:color="000000" w:sz="8" w:space="0"/>
                  </w:tcBorders>
                  <w:noWrap w:val="0"/>
                  <w:vAlign w:val="center"/>
                </w:tcPr>
                <w:p w14:paraId="04AE33A4">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用水</w:t>
                  </w:r>
                </w:p>
                <w:p w14:paraId="76707A8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项目</w:t>
                  </w:r>
                </w:p>
              </w:tc>
              <w:tc>
                <w:tcPr>
                  <w:tcW w:w="1004" w:type="dxa"/>
                  <w:tcBorders>
                    <w:top w:val="single" w:color="000000" w:sz="8" w:space="0"/>
                    <w:left w:val="nil"/>
                    <w:bottom w:val="single" w:color="000000" w:sz="8" w:space="0"/>
                    <w:right w:val="single" w:color="000000" w:sz="8" w:space="0"/>
                  </w:tcBorders>
                  <w:noWrap w:val="0"/>
                  <w:vAlign w:val="center"/>
                </w:tcPr>
                <w:p w14:paraId="183A98F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用水量</w:t>
                  </w:r>
                  <w:r>
                    <w:rPr>
                      <w:rFonts w:hint="default" w:ascii="Times New Roman" w:hAnsi="Times New Roman" w:eastAsia="宋体" w:cs="Times New Roman"/>
                      <w:i w:val="0"/>
                      <w:iCs w:val="0"/>
                      <w:color w:val="000000"/>
                      <w:kern w:val="0"/>
                      <w:sz w:val="21"/>
                      <w:szCs w:val="21"/>
                      <w:u w:val="none"/>
                      <w:lang w:val="en-US" w:eastAsia="zh-CN" w:bidi="ar"/>
                    </w:rPr>
                    <w:t>t/a</w:t>
                  </w:r>
                </w:p>
              </w:tc>
              <w:tc>
                <w:tcPr>
                  <w:tcW w:w="1152" w:type="dxa"/>
                  <w:tcBorders>
                    <w:top w:val="single" w:color="000000" w:sz="8" w:space="0"/>
                    <w:left w:val="nil"/>
                    <w:bottom w:val="single" w:color="000000" w:sz="8" w:space="0"/>
                    <w:right w:val="single" w:color="000000" w:sz="8" w:space="0"/>
                  </w:tcBorders>
                  <w:noWrap w:val="0"/>
                  <w:vAlign w:val="center"/>
                </w:tcPr>
                <w:p w14:paraId="166EB28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用水量</w:t>
                  </w:r>
                  <w:r>
                    <w:rPr>
                      <w:rFonts w:hint="default" w:ascii="Times New Roman" w:hAnsi="Times New Roman" w:eastAsia="宋体" w:cs="Times New Roman"/>
                      <w:i w:val="0"/>
                      <w:iCs w:val="0"/>
                      <w:color w:val="000000"/>
                      <w:kern w:val="0"/>
                      <w:sz w:val="21"/>
                      <w:szCs w:val="21"/>
                      <w:u w:val="none"/>
                      <w:lang w:val="en-US" w:eastAsia="zh-CN" w:bidi="ar"/>
                    </w:rPr>
                    <w:t>t/d</w:t>
                  </w:r>
                </w:p>
              </w:tc>
              <w:tc>
                <w:tcPr>
                  <w:tcW w:w="1191" w:type="dxa"/>
                  <w:tcBorders>
                    <w:top w:val="single" w:color="000000" w:sz="8" w:space="0"/>
                    <w:left w:val="nil"/>
                    <w:bottom w:val="single" w:color="000000" w:sz="8" w:space="0"/>
                    <w:right w:val="single" w:color="000000" w:sz="8" w:space="0"/>
                  </w:tcBorders>
                  <w:noWrap w:val="0"/>
                  <w:vAlign w:val="center"/>
                </w:tcPr>
                <w:p w14:paraId="510AA28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消耗量</w:t>
                  </w:r>
                  <w:r>
                    <w:rPr>
                      <w:rFonts w:hint="default" w:ascii="Times New Roman" w:hAnsi="Times New Roman" w:eastAsia="宋体" w:cs="Times New Roman"/>
                      <w:i w:val="0"/>
                      <w:iCs w:val="0"/>
                      <w:color w:val="000000"/>
                      <w:kern w:val="0"/>
                      <w:sz w:val="21"/>
                      <w:szCs w:val="21"/>
                      <w:u w:val="none"/>
                      <w:lang w:val="en-US" w:eastAsia="zh-CN" w:bidi="ar"/>
                    </w:rPr>
                    <w:t>t/a</w:t>
                  </w:r>
                </w:p>
              </w:tc>
              <w:tc>
                <w:tcPr>
                  <w:tcW w:w="1212" w:type="dxa"/>
                  <w:tcBorders>
                    <w:top w:val="single" w:color="000000" w:sz="8" w:space="0"/>
                    <w:left w:val="nil"/>
                    <w:bottom w:val="single" w:color="000000" w:sz="8" w:space="0"/>
                    <w:right w:val="single" w:color="000000" w:sz="8" w:space="0"/>
                  </w:tcBorders>
                  <w:noWrap w:val="0"/>
                  <w:vAlign w:val="center"/>
                </w:tcPr>
                <w:p w14:paraId="41759E2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消耗量</w:t>
                  </w:r>
                  <w:r>
                    <w:rPr>
                      <w:rFonts w:hint="default" w:ascii="Times New Roman" w:hAnsi="Times New Roman" w:eastAsia="宋体" w:cs="Times New Roman"/>
                      <w:i w:val="0"/>
                      <w:iCs w:val="0"/>
                      <w:color w:val="000000"/>
                      <w:kern w:val="0"/>
                      <w:sz w:val="21"/>
                      <w:szCs w:val="21"/>
                      <w:u w:val="none"/>
                      <w:lang w:val="en-US" w:eastAsia="zh-CN" w:bidi="ar"/>
                    </w:rPr>
                    <w:t>t/d</w:t>
                  </w:r>
                </w:p>
              </w:tc>
              <w:tc>
                <w:tcPr>
                  <w:tcW w:w="1191" w:type="dxa"/>
                  <w:tcBorders>
                    <w:top w:val="single" w:color="000000" w:sz="8" w:space="0"/>
                    <w:left w:val="nil"/>
                    <w:bottom w:val="single" w:color="000000" w:sz="8" w:space="0"/>
                    <w:right w:val="single" w:color="000000" w:sz="8" w:space="0"/>
                  </w:tcBorders>
                  <w:noWrap w:val="0"/>
                  <w:vAlign w:val="center"/>
                </w:tcPr>
                <w:p w14:paraId="1CBE733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排放量</w:t>
                  </w:r>
                  <w:r>
                    <w:rPr>
                      <w:rFonts w:hint="default" w:ascii="Times New Roman" w:hAnsi="Times New Roman" w:eastAsia="宋体" w:cs="Times New Roman"/>
                      <w:i w:val="0"/>
                      <w:iCs w:val="0"/>
                      <w:color w:val="000000"/>
                      <w:kern w:val="0"/>
                      <w:sz w:val="21"/>
                      <w:szCs w:val="21"/>
                      <w:u w:val="none"/>
                      <w:lang w:val="en-US" w:eastAsia="zh-CN" w:bidi="ar"/>
                    </w:rPr>
                    <w:t>t/a</w:t>
                  </w:r>
                </w:p>
              </w:tc>
              <w:tc>
                <w:tcPr>
                  <w:tcW w:w="1271" w:type="dxa"/>
                  <w:tcBorders>
                    <w:top w:val="single" w:color="000000" w:sz="8" w:space="0"/>
                    <w:left w:val="nil"/>
                    <w:bottom w:val="single" w:color="000000" w:sz="8" w:space="0"/>
                    <w:right w:val="single" w:color="000000" w:sz="8" w:space="0"/>
                  </w:tcBorders>
                  <w:noWrap w:val="0"/>
                  <w:vAlign w:val="center"/>
                </w:tcPr>
                <w:p w14:paraId="13CC05D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排放量</w:t>
                  </w:r>
                  <w:r>
                    <w:rPr>
                      <w:rFonts w:hint="default" w:ascii="Times New Roman" w:hAnsi="Times New Roman" w:eastAsia="宋体" w:cs="Times New Roman"/>
                      <w:i w:val="0"/>
                      <w:iCs w:val="0"/>
                      <w:color w:val="000000"/>
                      <w:kern w:val="0"/>
                      <w:sz w:val="21"/>
                      <w:szCs w:val="21"/>
                      <w:u w:val="none"/>
                      <w:lang w:val="en-US" w:eastAsia="zh-CN" w:bidi="ar"/>
                    </w:rPr>
                    <w:t>t/d</w:t>
                  </w:r>
                </w:p>
              </w:tc>
            </w:tr>
            <w:tr w14:paraId="54BCF9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1122" w:type="dxa"/>
                  <w:tcBorders>
                    <w:top w:val="nil"/>
                    <w:left w:val="single" w:color="000000" w:sz="8" w:space="0"/>
                    <w:bottom w:val="single" w:color="000000" w:sz="8" w:space="0"/>
                    <w:right w:val="single" w:color="000000" w:sz="8" w:space="0"/>
                  </w:tcBorders>
                  <w:noWrap w:val="0"/>
                  <w:vAlign w:val="center"/>
                </w:tcPr>
                <w:p w14:paraId="4B3356E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生活用水</w:t>
                  </w:r>
                </w:p>
              </w:tc>
              <w:tc>
                <w:tcPr>
                  <w:tcW w:w="1004" w:type="dxa"/>
                  <w:tcBorders>
                    <w:top w:val="nil"/>
                    <w:left w:val="nil"/>
                    <w:bottom w:val="single" w:color="000000" w:sz="8" w:space="0"/>
                    <w:right w:val="single" w:color="000000" w:sz="8" w:space="0"/>
                  </w:tcBorders>
                  <w:noWrap w:val="0"/>
                  <w:vAlign w:val="center"/>
                </w:tcPr>
                <w:p w14:paraId="1E28BEA7">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3268</w:t>
                  </w:r>
                </w:p>
              </w:tc>
              <w:tc>
                <w:tcPr>
                  <w:tcW w:w="1152" w:type="dxa"/>
                  <w:tcBorders>
                    <w:top w:val="nil"/>
                    <w:left w:val="nil"/>
                    <w:bottom w:val="single" w:color="000000" w:sz="8" w:space="0"/>
                    <w:right w:val="single" w:color="000000" w:sz="8" w:space="0"/>
                  </w:tcBorders>
                  <w:noWrap w:val="0"/>
                  <w:vAlign w:val="center"/>
                </w:tcPr>
                <w:p w14:paraId="0E454CA3">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8.953</w:t>
                  </w:r>
                </w:p>
              </w:tc>
              <w:tc>
                <w:tcPr>
                  <w:tcW w:w="1191" w:type="dxa"/>
                  <w:tcBorders>
                    <w:top w:val="nil"/>
                    <w:left w:val="nil"/>
                    <w:bottom w:val="single" w:color="000000" w:sz="8" w:space="0"/>
                    <w:right w:val="single" w:color="000000" w:sz="8" w:space="0"/>
                  </w:tcBorders>
                  <w:noWrap w:val="0"/>
                  <w:vAlign w:val="center"/>
                </w:tcPr>
                <w:p w14:paraId="6D19C8E6">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653.6</w:t>
                  </w:r>
                </w:p>
              </w:tc>
              <w:tc>
                <w:tcPr>
                  <w:tcW w:w="1212" w:type="dxa"/>
                  <w:tcBorders>
                    <w:top w:val="nil"/>
                    <w:left w:val="nil"/>
                    <w:bottom w:val="single" w:color="000000" w:sz="8" w:space="0"/>
                    <w:right w:val="single" w:color="000000" w:sz="8" w:space="0"/>
                  </w:tcBorders>
                  <w:noWrap w:val="0"/>
                  <w:vAlign w:val="center"/>
                </w:tcPr>
                <w:p w14:paraId="1379FFE7">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1.79</w:t>
                  </w:r>
                </w:p>
              </w:tc>
              <w:tc>
                <w:tcPr>
                  <w:tcW w:w="1191" w:type="dxa"/>
                  <w:tcBorders>
                    <w:top w:val="nil"/>
                    <w:left w:val="nil"/>
                    <w:bottom w:val="single" w:color="000000" w:sz="8" w:space="0"/>
                    <w:right w:val="single" w:color="000000" w:sz="8" w:space="0"/>
                  </w:tcBorders>
                  <w:noWrap w:val="0"/>
                  <w:vAlign w:val="center"/>
                </w:tcPr>
                <w:p w14:paraId="70162D7C">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2614.4</w:t>
                  </w:r>
                </w:p>
              </w:tc>
              <w:tc>
                <w:tcPr>
                  <w:tcW w:w="1271" w:type="dxa"/>
                  <w:tcBorders>
                    <w:top w:val="nil"/>
                    <w:left w:val="nil"/>
                    <w:bottom w:val="single" w:color="000000" w:sz="8" w:space="0"/>
                    <w:right w:val="single" w:color="000000" w:sz="8" w:space="0"/>
                  </w:tcBorders>
                  <w:noWrap w:val="0"/>
                  <w:vAlign w:val="center"/>
                </w:tcPr>
                <w:p w14:paraId="51985637">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7.163</w:t>
                  </w:r>
                </w:p>
              </w:tc>
            </w:tr>
            <w:tr w14:paraId="4F8D0C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jc w:val="center"/>
              </w:trPr>
              <w:tc>
                <w:tcPr>
                  <w:tcW w:w="1122" w:type="dxa"/>
                  <w:tcBorders>
                    <w:top w:val="nil"/>
                    <w:left w:val="single" w:color="000000" w:sz="8" w:space="0"/>
                    <w:bottom w:val="single" w:color="000000" w:sz="8" w:space="0"/>
                    <w:right w:val="single" w:color="000000" w:sz="8" w:space="0"/>
                  </w:tcBorders>
                  <w:noWrap w:val="0"/>
                  <w:vAlign w:val="center"/>
                </w:tcPr>
                <w:p w14:paraId="6FDDA4A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普通门诊用水</w:t>
                  </w:r>
                </w:p>
              </w:tc>
              <w:tc>
                <w:tcPr>
                  <w:tcW w:w="1004" w:type="dxa"/>
                  <w:tcBorders>
                    <w:top w:val="nil"/>
                    <w:left w:val="nil"/>
                    <w:bottom w:val="single" w:color="000000" w:sz="8" w:space="0"/>
                    <w:right w:val="single" w:color="000000" w:sz="8" w:space="0"/>
                  </w:tcBorders>
                  <w:noWrap w:val="0"/>
                  <w:vAlign w:val="center"/>
                </w:tcPr>
                <w:p w14:paraId="1897F673">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365</w:t>
                  </w:r>
                </w:p>
              </w:tc>
              <w:tc>
                <w:tcPr>
                  <w:tcW w:w="1152" w:type="dxa"/>
                  <w:tcBorders>
                    <w:top w:val="nil"/>
                    <w:left w:val="nil"/>
                    <w:bottom w:val="single" w:color="000000" w:sz="8" w:space="0"/>
                    <w:right w:val="single" w:color="000000" w:sz="8" w:space="0"/>
                  </w:tcBorders>
                  <w:noWrap w:val="0"/>
                  <w:vAlign w:val="center"/>
                </w:tcPr>
                <w:p w14:paraId="12A6C5AE">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c>
                <w:tcPr>
                  <w:tcW w:w="1191" w:type="dxa"/>
                  <w:tcBorders>
                    <w:top w:val="nil"/>
                    <w:left w:val="nil"/>
                    <w:bottom w:val="single" w:color="000000" w:sz="8" w:space="0"/>
                    <w:right w:val="single" w:color="000000" w:sz="8" w:space="0"/>
                  </w:tcBorders>
                  <w:noWrap w:val="0"/>
                  <w:vAlign w:val="center"/>
                </w:tcPr>
                <w:p w14:paraId="7E964F62">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73</w:t>
                  </w:r>
                </w:p>
              </w:tc>
              <w:tc>
                <w:tcPr>
                  <w:tcW w:w="1212" w:type="dxa"/>
                  <w:tcBorders>
                    <w:top w:val="nil"/>
                    <w:left w:val="nil"/>
                    <w:bottom w:val="single" w:color="000000" w:sz="8" w:space="0"/>
                    <w:right w:val="single" w:color="000000" w:sz="8" w:space="0"/>
                  </w:tcBorders>
                  <w:noWrap w:val="0"/>
                  <w:vAlign w:val="center"/>
                </w:tcPr>
                <w:p w14:paraId="106FA4DD">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0.2</w:t>
                  </w:r>
                </w:p>
              </w:tc>
              <w:tc>
                <w:tcPr>
                  <w:tcW w:w="1191" w:type="dxa"/>
                  <w:tcBorders>
                    <w:top w:val="nil"/>
                    <w:left w:val="nil"/>
                    <w:bottom w:val="single" w:color="000000" w:sz="8" w:space="0"/>
                    <w:right w:val="single" w:color="000000" w:sz="8" w:space="0"/>
                  </w:tcBorders>
                  <w:noWrap w:val="0"/>
                  <w:vAlign w:val="center"/>
                </w:tcPr>
                <w:p w14:paraId="13053DF3">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292</w:t>
                  </w:r>
                </w:p>
              </w:tc>
              <w:tc>
                <w:tcPr>
                  <w:tcW w:w="1271" w:type="dxa"/>
                  <w:tcBorders>
                    <w:top w:val="nil"/>
                    <w:left w:val="nil"/>
                    <w:bottom w:val="single" w:color="000000" w:sz="8" w:space="0"/>
                    <w:right w:val="single" w:color="000000" w:sz="8" w:space="0"/>
                  </w:tcBorders>
                  <w:noWrap w:val="0"/>
                  <w:vAlign w:val="center"/>
                </w:tcPr>
                <w:p w14:paraId="3E35B11D">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0.8</w:t>
                  </w:r>
                </w:p>
              </w:tc>
            </w:tr>
            <w:tr w14:paraId="5020FC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jc w:val="center"/>
              </w:trPr>
              <w:tc>
                <w:tcPr>
                  <w:tcW w:w="1122" w:type="dxa"/>
                  <w:tcBorders>
                    <w:top w:val="nil"/>
                    <w:left w:val="single" w:color="000000" w:sz="8" w:space="0"/>
                    <w:bottom w:val="single" w:color="000000" w:sz="8" w:space="0"/>
                    <w:right w:val="single" w:color="000000" w:sz="8" w:space="0"/>
                  </w:tcBorders>
                  <w:noWrap w:val="0"/>
                  <w:vAlign w:val="center"/>
                </w:tcPr>
                <w:p w14:paraId="08F7372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口腔科用水</w:t>
                  </w:r>
                </w:p>
              </w:tc>
              <w:tc>
                <w:tcPr>
                  <w:tcW w:w="1004" w:type="dxa"/>
                  <w:tcBorders>
                    <w:top w:val="nil"/>
                    <w:left w:val="nil"/>
                    <w:bottom w:val="single" w:color="000000" w:sz="8" w:space="0"/>
                    <w:right w:val="single" w:color="000000" w:sz="8" w:space="0"/>
                  </w:tcBorders>
                  <w:noWrap w:val="0"/>
                  <w:vAlign w:val="center"/>
                </w:tcPr>
                <w:p w14:paraId="38270DF0">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14.6</w:t>
                  </w:r>
                </w:p>
              </w:tc>
              <w:tc>
                <w:tcPr>
                  <w:tcW w:w="1152" w:type="dxa"/>
                  <w:tcBorders>
                    <w:top w:val="nil"/>
                    <w:left w:val="nil"/>
                    <w:bottom w:val="single" w:color="000000" w:sz="8" w:space="0"/>
                    <w:right w:val="single" w:color="000000" w:sz="8" w:space="0"/>
                  </w:tcBorders>
                  <w:noWrap w:val="0"/>
                  <w:vAlign w:val="center"/>
                </w:tcPr>
                <w:p w14:paraId="568BB41E">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0.04</w:t>
                  </w:r>
                </w:p>
              </w:tc>
              <w:tc>
                <w:tcPr>
                  <w:tcW w:w="1191" w:type="dxa"/>
                  <w:tcBorders>
                    <w:top w:val="nil"/>
                    <w:left w:val="nil"/>
                    <w:bottom w:val="single" w:color="000000" w:sz="8" w:space="0"/>
                    <w:right w:val="single" w:color="000000" w:sz="8" w:space="0"/>
                  </w:tcBorders>
                  <w:noWrap w:val="0"/>
                  <w:vAlign w:val="center"/>
                </w:tcPr>
                <w:p w14:paraId="72C4682A">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2.92</w:t>
                  </w:r>
                </w:p>
              </w:tc>
              <w:tc>
                <w:tcPr>
                  <w:tcW w:w="1212" w:type="dxa"/>
                  <w:tcBorders>
                    <w:top w:val="nil"/>
                    <w:left w:val="nil"/>
                    <w:bottom w:val="single" w:color="000000" w:sz="8" w:space="0"/>
                    <w:right w:val="single" w:color="000000" w:sz="8" w:space="0"/>
                  </w:tcBorders>
                  <w:noWrap w:val="0"/>
                  <w:vAlign w:val="center"/>
                </w:tcPr>
                <w:p w14:paraId="1C84B1C2">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0.008</w:t>
                  </w:r>
                </w:p>
              </w:tc>
              <w:tc>
                <w:tcPr>
                  <w:tcW w:w="1191" w:type="dxa"/>
                  <w:tcBorders>
                    <w:top w:val="nil"/>
                    <w:left w:val="nil"/>
                    <w:bottom w:val="single" w:color="000000" w:sz="8" w:space="0"/>
                    <w:right w:val="single" w:color="000000" w:sz="8" w:space="0"/>
                  </w:tcBorders>
                  <w:noWrap w:val="0"/>
                  <w:vAlign w:val="center"/>
                </w:tcPr>
                <w:p w14:paraId="3D5E0E5D">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11.68</w:t>
                  </w:r>
                </w:p>
              </w:tc>
              <w:tc>
                <w:tcPr>
                  <w:tcW w:w="1271" w:type="dxa"/>
                  <w:tcBorders>
                    <w:top w:val="nil"/>
                    <w:left w:val="nil"/>
                    <w:bottom w:val="single" w:color="000000" w:sz="8" w:space="0"/>
                    <w:right w:val="single" w:color="000000" w:sz="8" w:space="0"/>
                  </w:tcBorders>
                  <w:noWrap w:val="0"/>
                  <w:vAlign w:val="center"/>
                </w:tcPr>
                <w:p w14:paraId="1ECE69FE">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0.032</w:t>
                  </w:r>
                </w:p>
              </w:tc>
            </w:tr>
            <w:tr w14:paraId="4DD09F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1122" w:type="dxa"/>
                  <w:tcBorders>
                    <w:top w:val="nil"/>
                    <w:left w:val="single" w:color="000000" w:sz="8" w:space="0"/>
                    <w:bottom w:val="single" w:color="000000" w:sz="8" w:space="0"/>
                    <w:right w:val="single" w:color="000000" w:sz="8" w:space="0"/>
                  </w:tcBorders>
                  <w:noWrap w:val="0"/>
                  <w:vAlign w:val="center"/>
                </w:tcPr>
                <w:p w14:paraId="42376A9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病房用水</w:t>
                  </w:r>
                </w:p>
              </w:tc>
              <w:tc>
                <w:tcPr>
                  <w:tcW w:w="1004" w:type="dxa"/>
                  <w:tcBorders>
                    <w:top w:val="nil"/>
                    <w:left w:val="nil"/>
                    <w:bottom w:val="single" w:color="000000" w:sz="8" w:space="0"/>
                    <w:right w:val="single" w:color="000000" w:sz="8" w:space="0"/>
                  </w:tcBorders>
                  <w:noWrap w:val="0"/>
                  <w:vAlign w:val="center"/>
                </w:tcPr>
                <w:p w14:paraId="56134F20">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20075</w:t>
                  </w:r>
                </w:p>
              </w:tc>
              <w:tc>
                <w:tcPr>
                  <w:tcW w:w="1152" w:type="dxa"/>
                  <w:tcBorders>
                    <w:top w:val="nil"/>
                    <w:left w:val="nil"/>
                    <w:bottom w:val="single" w:color="000000" w:sz="8" w:space="0"/>
                    <w:right w:val="single" w:color="000000" w:sz="8" w:space="0"/>
                  </w:tcBorders>
                  <w:noWrap w:val="0"/>
                  <w:vAlign w:val="center"/>
                </w:tcPr>
                <w:p w14:paraId="79D2B4A3">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55</w:t>
                  </w:r>
                </w:p>
              </w:tc>
              <w:tc>
                <w:tcPr>
                  <w:tcW w:w="1191" w:type="dxa"/>
                  <w:tcBorders>
                    <w:top w:val="nil"/>
                    <w:left w:val="nil"/>
                    <w:bottom w:val="single" w:color="000000" w:sz="8" w:space="0"/>
                    <w:right w:val="single" w:color="000000" w:sz="8" w:space="0"/>
                  </w:tcBorders>
                  <w:noWrap w:val="0"/>
                  <w:vAlign w:val="center"/>
                </w:tcPr>
                <w:p w14:paraId="2D215275">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4015</w:t>
                  </w:r>
                </w:p>
              </w:tc>
              <w:tc>
                <w:tcPr>
                  <w:tcW w:w="1212" w:type="dxa"/>
                  <w:tcBorders>
                    <w:top w:val="nil"/>
                    <w:left w:val="nil"/>
                    <w:bottom w:val="single" w:color="000000" w:sz="8" w:space="0"/>
                    <w:right w:val="single" w:color="000000" w:sz="8" w:space="0"/>
                  </w:tcBorders>
                  <w:noWrap w:val="0"/>
                  <w:vAlign w:val="center"/>
                </w:tcPr>
                <w:p w14:paraId="73190923">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11</w:t>
                  </w:r>
                </w:p>
              </w:tc>
              <w:tc>
                <w:tcPr>
                  <w:tcW w:w="1191" w:type="dxa"/>
                  <w:tcBorders>
                    <w:top w:val="nil"/>
                    <w:left w:val="nil"/>
                    <w:bottom w:val="single" w:color="000000" w:sz="8" w:space="0"/>
                    <w:right w:val="single" w:color="000000" w:sz="8" w:space="0"/>
                  </w:tcBorders>
                  <w:noWrap w:val="0"/>
                  <w:vAlign w:val="center"/>
                </w:tcPr>
                <w:p w14:paraId="72DDBCDD">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16060</w:t>
                  </w:r>
                </w:p>
              </w:tc>
              <w:tc>
                <w:tcPr>
                  <w:tcW w:w="1271" w:type="dxa"/>
                  <w:tcBorders>
                    <w:top w:val="nil"/>
                    <w:left w:val="nil"/>
                    <w:bottom w:val="single" w:color="000000" w:sz="8" w:space="0"/>
                    <w:right w:val="single" w:color="000000" w:sz="8" w:space="0"/>
                  </w:tcBorders>
                  <w:noWrap w:val="0"/>
                  <w:vAlign w:val="center"/>
                </w:tcPr>
                <w:p w14:paraId="2A5CC53C">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44</w:t>
                  </w:r>
                </w:p>
              </w:tc>
            </w:tr>
            <w:tr w14:paraId="678222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1122" w:type="dxa"/>
                  <w:tcBorders>
                    <w:top w:val="nil"/>
                    <w:left w:val="single" w:color="000000" w:sz="8" w:space="0"/>
                    <w:bottom w:val="single" w:color="000000" w:sz="8" w:space="0"/>
                    <w:right w:val="single" w:color="000000" w:sz="8" w:space="0"/>
                  </w:tcBorders>
                  <w:noWrap w:val="0"/>
                  <w:vAlign w:val="center"/>
                </w:tcPr>
                <w:p w14:paraId="7F2E142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检验用水</w:t>
                  </w:r>
                </w:p>
              </w:tc>
              <w:tc>
                <w:tcPr>
                  <w:tcW w:w="1004" w:type="dxa"/>
                  <w:tcBorders>
                    <w:top w:val="nil"/>
                    <w:left w:val="nil"/>
                    <w:bottom w:val="single" w:color="000000" w:sz="8" w:space="0"/>
                    <w:right w:val="single" w:color="000000" w:sz="8" w:space="0"/>
                  </w:tcBorders>
                  <w:noWrap w:val="0"/>
                  <w:vAlign w:val="center"/>
                </w:tcPr>
                <w:p w14:paraId="199CB02D">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365</w:t>
                  </w:r>
                </w:p>
              </w:tc>
              <w:tc>
                <w:tcPr>
                  <w:tcW w:w="1152" w:type="dxa"/>
                  <w:tcBorders>
                    <w:top w:val="nil"/>
                    <w:left w:val="nil"/>
                    <w:bottom w:val="single" w:color="000000" w:sz="8" w:space="0"/>
                    <w:right w:val="single" w:color="000000" w:sz="8" w:space="0"/>
                  </w:tcBorders>
                  <w:noWrap w:val="0"/>
                  <w:vAlign w:val="center"/>
                </w:tcPr>
                <w:p w14:paraId="3A94BFBF">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c>
                <w:tcPr>
                  <w:tcW w:w="1191" w:type="dxa"/>
                  <w:tcBorders>
                    <w:top w:val="nil"/>
                    <w:left w:val="nil"/>
                    <w:bottom w:val="single" w:color="000000" w:sz="8" w:space="0"/>
                    <w:right w:val="single" w:color="000000" w:sz="8" w:space="0"/>
                  </w:tcBorders>
                  <w:noWrap w:val="0"/>
                  <w:vAlign w:val="center"/>
                </w:tcPr>
                <w:p w14:paraId="46A79E06">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73</w:t>
                  </w:r>
                </w:p>
              </w:tc>
              <w:tc>
                <w:tcPr>
                  <w:tcW w:w="1212" w:type="dxa"/>
                  <w:tcBorders>
                    <w:top w:val="nil"/>
                    <w:left w:val="nil"/>
                    <w:bottom w:val="single" w:color="000000" w:sz="8" w:space="0"/>
                    <w:right w:val="single" w:color="000000" w:sz="8" w:space="0"/>
                  </w:tcBorders>
                  <w:noWrap w:val="0"/>
                  <w:vAlign w:val="center"/>
                </w:tcPr>
                <w:p w14:paraId="73C5AD8E">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0.2</w:t>
                  </w:r>
                </w:p>
              </w:tc>
              <w:tc>
                <w:tcPr>
                  <w:tcW w:w="1191" w:type="dxa"/>
                  <w:tcBorders>
                    <w:top w:val="nil"/>
                    <w:left w:val="nil"/>
                    <w:bottom w:val="single" w:color="000000" w:sz="8" w:space="0"/>
                    <w:right w:val="single" w:color="000000" w:sz="8" w:space="0"/>
                  </w:tcBorders>
                  <w:noWrap w:val="0"/>
                  <w:vAlign w:val="center"/>
                </w:tcPr>
                <w:p w14:paraId="691AC13E">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292</w:t>
                  </w:r>
                </w:p>
              </w:tc>
              <w:tc>
                <w:tcPr>
                  <w:tcW w:w="1271" w:type="dxa"/>
                  <w:tcBorders>
                    <w:top w:val="nil"/>
                    <w:left w:val="nil"/>
                    <w:bottom w:val="single" w:color="000000" w:sz="8" w:space="0"/>
                    <w:right w:val="single" w:color="000000" w:sz="8" w:space="0"/>
                  </w:tcBorders>
                  <w:noWrap w:val="0"/>
                  <w:vAlign w:val="center"/>
                </w:tcPr>
                <w:p w14:paraId="25CA6D2D">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0.8</w:t>
                  </w:r>
                </w:p>
              </w:tc>
            </w:tr>
            <w:tr w14:paraId="18E011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jc w:val="center"/>
              </w:trPr>
              <w:tc>
                <w:tcPr>
                  <w:tcW w:w="1122" w:type="dxa"/>
                  <w:tcBorders>
                    <w:top w:val="nil"/>
                    <w:left w:val="single" w:color="000000" w:sz="8" w:space="0"/>
                    <w:bottom w:val="single" w:color="000000" w:sz="8" w:space="0"/>
                    <w:right w:val="single" w:color="000000" w:sz="8" w:space="0"/>
                  </w:tcBorders>
                  <w:noWrap w:val="0"/>
                  <w:vAlign w:val="center"/>
                </w:tcPr>
                <w:p w14:paraId="1602C5C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手术室用水</w:t>
                  </w:r>
                </w:p>
              </w:tc>
              <w:tc>
                <w:tcPr>
                  <w:tcW w:w="1004" w:type="dxa"/>
                  <w:tcBorders>
                    <w:top w:val="nil"/>
                    <w:left w:val="nil"/>
                    <w:bottom w:val="single" w:color="000000" w:sz="8" w:space="0"/>
                    <w:right w:val="single" w:color="000000" w:sz="8" w:space="0"/>
                  </w:tcBorders>
                  <w:noWrap w:val="0"/>
                  <w:vAlign w:val="center"/>
                </w:tcPr>
                <w:p w14:paraId="7C189470">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521.429</w:t>
                  </w:r>
                </w:p>
              </w:tc>
              <w:tc>
                <w:tcPr>
                  <w:tcW w:w="1152" w:type="dxa"/>
                  <w:tcBorders>
                    <w:top w:val="nil"/>
                    <w:left w:val="nil"/>
                    <w:bottom w:val="single" w:color="000000" w:sz="8" w:space="0"/>
                    <w:right w:val="single" w:color="000000" w:sz="8" w:space="0"/>
                  </w:tcBorders>
                  <w:noWrap w:val="0"/>
                  <w:vAlign w:val="center"/>
                </w:tcPr>
                <w:p w14:paraId="78720C24">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1.429</w:t>
                  </w:r>
                </w:p>
              </w:tc>
              <w:tc>
                <w:tcPr>
                  <w:tcW w:w="1191" w:type="dxa"/>
                  <w:tcBorders>
                    <w:top w:val="nil"/>
                    <w:left w:val="nil"/>
                    <w:bottom w:val="single" w:color="000000" w:sz="8" w:space="0"/>
                    <w:right w:val="single" w:color="000000" w:sz="8" w:space="0"/>
                  </w:tcBorders>
                  <w:noWrap w:val="0"/>
                  <w:vAlign w:val="center"/>
                </w:tcPr>
                <w:p w14:paraId="6EE4751E">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36.5</w:t>
                  </w:r>
                </w:p>
              </w:tc>
              <w:tc>
                <w:tcPr>
                  <w:tcW w:w="1212" w:type="dxa"/>
                  <w:tcBorders>
                    <w:top w:val="nil"/>
                    <w:left w:val="nil"/>
                    <w:bottom w:val="single" w:color="000000" w:sz="8" w:space="0"/>
                    <w:right w:val="single" w:color="000000" w:sz="8" w:space="0"/>
                  </w:tcBorders>
                  <w:noWrap w:val="0"/>
                  <w:vAlign w:val="center"/>
                </w:tcPr>
                <w:p w14:paraId="1DF0719A">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0.1</w:t>
                  </w:r>
                </w:p>
              </w:tc>
              <w:tc>
                <w:tcPr>
                  <w:tcW w:w="1191" w:type="dxa"/>
                  <w:tcBorders>
                    <w:top w:val="nil"/>
                    <w:left w:val="nil"/>
                    <w:bottom w:val="single" w:color="000000" w:sz="8" w:space="0"/>
                    <w:right w:val="single" w:color="000000" w:sz="8" w:space="0"/>
                  </w:tcBorders>
                  <w:noWrap w:val="0"/>
                  <w:vAlign w:val="center"/>
                </w:tcPr>
                <w:p w14:paraId="5F2E3719">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484.929</w:t>
                  </w:r>
                </w:p>
              </w:tc>
              <w:tc>
                <w:tcPr>
                  <w:tcW w:w="1271" w:type="dxa"/>
                  <w:tcBorders>
                    <w:top w:val="nil"/>
                    <w:left w:val="nil"/>
                    <w:bottom w:val="single" w:color="000000" w:sz="8" w:space="0"/>
                    <w:right w:val="single" w:color="000000" w:sz="8" w:space="0"/>
                  </w:tcBorders>
                  <w:noWrap w:val="0"/>
                  <w:vAlign w:val="center"/>
                </w:tcPr>
                <w:p w14:paraId="1D8B32E3">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1.329</w:t>
                  </w:r>
                </w:p>
              </w:tc>
            </w:tr>
            <w:tr w14:paraId="038300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1122" w:type="dxa"/>
                  <w:tcBorders>
                    <w:top w:val="nil"/>
                    <w:left w:val="single" w:color="000000" w:sz="8" w:space="0"/>
                    <w:bottom w:val="single" w:color="000000" w:sz="8" w:space="0"/>
                    <w:right w:val="single" w:color="000000" w:sz="8" w:space="0"/>
                  </w:tcBorders>
                  <w:noWrap w:val="0"/>
                  <w:vAlign w:val="center"/>
                </w:tcPr>
                <w:p w14:paraId="51BBC48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保洁用水</w:t>
                  </w:r>
                </w:p>
              </w:tc>
              <w:tc>
                <w:tcPr>
                  <w:tcW w:w="1004" w:type="dxa"/>
                  <w:tcBorders>
                    <w:top w:val="nil"/>
                    <w:left w:val="nil"/>
                    <w:bottom w:val="single" w:color="000000" w:sz="8" w:space="0"/>
                    <w:right w:val="single" w:color="000000" w:sz="8" w:space="0"/>
                  </w:tcBorders>
                  <w:noWrap w:val="0"/>
                  <w:vAlign w:val="center"/>
                </w:tcPr>
                <w:p w14:paraId="7D6B1EAF">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182.5</w:t>
                  </w:r>
                </w:p>
              </w:tc>
              <w:tc>
                <w:tcPr>
                  <w:tcW w:w="1152" w:type="dxa"/>
                  <w:tcBorders>
                    <w:top w:val="nil"/>
                    <w:left w:val="nil"/>
                    <w:bottom w:val="single" w:color="000000" w:sz="8" w:space="0"/>
                    <w:right w:val="single" w:color="000000" w:sz="8" w:space="0"/>
                  </w:tcBorders>
                  <w:noWrap w:val="0"/>
                  <w:vAlign w:val="center"/>
                </w:tcPr>
                <w:p w14:paraId="3D40B97D">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0.5</w:t>
                  </w:r>
                </w:p>
              </w:tc>
              <w:tc>
                <w:tcPr>
                  <w:tcW w:w="1191" w:type="dxa"/>
                  <w:tcBorders>
                    <w:top w:val="nil"/>
                    <w:left w:val="nil"/>
                    <w:bottom w:val="single" w:color="000000" w:sz="8" w:space="0"/>
                    <w:right w:val="single" w:color="000000" w:sz="8" w:space="0"/>
                  </w:tcBorders>
                  <w:noWrap w:val="0"/>
                  <w:vAlign w:val="center"/>
                </w:tcPr>
                <w:p w14:paraId="5A73BBCC">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36.5</w:t>
                  </w:r>
                </w:p>
              </w:tc>
              <w:tc>
                <w:tcPr>
                  <w:tcW w:w="1212" w:type="dxa"/>
                  <w:tcBorders>
                    <w:top w:val="nil"/>
                    <w:left w:val="nil"/>
                    <w:bottom w:val="single" w:color="000000" w:sz="8" w:space="0"/>
                    <w:right w:val="single" w:color="000000" w:sz="8" w:space="0"/>
                  </w:tcBorders>
                  <w:noWrap w:val="0"/>
                  <w:vAlign w:val="center"/>
                </w:tcPr>
                <w:p w14:paraId="353D30AD">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0.1</w:t>
                  </w:r>
                </w:p>
              </w:tc>
              <w:tc>
                <w:tcPr>
                  <w:tcW w:w="1191" w:type="dxa"/>
                  <w:tcBorders>
                    <w:top w:val="nil"/>
                    <w:left w:val="nil"/>
                    <w:bottom w:val="single" w:color="000000" w:sz="8" w:space="0"/>
                    <w:right w:val="single" w:color="000000" w:sz="8" w:space="0"/>
                  </w:tcBorders>
                  <w:noWrap w:val="0"/>
                  <w:vAlign w:val="center"/>
                </w:tcPr>
                <w:p w14:paraId="525C127F">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146</w:t>
                  </w:r>
                </w:p>
              </w:tc>
              <w:tc>
                <w:tcPr>
                  <w:tcW w:w="1271" w:type="dxa"/>
                  <w:tcBorders>
                    <w:top w:val="nil"/>
                    <w:left w:val="nil"/>
                    <w:bottom w:val="single" w:color="000000" w:sz="8" w:space="0"/>
                    <w:right w:val="single" w:color="000000" w:sz="8" w:space="0"/>
                  </w:tcBorders>
                  <w:noWrap w:val="0"/>
                  <w:vAlign w:val="center"/>
                </w:tcPr>
                <w:p w14:paraId="71559BE6">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0.4</w:t>
                  </w:r>
                </w:p>
              </w:tc>
            </w:tr>
            <w:tr w14:paraId="2A8D8E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1122" w:type="dxa"/>
                  <w:tcBorders>
                    <w:top w:val="nil"/>
                    <w:left w:val="single" w:color="000000" w:sz="8" w:space="0"/>
                    <w:bottom w:val="single" w:color="000000" w:sz="8" w:space="0"/>
                    <w:right w:val="single" w:color="000000" w:sz="8" w:space="0"/>
                  </w:tcBorders>
                  <w:noWrap w:val="0"/>
                  <w:vAlign w:val="center"/>
                </w:tcPr>
                <w:p w14:paraId="78783F1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合计</w:t>
                  </w:r>
                </w:p>
              </w:tc>
              <w:tc>
                <w:tcPr>
                  <w:tcW w:w="1004" w:type="dxa"/>
                  <w:tcBorders>
                    <w:top w:val="nil"/>
                    <w:left w:val="nil"/>
                    <w:bottom w:val="single" w:color="000000" w:sz="8" w:space="0"/>
                    <w:right w:val="single" w:color="000000" w:sz="8" w:space="0"/>
                  </w:tcBorders>
                  <w:noWrap w:val="0"/>
                  <w:vAlign w:val="center"/>
                </w:tcPr>
                <w:p w14:paraId="4906246E">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24791.529</w:t>
                  </w:r>
                </w:p>
              </w:tc>
              <w:tc>
                <w:tcPr>
                  <w:tcW w:w="1152" w:type="dxa"/>
                  <w:tcBorders>
                    <w:top w:val="nil"/>
                    <w:left w:val="nil"/>
                    <w:bottom w:val="single" w:color="000000" w:sz="8" w:space="0"/>
                    <w:right w:val="single" w:color="000000" w:sz="8" w:space="0"/>
                  </w:tcBorders>
                  <w:noWrap w:val="0"/>
                  <w:vAlign w:val="center"/>
                </w:tcPr>
                <w:p w14:paraId="1EBDE0CB">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67.922</w:t>
                  </w:r>
                </w:p>
              </w:tc>
              <w:tc>
                <w:tcPr>
                  <w:tcW w:w="1191" w:type="dxa"/>
                  <w:tcBorders>
                    <w:top w:val="nil"/>
                    <w:left w:val="nil"/>
                    <w:bottom w:val="single" w:color="000000" w:sz="8" w:space="0"/>
                    <w:right w:val="single" w:color="000000" w:sz="8" w:space="0"/>
                  </w:tcBorders>
                  <w:noWrap w:val="0"/>
                  <w:vAlign w:val="center"/>
                </w:tcPr>
                <w:p w14:paraId="5EDDF89C">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4890.52</w:t>
                  </w:r>
                </w:p>
              </w:tc>
              <w:tc>
                <w:tcPr>
                  <w:tcW w:w="1212" w:type="dxa"/>
                  <w:tcBorders>
                    <w:top w:val="nil"/>
                    <w:left w:val="nil"/>
                    <w:bottom w:val="single" w:color="000000" w:sz="8" w:space="0"/>
                    <w:right w:val="single" w:color="000000" w:sz="8" w:space="0"/>
                  </w:tcBorders>
                  <w:noWrap w:val="0"/>
                  <w:vAlign w:val="center"/>
                </w:tcPr>
                <w:p w14:paraId="45A738ED">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13.398</w:t>
                  </w:r>
                </w:p>
              </w:tc>
              <w:tc>
                <w:tcPr>
                  <w:tcW w:w="1191" w:type="dxa"/>
                  <w:tcBorders>
                    <w:top w:val="nil"/>
                    <w:left w:val="nil"/>
                    <w:bottom w:val="single" w:color="000000" w:sz="8" w:space="0"/>
                    <w:right w:val="single" w:color="000000" w:sz="8" w:space="0"/>
                  </w:tcBorders>
                  <w:noWrap w:val="0"/>
                  <w:vAlign w:val="center"/>
                </w:tcPr>
                <w:p w14:paraId="707AB796">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19901.009</w:t>
                  </w:r>
                </w:p>
              </w:tc>
              <w:tc>
                <w:tcPr>
                  <w:tcW w:w="1271" w:type="dxa"/>
                  <w:tcBorders>
                    <w:top w:val="nil"/>
                    <w:left w:val="nil"/>
                    <w:bottom w:val="single" w:color="000000" w:sz="8" w:space="0"/>
                    <w:right w:val="single" w:color="000000" w:sz="8" w:space="0"/>
                  </w:tcBorders>
                  <w:noWrap w:val="0"/>
                  <w:vAlign w:val="center"/>
                </w:tcPr>
                <w:p w14:paraId="51DCA1E5">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54.524</w:t>
                  </w:r>
                </w:p>
              </w:tc>
            </w:tr>
          </w:tbl>
          <w:p w14:paraId="05574146"/>
          <w:p w14:paraId="7D38A447">
            <w:pPr>
              <w:spacing w:line="240" w:lineRule="auto"/>
              <w:jc w:val="center"/>
              <w:rPr>
                <w:rFonts w:hint="eastAsia" w:ascii="Times New Roman"/>
                <w:b/>
                <w:color w:val="auto"/>
                <w:sz w:val="21"/>
                <w:highlight w:val="none"/>
              </w:rPr>
            </w:pPr>
            <w:r>
              <w:drawing>
                <wp:inline distT="0" distB="0" distL="114300" distR="114300">
                  <wp:extent cx="5219065" cy="4288155"/>
                  <wp:effectExtent l="0" t="0" r="635" b="17145"/>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10"/>
                          <a:stretch>
                            <a:fillRect/>
                          </a:stretch>
                        </pic:blipFill>
                        <pic:spPr>
                          <a:xfrm>
                            <a:off x="0" y="0"/>
                            <a:ext cx="5219065" cy="4288155"/>
                          </a:xfrm>
                          <a:prstGeom prst="rect">
                            <a:avLst/>
                          </a:prstGeom>
                          <a:noFill/>
                          <a:ln>
                            <a:noFill/>
                          </a:ln>
                        </pic:spPr>
                      </pic:pic>
                    </a:graphicData>
                  </a:graphic>
                </wp:inline>
              </w:drawing>
            </w:r>
            <w:r>
              <w:rPr>
                <w:rFonts w:ascii="Times New Roman"/>
                <w:b/>
                <w:color w:val="auto"/>
                <w:sz w:val="21"/>
                <w:highlight w:val="none"/>
              </w:rPr>
              <w:t>图2-1 项目水平衡图</w:t>
            </w:r>
            <w:r>
              <w:rPr>
                <w:rFonts w:hint="eastAsia" w:ascii="Times New Roman"/>
                <w:b/>
                <w:color w:val="auto"/>
                <w:sz w:val="21"/>
                <w:highlight w:val="none"/>
              </w:rPr>
              <w:t>（t/d）</w:t>
            </w:r>
          </w:p>
          <w:p w14:paraId="53C9DE3B">
            <w:pPr>
              <w:spacing w:line="240" w:lineRule="auto"/>
              <w:ind w:firstLine="2741" w:firstLineChars="1300"/>
              <w:rPr>
                <w:rFonts w:hint="eastAsia" w:ascii="Times New Roman"/>
                <w:b/>
                <w:color w:val="auto"/>
                <w:highlight w:val="none"/>
              </w:rPr>
            </w:pPr>
          </w:p>
          <w:p w14:paraId="5341CE92">
            <w:pPr>
              <w:numPr>
                <w:ilvl w:val="0"/>
                <w:numId w:val="0"/>
              </w:numPr>
              <w:spacing w:line="360" w:lineRule="auto"/>
              <w:ind w:firstLine="482" w:firstLineChars="200"/>
              <w:rPr>
                <w:rFonts w:hint="eastAsia"/>
                <w:b/>
                <w:bCs/>
                <w:color w:val="auto"/>
                <w:sz w:val="24"/>
                <w:highlight w:val="none"/>
              </w:rPr>
            </w:pPr>
            <w:r>
              <w:rPr>
                <w:rFonts w:hint="eastAsia"/>
                <w:b/>
                <w:bCs/>
                <w:color w:val="auto"/>
                <w:sz w:val="24"/>
                <w:highlight w:val="none"/>
                <w:lang w:val="en-US" w:eastAsia="zh-CN"/>
              </w:rPr>
              <w:t>9.</w:t>
            </w:r>
            <w:r>
              <w:rPr>
                <w:rFonts w:hint="eastAsia"/>
                <w:b/>
                <w:bCs/>
                <w:color w:val="auto"/>
                <w:sz w:val="24"/>
                <w:highlight w:val="none"/>
              </w:rPr>
              <w:t>总平面布置</w:t>
            </w:r>
          </w:p>
          <w:p w14:paraId="6498B11E">
            <w:pPr>
              <w:spacing w:line="360" w:lineRule="auto"/>
              <w:ind w:firstLine="480" w:firstLineChars="200"/>
              <w:jc w:val="both"/>
              <w:rPr>
                <w:rFonts w:hint="eastAsia" w:eastAsia="宋体"/>
                <w:sz w:val="24"/>
                <w:highlight w:val="none"/>
                <w:lang w:eastAsia="zh-CN"/>
              </w:rPr>
            </w:pPr>
            <w:r>
              <w:rPr>
                <w:rFonts w:hint="eastAsia"/>
                <w:color w:val="auto"/>
                <w:kern w:val="0"/>
                <w:sz w:val="24"/>
                <w:highlight w:val="none"/>
                <w:lang w:eastAsia="zh-CN"/>
              </w:rPr>
              <w:t>项目位于</w:t>
            </w:r>
            <w:r>
              <w:rPr>
                <w:rFonts w:hint="eastAsia" w:eastAsia="宋体"/>
                <w:sz w:val="24"/>
                <w:highlight w:val="none"/>
                <w:lang w:val="en-US" w:eastAsia="zh-CN"/>
              </w:rPr>
              <w:t>淮南市潘集区芦集镇潘三矿</w:t>
            </w:r>
            <w:r>
              <w:rPr>
                <w:rFonts w:hint="eastAsia" w:eastAsia="宋体"/>
                <w:sz w:val="24"/>
                <w:highlight w:val="none"/>
                <w:lang w:eastAsia="zh-CN"/>
              </w:rPr>
              <w:t>，</w:t>
            </w:r>
            <w:r>
              <w:rPr>
                <w:rFonts w:hint="eastAsia" w:eastAsia="宋体"/>
                <w:sz w:val="24"/>
                <w:highlight w:val="none"/>
                <w:lang w:val="en-US" w:eastAsia="zh-CN"/>
              </w:rPr>
              <w:t>院区设有门诊楼1栋（共2层），住院楼1栋（共4层），门诊楼1层主要布置各科室门诊、急症，2层设置理疗区和检验区。住院楼4层均为病房。</w:t>
            </w:r>
            <w:r>
              <w:rPr>
                <w:rFonts w:hint="eastAsia" w:eastAsia="宋体"/>
                <w:sz w:val="24"/>
                <w:highlight w:val="none"/>
                <w:lang w:eastAsia="zh-CN"/>
              </w:rPr>
              <w:t>并在院区空地建设化粪池、污水处理站、应急事故池（具体见附图</w:t>
            </w:r>
            <w:r>
              <w:rPr>
                <w:rFonts w:hint="eastAsia" w:eastAsia="宋体"/>
                <w:sz w:val="24"/>
                <w:highlight w:val="none"/>
                <w:lang w:val="en-US" w:eastAsia="zh-CN"/>
              </w:rPr>
              <w:t>2</w:t>
            </w:r>
            <w:r>
              <w:rPr>
                <w:rFonts w:hint="eastAsia" w:eastAsia="宋体"/>
                <w:sz w:val="24"/>
                <w:highlight w:val="none"/>
                <w:lang w:eastAsia="zh-CN"/>
              </w:rPr>
              <w:t>）。</w:t>
            </w:r>
          </w:p>
          <w:p w14:paraId="2703E958">
            <w:pPr>
              <w:pStyle w:val="9"/>
              <w:spacing w:line="360" w:lineRule="auto"/>
              <w:ind w:firstLine="480" w:firstLineChars="200"/>
              <w:rPr>
                <w:rFonts w:hint="default"/>
                <w:sz w:val="24"/>
                <w:szCs w:val="24"/>
                <w:highlight w:val="none"/>
                <w:lang w:val="en-US" w:eastAsia="zh-CN"/>
              </w:rPr>
            </w:pPr>
            <w:r>
              <w:rPr>
                <w:rFonts w:ascii="Times New Roman" w:hAnsi="Times New Roman"/>
                <w:sz w:val="24"/>
                <w:szCs w:val="24"/>
                <w:highlight w:val="none"/>
              </w:rPr>
              <w:t>项目建筑布局合理，节约用地；项目功能分区明确，科学地组织人流和物流，避免或减少交叉感染；建筑布局紧凑，交通便捷，方便管理，减少能耗；项目建筑朝向、间距、通风、采光和绿化满足相关标准要求，保证住院、功能检查等用房环境安静，病房获得良好的朝向</w:t>
            </w:r>
            <w:r>
              <w:rPr>
                <w:rFonts w:hint="eastAsia" w:ascii="Times New Roman" w:hAnsi="Times New Roman"/>
                <w:sz w:val="24"/>
                <w:szCs w:val="24"/>
                <w:highlight w:val="none"/>
              </w:rPr>
              <w:t>。</w:t>
            </w:r>
          </w:p>
          <w:p w14:paraId="267DE55F">
            <w:pPr>
              <w:spacing w:line="360" w:lineRule="auto"/>
              <w:ind w:firstLine="480" w:firstLineChars="200"/>
              <w:rPr>
                <w:rFonts w:hint="eastAsia"/>
                <w:color w:val="auto"/>
                <w:sz w:val="24"/>
              </w:rPr>
            </w:pPr>
          </w:p>
        </w:tc>
      </w:tr>
      <w:tr w14:paraId="7CBBEA1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148" w:hRule="atLeast"/>
          <w:jc w:val="center"/>
        </w:trPr>
        <w:tc>
          <w:tcPr>
            <w:tcW w:w="619" w:type="dxa"/>
            <w:noWrap w:val="0"/>
            <w:vAlign w:val="center"/>
          </w:tcPr>
          <w:p w14:paraId="10A5A606">
            <w:pPr>
              <w:pStyle w:val="13"/>
              <w:adjustRightInd w:val="0"/>
              <w:snapToGrid w:val="0"/>
              <w:spacing w:before="0" w:beforeAutospacing="0" w:after="0" w:afterAutospacing="0"/>
              <w:jc w:val="center"/>
              <w:rPr>
                <w:rFonts w:ascii="Times New Roman" w:hAnsi="Times New Roman"/>
                <w:sz w:val="21"/>
                <w:szCs w:val="21"/>
              </w:rPr>
            </w:pPr>
            <w:r>
              <w:rPr>
                <w:rFonts w:ascii="Times New Roman" w:hAnsi="Times New Roman"/>
                <w:sz w:val="21"/>
                <w:szCs w:val="21"/>
              </w:rPr>
              <w:t>艺流程和产排污环节</w:t>
            </w:r>
          </w:p>
        </w:tc>
        <w:tc>
          <w:tcPr>
            <w:tcW w:w="8441" w:type="dxa"/>
            <w:noWrap w:val="0"/>
            <w:vAlign w:val="top"/>
          </w:tcPr>
          <w:p w14:paraId="2F5ADBD0">
            <w:pPr>
              <w:pStyle w:val="19"/>
              <w:numPr>
                <w:ilvl w:val="0"/>
                <w:numId w:val="6"/>
              </w:numPr>
              <w:ind w:firstLine="560" w:firstLineChars="200"/>
              <w:rPr>
                <w:rFonts w:hint="eastAsia" w:ascii="Times New Roman"/>
                <w:highlight w:val="none"/>
              </w:rPr>
            </w:pPr>
            <w:r>
              <w:rPr>
                <w:rFonts w:hint="eastAsia" w:ascii="Times New Roman"/>
                <w:highlight w:val="none"/>
              </w:rPr>
              <w:t>运营期生产工艺流程</w:t>
            </w:r>
          </w:p>
          <w:p w14:paraId="53A730A0">
            <w:pPr>
              <w:pStyle w:val="20"/>
              <w:ind w:firstLine="480"/>
              <w:rPr>
                <w:rFonts w:ascii="Times New Roman" w:hAnsi="Times New Roman"/>
              </w:rPr>
            </w:pPr>
            <w:r>
              <w:rPr>
                <w:rFonts w:ascii="Times New Roman" w:hAnsi="Times New Roman"/>
              </w:rPr>
              <w:t>项目营运期主要工作流程及产污环节详见下图。</w:t>
            </w:r>
          </w:p>
          <w:p w14:paraId="13901FFB">
            <w:pPr>
              <w:pStyle w:val="20"/>
              <w:ind w:firstLine="0" w:firstLineChars="0"/>
              <w:jc w:val="center"/>
              <w:rPr>
                <w:highlight w:val="none"/>
              </w:rPr>
            </w:pPr>
            <w:r>
              <w:rPr>
                <w:highlight w:val="none"/>
              </w:rPr>
              <w:drawing>
                <wp:anchor distT="0" distB="0" distL="114300" distR="114300" simplePos="0" relativeHeight="251661312" behindDoc="0" locked="0" layoutInCell="1" allowOverlap="1">
                  <wp:simplePos x="0" y="0"/>
                  <wp:positionH relativeFrom="column">
                    <wp:posOffset>33655</wp:posOffset>
                  </wp:positionH>
                  <wp:positionV relativeFrom="paragraph">
                    <wp:posOffset>74930</wp:posOffset>
                  </wp:positionV>
                  <wp:extent cx="5210175" cy="5267325"/>
                  <wp:effectExtent l="0" t="0" r="9525" b="9525"/>
                  <wp:wrapTopAndBottom/>
                  <wp:docPr id="60"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7"/>
                          <pic:cNvPicPr>
                            <a:picLocks noChangeAspect="1"/>
                          </pic:cNvPicPr>
                        </pic:nvPicPr>
                        <pic:blipFill>
                          <a:blip r:embed="rId11"/>
                          <a:stretch>
                            <a:fillRect/>
                          </a:stretch>
                        </pic:blipFill>
                        <pic:spPr>
                          <a:xfrm>
                            <a:off x="0" y="0"/>
                            <a:ext cx="5210175" cy="5267325"/>
                          </a:xfrm>
                          <a:prstGeom prst="rect">
                            <a:avLst/>
                          </a:prstGeom>
                          <a:noFill/>
                          <a:ln>
                            <a:noFill/>
                          </a:ln>
                        </pic:spPr>
                      </pic:pic>
                    </a:graphicData>
                  </a:graphic>
                </wp:anchor>
              </w:drawing>
            </w:r>
            <w:r>
              <w:rPr>
                <w:b/>
                <w:bCs/>
                <w:sz w:val="21"/>
                <w:szCs w:val="21"/>
                <w:highlight w:val="none"/>
              </w:rPr>
              <w:t>图2-</w:t>
            </w:r>
            <w:r>
              <w:rPr>
                <w:rFonts w:hint="eastAsia"/>
                <w:b/>
                <w:bCs/>
                <w:sz w:val="21"/>
                <w:szCs w:val="21"/>
                <w:highlight w:val="none"/>
                <w:lang w:val="en-US" w:eastAsia="zh-CN"/>
              </w:rPr>
              <w:t>2</w:t>
            </w:r>
            <w:r>
              <w:rPr>
                <w:b/>
                <w:bCs/>
                <w:sz w:val="21"/>
                <w:szCs w:val="21"/>
                <w:highlight w:val="none"/>
              </w:rPr>
              <w:t xml:space="preserve"> </w:t>
            </w:r>
            <w:r>
              <w:rPr>
                <w:rFonts w:hint="eastAsia"/>
                <w:b/>
                <w:bCs/>
                <w:sz w:val="21"/>
                <w:szCs w:val="21"/>
                <w:highlight w:val="none"/>
                <w:lang w:val="en-US" w:eastAsia="zh-CN"/>
              </w:rPr>
              <w:t>运营就诊和产污环节流程图</w:t>
            </w:r>
          </w:p>
          <w:p w14:paraId="4EC555B9">
            <w:pPr>
              <w:pStyle w:val="23"/>
              <w:ind w:firstLine="482" w:firstLineChars="200"/>
              <w:rPr>
                <w:rFonts w:hint="eastAsia" w:ascii="Times New Roman" w:hAnsi="Times New Roman" w:eastAsia="宋体" w:cs="Times New Roman"/>
                <w:color w:val="auto"/>
                <w:kern w:val="2"/>
                <w:sz w:val="24"/>
                <w:szCs w:val="24"/>
                <w:highlight w:val="none"/>
                <w:lang w:val="zh-CN" w:eastAsia="zh-CN" w:bidi="ar-SA"/>
              </w:rPr>
            </w:pPr>
            <w:r>
              <w:rPr>
                <w:rFonts w:hint="eastAsia" w:ascii="Times New Roman" w:hAnsi="Times New Roman" w:eastAsia="宋体" w:cs="Times New Roman"/>
                <w:color w:val="auto"/>
                <w:kern w:val="2"/>
                <w:sz w:val="24"/>
                <w:szCs w:val="24"/>
                <w:highlight w:val="none"/>
                <w:lang w:val="zh-CN" w:eastAsia="zh-CN" w:bidi="ar-SA"/>
              </w:rPr>
              <w:t>就诊流程分析</w:t>
            </w:r>
          </w:p>
          <w:p w14:paraId="4FDB9868">
            <w:pPr>
              <w:keepNext w:val="0"/>
              <w:keepLines w:val="0"/>
              <w:pageBreakBefore w:val="0"/>
              <w:widowControl w:val="0"/>
              <w:numPr>
                <w:ilvl w:val="0"/>
                <w:numId w:val="0"/>
              </w:numPr>
              <w:kinsoku/>
              <w:wordWrap/>
              <w:overflowPunct/>
              <w:topLinePunct w:val="0"/>
              <w:autoSpaceDE/>
              <w:autoSpaceDN/>
              <w:bidi w:val="0"/>
              <w:adjustRightInd/>
              <w:snapToGrid/>
              <w:spacing w:before="0" w:beforeLines="0" w:after="0" w:afterLines="0" w:line="360" w:lineRule="auto"/>
              <w:ind w:left="0" w:leftChars="0" w:right="0" w:rightChars="0" w:firstLine="480" w:firstLineChars="200"/>
              <w:jc w:val="both"/>
              <w:textAlignment w:val="auto"/>
              <w:outlineLvl w:val="9"/>
              <w:rPr>
                <w:rFonts w:hint="default" w:ascii="Times New Roman" w:hAnsi="Times New Roman" w:eastAsia="宋体" w:cs="Times New Roman"/>
                <w:color w:val="auto"/>
                <w:kern w:val="2"/>
                <w:sz w:val="24"/>
                <w:szCs w:val="24"/>
                <w:highlight w:val="none"/>
                <w:lang w:val="zh-CN" w:eastAsia="zh-CN" w:bidi="ar-SA"/>
              </w:rPr>
            </w:pPr>
            <w:r>
              <w:rPr>
                <w:rFonts w:hint="default" w:ascii="Times New Roman" w:hAnsi="Times New Roman" w:eastAsia="宋体" w:cs="Times New Roman"/>
                <w:color w:val="auto"/>
                <w:kern w:val="2"/>
                <w:sz w:val="24"/>
                <w:szCs w:val="24"/>
                <w:highlight w:val="none"/>
                <w:lang w:val="zh-CN" w:eastAsia="zh-CN" w:bidi="ar-SA"/>
              </w:rPr>
              <w:t>挂号：项目患者来院后进行挂号，按序就医。病人在候诊过程中会产生生活垃圾及生活污水。</w:t>
            </w:r>
          </w:p>
          <w:p w14:paraId="09DAC320">
            <w:pPr>
              <w:keepNext w:val="0"/>
              <w:keepLines w:val="0"/>
              <w:pageBreakBefore w:val="0"/>
              <w:widowControl w:val="0"/>
              <w:numPr>
                <w:ilvl w:val="0"/>
                <w:numId w:val="0"/>
              </w:numPr>
              <w:kinsoku/>
              <w:wordWrap/>
              <w:overflowPunct/>
              <w:topLinePunct w:val="0"/>
              <w:autoSpaceDE/>
              <w:autoSpaceDN/>
              <w:bidi w:val="0"/>
              <w:adjustRightInd/>
              <w:snapToGrid/>
              <w:spacing w:before="0" w:beforeLines="0" w:after="0" w:afterLines="0" w:line="360" w:lineRule="auto"/>
              <w:ind w:left="0" w:leftChars="0" w:right="0" w:rightChars="0" w:firstLine="480" w:firstLineChars="200"/>
              <w:jc w:val="both"/>
              <w:textAlignment w:val="auto"/>
              <w:outlineLvl w:val="9"/>
              <w:rPr>
                <w:rFonts w:hint="default" w:ascii="Times New Roman" w:hAnsi="Times New Roman" w:eastAsia="宋体" w:cs="Times New Roman"/>
                <w:color w:val="auto"/>
                <w:kern w:val="2"/>
                <w:sz w:val="24"/>
                <w:szCs w:val="24"/>
                <w:highlight w:val="none"/>
                <w:lang w:val="zh-CN" w:eastAsia="zh-CN" w:bidi="ar-SA"/>
              </w:rPr>
            </w:pPr>
            <w:r>
              <w:rPr>
                <w:rFonts w:hint="default" w:ascii="Times New Roman" w:hAnsi="Times New Roman" w:eastAsia="宋体" w:cs="Times New Roman"/>
                <w:color w:val="auto"/>
                <w:kern w:val="2"/>
                <w:sz w:val="24"/>
                <w:szCs w:val="24"/>
                <w:highlight w:val="none"/>
                <w:lang w:val="zh-CN" w:eastAsia="zh-CN" w:bidi="ar-SA"/>
              </w:rPr>
              <w:t>门诊：医生对病人进行诊断，根据病情开具检查、检验项目。</w:t>
            </w:r>
          </w:p>
          <w:p w14:paraId="29229D2D">
            <w:pPr>
              <w:keepNext w:val="0"/>
              <w:keepLines w:val="0"/>
              <w:pageBreakBefore w:val="0"/>
              <w:widowControl w:val="0"/>
              <w:numPr>
                <w:ilvl w:val="0"/>
                <w:numId w:val="0"/>
              </w:numPr>
              <w:kinsoku/>
              <w:wordWrap/>
              <w:overflowPunct/>
              <w:topLinePunct w:val="0"/>
              <w:autoSpaceDE/>
              <w:autoSpaceDN/>
              <w:bidi w:val="0"/>
              <w:adjustRightInd/>
              <w:snapToGrid/>
              <w:spacing w:before="0" w:beforeLines="0" w:after="0" w:afterLines="0" w:line="360" w:lineRule="auto"/>
              <w:ind w:left="0" w:leftChars="0" w:right="0" w:rightChars="0" w:firstLine="480" w:firstLineChars="200"/>
              <w:jc w:val="both"/>
              <w:textAlignment w:val="auto"/>
              <w:outlineLvl w:val="9"/>
              <w:rPr>
                <w:rFonts w:hint="default" w:ascii="Times New Roman" w:hAnsi="Times New Roman" w:eastAsia="宋体" w:cs="Times New Roman"/>
                <w:color w:val="auto"/>
                <w:kern w:val="2"/>
                <w:sz w:val="24"/>
                <w:szCs w:val="24"/>
                <w:highlight w:val="none"/>
                <w:lang w:val="zh-CN" w:eastAsia="zh-CN" w:bidi="ar-SA"/>
              </w:rPr>
            </w:pPr>
            <w:r>
              <w:rPr>
                <w:rFonts w:hint="default" w:ascii="Times New Roman" w:hAnsi="Times New Roman" w:eastAsia="宋体" w:cs="Times New Roman"/>
                <w:color w:val="auto"/>
                <w:kern w:val="2"/>
                <w:sz w:val="24"/>
                <w:szCs w:val="24"/>
                <w:highlight w:val="none"/>
                <w:lang w:val="zh-CN" w:eastAsia="zh-CN" w:bidi="ar-SA"/>
              </w:rPr>
              <w:t>检验、诊断：患者根据医嘱进行检验（血常规、尿常规等），检验完成后由医生进行诊断。此环节会产生检验废水、检验废液及医疗废物。</w:t>
            </w:r>
          </w:p>
          <w:p w14:paraId="5639D556">
            <w:pPr>
              <w:keepNext w:val="0"/>
              <w:keepLines w:val="0"/>
              <w:pageBreakBefore w:val="0"/>
              <w:widowControl w:val="0"/>
              <w:numPr>
                <w:ilvl w:val="0"/>
                <w:numId w:val="0"/>
              </w:numPr>
              <w:kinsoku/>
              <w:wordWrap/>
              <w:overflowPunct/>
              <w:topLinePunct w:val="0"/>
              <w:autoSpaceDE/>
              <w:autoSpaceDN/>
              <w:bidi w:val="0"/>
              <w:adjustRightInd/>
              <w:snapToGrid/>
              <w:spacing w:before="0" w:beforeLines="0" w:after="0" w:afterLines="0" w:line="360" w:lineRule="auto"/>
              <w:ind w:left="0" w:leftChars="0" w:right="0" w:rightChars="0" w:firstLine="480" w:firstLineChars="200"/>
              <w:jc w:val="both"/>
              <w:textAlignment w:val="auto"/>
              <w:outlineLvl w:val="9"/>
              <w:rPr>
                <w:rFonts w:hint="default" w:ascii="Times New Roman" w:hAnsi="Times New Roman" w:eastAsia="宋体" w:cs="Times New Roman"/>
                <w:color w:val="auto"/>
                <w:kern w:val="2"/>
                <w:sz w:val="24"/>
                <w:szCs w:val="24"/>
                <w:highlight w:val="none"/>
                <w:lang w:val="zh-CN" w:eastAsia="zh-CN" w:bidi="ar-SA"/>
              </w:rPr>
            </w:pPr>
            <w:r>
              <w:rPr>
                <w:rFonts w:hint="default" w:ascii="Times New Roman" w:hAnsi="Times New Roman" w:eastAsia="宋体" w:cs="Times New Roman"/>
                <w:color w:val="auto"/>
                <w:kern w:val="2"/>
                <w:sz w:val="24"/>
                <w:szCs w:val="24"/>
                <w:highlight w:val="none"/>
                <w:lang w:val="zh-CN" w:eastAsia="zh-CN" w:bidi="ar-SA"/>
              </w:rPr>
              <w:t>入院/手术/治疗：根据诊断结果，患者选择取药离院，或办理入院接受进一步治疗。需手术的患者进入手术室进行手术治疗，术后转入病房住院护理。此环节会产生病房废水、手术室废水、医疗废物及生活垃圾。</w:t>
            </w:r>
          </w:p>
          <w:p w14:paraId="67586C2A">
            <w:pPr>
              <w:keepNext w:val="0"/>
              <w:keepLines w:val="0"/>
              <w:pageBreakBefore w:val="0"/>
              <w:widowControl w:val="0"/>
              <w:numPr>
                <w:ilvl w:val="0"/>
                <w:numId w:val="0"/>
              </w:numPr>
              <w:kinsoku/>
              <w:wordWrap/>
              <w:overflowPunct/>
              <w:topLinePunct w:val="0"/>
              <w:autoSpaceDE/>
              <w:autoSpaceDN/>
              <w:bidi w:val="0"/>
              <w:adjustRightInd/>
              <w:snapToGrid/>
              <w:spacing w:before="0" w:beforeLines="0" w:after="0" w:afterLines="0" w:line="360" w:lineRule="auto"/>
              <w:ind w:left="0" w:leftChars="0" w:right="0" w:rightChars="0" w:firstLine="480" w:firstLineChars="200"/>
              <w:jc w:val="both"/>
              <w:textAlignment w:val="auto"/>
              <w:outlineLvl w:val="9"/>
              <w:rPr>
                <w:rFonts w:hint="default" w:ascii="Times New Roman" w:hAnsi="Times New Roman" w:eastAsia="宋体" w:cs="Times New Roman"/>
                <w:color w:val="auto"/>
                <w:kern w:val="2"/>
                <w:sz w:val="24"/>
                <w:szCs w:val="24"/>
                <w:highlight w:val="none"/>
                <w:lang w:val="zh-CN" w:eastAsia="zh-CN" w:bidi="ar-SA"/>
              </w:rPr>
            </w:pPr>
            <w:r>
              <w:rPr>
                <w:rFonts w:hint="default" w:ascii="Times New Roman" w:hAnsi="Times New Roman" w:eastAsia="宋体" w:cs="Times New Roman"/>
                <w:color w:val="auto"/>
                <w:kern w:val="2"/>
                <w:sz w:val="24"/>
                <w:szCs w:val="24"/>
                <w:highlight w:val="none"/>
                <w:lang w:val="zh-CN" w:eastAsia="zh-CN" w:bidi="ar-SA"/>
              </w:rPr>
              <w:t>住院、护理：住院患者接受日常治疗和护理，定期复诊。</w:t>
            </w:r>
          </w:p>
          <w:p w14:paraId="6A57E338">
            <w:pPr>
              <w:keepNext w:val="0"/>
              <w:keepLines w:val="0"/>
              <w:pageBreakBefore w:val="0"/>
              <w:widowControl w:val="0"/>
              <w:numPr>
                <w:ilvl w:val="0"/>
                <w:numId w:val="0"/>
              </w:numPr>
              <w:kinsoku/>
              <w:wordWrap/>
              <w:overflowPunct/>
              <w:topLinePunct w:val="0"/>
              <w:autoSpaceDE/>
              <w:autoSpaceDN/>
              <w:bidi w:val="0"/>
              <w:adjustRightInd/>
              <w:snapToGrid/>
              <w:spacing w:before="0" w:beforeLines="0" w:after="0" w:afterLines="0" w:line="360" w:lineRule="auto"/>
              <w:ind w:left="0" w:leftChars="0" w:right="0" w:rightChars="0" w:firstLine="480" w:firstLineChars="200"/>
              <w:jc w:val="both"/>
              <w:textAlignment w:val="auto"/>
              <w:outlineLvl w:val="9"/>
              <w:rPr>
                <w:rFonts w:hint="default" w:ascii="Times New Roman" w:hAnsi="Times New Roman" w:eastAsia="宋体" w:cs="Times New Roman"/>
                <w:color w:val="auto"/>
                <w:kern w:val="2"/>
                <w:sz w:val="24"/>
                <w:szCs w:val="24"/>
                <w:highlight w:val="none"/>
                <w:lang w:val="zh-CN" w:eastAsia="zh-CN" w:bidi="ar-SA"/>
              </w:rPr>
            </w:pPr>
            <w:r>
              <w:rPr>
                <w:rFonts w:hint="default" w:ascii="Times New Roman" w:hAnsi="Times New Roman" w:eastAsia="宋体" w:cs="Times New Roman"/>
                <w:color w:val="auto"/>
                <w:kern w:val="2"/>
                <w:sz w:val="24"/>
                <w:szCs w:val="24"/>
                <w:highlight w:val="none"/>
                <w:lang w:val="zh-CN" w:eastAsia="zh-CN" w:bidi="ar-SA"/>
              </w:rPr>
              <w:t>复诊、出院：医生根据恢复情况安排复诊，确认康复后办理出院。</w:t>
            </w:r>
          </w:p>
          <w:p w14:paraId="586715AD">
            <w:pPr>
              <w:keepNext w:val="0"/>
              <w:keepLines w:val="0"/>
              <w:pageBreakBefore w:val="0"/>
              <w:widowControl w:val="0"/>
              <w:numPr>
                <w:ilvl w:val="0"/>
                <w:numId w:val="0"/>
              </w:numPr>
              <w:kinsoku/>
              <w:wordWrap/>
              <w:overflowPunct/>
              <w:topLinePunct w:val="0"/>
              <w:autoSpaceDE/>
              <w:autoSpaceDN/>
              <w:bidi w:val="0"/>
              <w:adjustRightInd/>
              <w:snapToGrid/>
              <w:spacing w:before="0" w:beforeLines="0" w:after="0" w:afterLines="0" w:line="360" w:lineRule="auto"/>
              <w:ind w:left="0" w:leftChars="0" w:right="0" w:rightChars="0" w:firstLine="480" w:firstLineChars="200"/>
              <w:jc w:val="both"/>
              <w:textAlignment w:val="auto"/>
              <w:outlineLvl w:val="9"/>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zh-CN" w:eastAsia="zh-CN" w:bidi="ar-SA"/>
              </w:rPr>
              <w:t>本项目不设传染科、不接收传染病人，无涉重检验废液。</w:t>
            </w:r>
          </w:p>
          <w:p w14:paraId="5643007B">
            <w:pPr>
              <w:widowControl/>
              <w:ind w:firstLine="422" w:firstLineChars="200"/>
              <w:jc w:val="center"/>
              <w:rPr>
                <w:b/>
                <w:color w:val="auto"/>
                <w:szCs w:val="21"/>
                <w:highlight w:val="none"/>
              </w:rPr>
            </w:pPr>
            <w:r>
              <w:rPr>
                <w:b/>
                <w:color w:val="auto"/>
                <w:szCs w:val="21"/>
                <w:highlight w:val="none"/>
              </w:rPr>
              <w:t>表2</w:t>
            </w:r>
            <w:r>
              <w:rPr>
                <w:rFonts w:hint="eastAsia"/>
                <w:b/>
                <w:color w:val="auto"/>
                <w:szCs w:val="21"/>
                <w:highlight w:val="none"/>
              </w:rPr>
              <w:t>-</w:t>
            </w:r>
            <w:r>
              <w:rPr>
                <w:rFonts w:hint="eastAsia"/>
                <w:b/>
                <w:color w:val="auto"/>
                <w:szCs w:val="21"/>
                <w:highlight w:val="none"/>
                <w:lang w:val="en-US" w:eastAsia="zh-CN"/>
              </w:rPr>
              <w:t>8</w:t>
            </w:r>
            <w:r>
              <w:rPr>
                <w:b/>
                <w:color w:val="auto"/>
                <w:szCs w:val="21"/>
                <w:highlight w:val="none"/>
              </w:rPr>
              <w:t xml:space="preserve"> 污染物产生环节及处置措施一览表</w:t>
            </w:r>
          </w:p>
          <w:tbl>
            <w:tblPr>
              <w:tblStyle w:val="14"/>
              <w:tblW w:w="499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2"/>
              <w:gridCol w:w="1184"/>
              <w:gridCol w:w="2018"/>
              <w:gridCol w:w="4133"/>
            </w:tblGrid>
            <w:tr w14:paraId="42CBDD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31" w:type="pct"/>
                  <w:noWrap w:val="0"/>
                  <w:vAlign w:val="center"/>
                </w:tcPr>
                <w:p w14:paraId="7CDBD6A9">
                  <w:pPr>
                    <w:pStyle w:val="23"/>
                    <w:spacing w:line="240" w:lineRule="auto"/>
                    <w:ind w:firstLine="0"/>
                    <w:jc w:val="center"/>
                    <w:rPr>
                      <w:rFonts w:ascii="Times New Roman" w:hAnsi="Times New Roman"/>
                      <w:b w:val="0"/>
                      <w:bCs/>
                      <w:color w:val="auto"/>
                      <w:sz w:val="21"/>
                      <w:szCs w:val="21"/>
                      <w:highlight w:val="none"/>
                    </w:rPr>
                  </w:pPr>
                  <w:r>
                    <w:rPr>
                      <w:rFonts w:hint="eastAsia" w:ascii="Times New Roman" w:hAnsi="Times New Roman"/>
                      <w:b w:val="0"/>
                      <w:bCs/>
                      <w:color w:val="auto"/>
                      <w:sz w:val="21"/>
                      <w:szCs w:val="21"/>
                      <w:highlight w:val="none"/>
                    </w:rPr>
                    <w:t>类别</w:t>
                  </w:r>
                </w:p>
              </w:tc>
              <w:tc>
                <w:tcPr>
                  <w:tcW w:w="721" w:type="pct"/>
                  <w:noWrap w:val="0"/>
                  <w:vAlign w:val="center"/>
                </w:tcPr>
                <w:p w14:paraId="7A56F2F5">
                  <w:pPr>
                    <w:pStyle w:val="23"/>
                    <w:spacing w:line="240" w:lineRule="auto"/>
                    <w:ind w:firstLine="0"/>
                    <w:jc w:val="center"/>
                    <w:rPr>
                      <w:rFonts w:ascii="Times New Roman" w:hAnsi="Times New Roman"/>
                      <w:b w:val="0"/>
                      <w:bCs/>
                      <w:color w:val="auto"/>
                      <w:sz w:val="21"/>
                      <w:szCs w:val="21"/>
                      <w:highlight w:val="none"/>
                    </w:rPr>
                  </w:pPr>
                  <w:r>
                    <w:rPr>
                      <w:rFonts w:ascii="Times New Roman" w:hAnsi="Times New Roman"/>
                      <w:b w:val="0"/>
                      <w:bCs/>
                      <w:color w:val="auto"/>
                      <w:sz w:val="21"/>
                      <w:szCs w:val="21"/>
                      <w:highlight w:val="none"/>
                    </w:rPr>
                    <w:t>产生环节</w:t>
                  </w:r>
                </w:p>
              </w:tc>
              <w:tc>
                <w:tcPr>
                  <w:tcW w:w="1229" w:type="pct"/>
                  <w:noWrap w:val="0"/>
                  <w:vAlign w:val="center"/>
                </w:tcPr>
                <w:p w14:paraId="490604C6">
                  <w:pPr>
                    <w:pStyle w:val="23"/>
                    <w:spacing w:line="240" w:lineRule="auto"/>
                    <w:ind w:firstLine="0"/>
                    <w:jc w:val="center"/>
                    <w:rPr>
                      <w:rFonts w:ascii="Times New Roman" w:hAnsi="Times New Roman"/>
                      <w:b w:val="0"/>
                      <w:bCs/>
                      <w:color w:val="auto"/>
                      <w:sz w:val="21"/>
                      <w:szCs w:val="21"/>
                      <w:highlight w:val="none"/>
                    </w:rPr>
                  </w:pPr>
                  <w:r>
                    <w:rPr>
                      <w:rFonts w:ascii="Times New Roman" w:hAnsi="Times New Roman"/>
                      <w:b w:val="0"/>
                      <w:bCs/>
                      <w:color w:val="auto"/>
                      <w:sz w:val="21"/>
                      <w:szCs w:val="21"/>
                      <w:highlight w:val="none"/>
                    </w:rPr>
                    <w:t>主要污染物</w:t>
                  </w:r>
                </w:p>
              </w:tc>
              <w:tc>
                <w:tcPr>
                  <w:tcW w:w="2517" w:type="pct"/>
                  <w:noWrap w:val="0"/>
                  <w:vAlign w:val="center"/>
                </w:tcPr>
                <w:p w14:paraId="75DEC355">
                  <w:pPr>
                    <w:pStyle w:val="23"/>
                    <w:spacing w:line="240" w:lineRule="auto"/>
                    <w:ind w:firstLine="0"/>
                    <w:jc w:val="center"/>
                    <w:rPr>
                      <w:rFonts w:ascii="Times New Roman" w:hAnsi="Times New Roman"/>
                      <w:b w:val="0"/>
                      <w:bCs/>
                      <w:color w:val="auto"/>
                      <w:sz w:val="21"/>
                      <w:szCs w:val="21"/>
                      <w:highlight w:val="none"/>
                    </w:rPr>
                  </w:pPr>
                  <w:r>
                    <w:rPr>
                      <w:rFonts w:ascii="Times New Roman" w:hAnsi="Times New Roman"/>
                      <w:b w:val="0"/>
                      <w:bCs/>
                      <w:color w:val="auto"/>
                      <w:sz w:val="21"/>
                      <w:szCs w:val="21"/>
                      <w:highlight w:val="none"/>
                    </w:rPr>
                    <w:t>处置措施</w:t>
                  </w:r>
                </w:p>
              </w:tc>
            </w:tr>
            <w:tr w14:paraId="1C4553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4" w:hRule="atLeast"/>
                <w:jc w:val="center"/>
              </w:trPr>
              <w:tc>
                <w:tcPr>
                  <w:tcW w:w="531" w:type="pct"/>
                  <w:vMerge w:val="restart"/>
                  <w:noWrap w:val="0"/>
                  <w:vAlign w:val="center"/>
                </w:tcPr>
                <w:p w14:paraId="4CAEA357">
                  <w:pPr>
                    <w:pStyle w:val="23"/>
                    <w:spacing w:line="240" w:lineRule="auto"/>
                    <w:ind w:firstLine="0"/>
                    <w:jc w:val="center"/>
                    <w:rPr>
                      <w:rFonts w:hint="eastAsia" w:ascii="Times New Roman" w:hAnsi="Times New Roman"/>
                      <w:b w:val="0"/>
                      <w:bCs/>
                      <w:color w:val="auto"/>
                      <w:sz w:val="21"/>
                      <w:szCs w:val="21"/>
                      <w:highlight w:val="none"/>
                    </w:rPr>
                  </w:pPr>
                  <w:r>
                    <w:rPr>
                      <w:rFonts w:hint="eastAsia" w:ascii="Times New Roman" w:hAnsi="Times New Roman"/>
                      <w:b w:val="0"/>
                      <w:bCs/>
                      <w:color w:val="auto"/>
                      <w:sz w:val="21"/>
                      <w:szCs w:val="21"/>
                      <w:highlight w:val="none"/>
                    </w:rPr>
                    <w:t>废气</w:t>
                  </w:r>
                </w:p>
              </w:tc>
              <w:tc>
                <w:tcPr>
                  <w:tcW w:w="721" w:type="pct"/>
                  <w:noWrap w:val="0"/>
                  <w:vAlign w:val="center"/>
                </w:tcPr>
                <w:p w14:paraId="58D7AE05">
                  <w:pPr>
                    <w:pStyle w:val="23"/>
                    <w:spacing w:line="240" w:lineRule="auto"/>
                    <w:ind w:firstLine="0"/>
                    <w:jc w:val="center"/>
                    <w:rPr>
                      <w:rFonts w:hint="default" w:ascii="Times New Roman" w:hAnsi="Times New Roman" w:eastAsia="宋体"/>
                      <w:b w:val="0"/>
                      <w:bCs/>
                      <w:color w:val="auto"/>
                      <w:sz w:val="21"/>
                      <w:szCs w:val="21"/>
                      <w:highlight w:val="none"/>
                      <w:lang w:val="en-US" w:eastAsia="zh-CN"/>
                    </w:rPr>
                  </w:pPr>
                </w:p>
                <w:p w14:paraId="6CB86472">
                  <w:pPr>
                    <w:pStyle w:val="23"/>
                    <w:spacing w:line="240" w:lineRule="auto"/>
                    <w:ind w:firstLine="0"/>
                    <w:jc w:val="center"/>
                    <w:rPr>
                      <w:rFonts w:hint="eastAsia" w:ascii="Times New Roman" w:hAnsi="Times New Roman"/>
                      <w:b w:val="0"/>
                      <w:bCs/>
                      <w:color w:val="auto"/>
                      <w:sz w:val="21"/>
                      <w:szCs w:val="21"/>
                      <w:highlight w:val="none"/>
                      <w:lang w:val="en-US" w:eastAsia="zh-CN"/>
                    </w:rPr>
                  </w:pPr>
                  <w:r>
                    <w:rPr>
                      <w:rFonts w:hint="eastAsia" w:ascii="Times New Roman" w:hAnsi="Times New Roman"/>
                      <w:b w:val="0"/>
                      <w:bCs/>
                      <w:color w:val="auto"/>
                      <w:sz w:val="21"/>
                      <w:szCs w:val="21"/>
                      <w:highlight w:val="none"/>
                      <w:lang w:val="en-US" w:eastAsia="zh-CN"/>
                    </w:rPr>
                    <w:t>污水处理设施</w:t>
                  </w:r>
                </w:p>
                <w:p w14:paraId="3509522D">
                  <w:pPr>
                    <w:pStyle w:val="23"/>
                    <w:spacing w:line="240" w:lineRule="auto"/>
                    <w:ind w:firstLine="0"/>
                    <w:jc w:val="center"/>
                    <w:rPr>
                      <w:rFonts w:hint="eastAsia" w:ascii="Times New Roman" w:hAnsi="Times New Roman"/>
                      <w:b w:val="0"/>
                      <w:bCs/>
                      <w:color w:val="auto"/>
                      <w:sz w:val="21"/>
                      <w:szCs w:val="21"/>
                      <w:highlight w:val="none"/>
                      <w:lang w:eastAsia="zh-CN"/>
                    </w:rPr>
                  </w:pPr>
                </w:p>
              </w:tc>
              <w:tc>
                <w:tcPr>
                  <w:tcW w:w="1229" w:type="pct"/>
                  <w:noWrap w:val="0"/>
                  <w:vAlign w:val="center"/>
                </w:tcPr>
                <w:p w14:paraId="295B9194">
                  <w:pPr>
                    <w:pStyle w:val="23"/>
                    <w:spacing w:line="240" w:lineRule="auto"/>
                    <w:ind w:firstLine="0"/>
                    <w:jc w:val="center"/>
                    <w:rPr>
                      <w:rFonts w:hint="eastAsia" w:ascii="Times New Roman" w:hAnsi="Times New Roman" w:eastAsia="宋体"/>
                      <w:b w:val="0"/>
                      <w:bCs/>
                      <w:color w:val="auto"/>
                      <w:sz w:val="21"/>
                      <w:szCs w:val="21"/>
                      <w:highlight w:val="none"/>
                      <w:lang w:eastAsia="zh-CN"/>
                    </w:rPr>
                  </w:pPr>
                  <w:r>
                    <w:rPr>
                      <w:rFonts w:hint="eastAsia" w:ascii="Times New Roman" w:hAnsi="Times New Roman"/>
                      <w:b w:val="0"/>
                      <w:bCs/>
                      <w:color w:val="auto"/>
                      <w:sz w:val="21"/>
                      <w:szCs w:val="21"/>
                      <w:highlight w:val="none"/>
                      <w:lang w:eastAsia="zh-CN"/>
                    </w:rPr>
                    <w:t>氨、硫化氢、臭气浓度</w:t>
                  </w:r>
                </w:p>
              </w:tc>
              <w:tc>
                <w:tcPr>
                  <w:tcW w:w="2517" w:type="pct"/>
                  <w:noWrap w:val="0"/>
                  <w:vAlign w:val="center"/>
                </w:tcPr>
                <w:p w14:paraId="0B285D09">
                  <w:pPr>
                    <w:pStyle w:val="23"/>
                    <w:spacing w:line="240" w:lineRule="auto"/>
                    <w:ind w:firstLine="0"/>
                    <w:jc w:val="center"/>
                    <w:rPr>
                      <w:rFonts w:ascii="Times New Roman" w:hAnsi="Times New Roman"/>
                      <w:b w:val="0"/>
                      <w:bCs/>
                      <w:color w:val="auto"/>
                      <w:sz w:val="21"/>
                      <w:szCs w:val="21"/>
                      <w:highlight w:val="none"/>
                    </w:rPr>
                  </w:pPr>
                  <w:r>
                    <w:rPr>
                      <w:rFonts w:hint="eastAsia"/>
                      <w:b w:val="0"/>
                      <w:bCs/>
                      <w:sz w:val="21"/>
                      <w:szCs w:val="21"/>
                      <w:highlight w:val="none"/>
                      <w:lang w:eastAsia="zh-CN"/>
                    </w:rPr>
                    <w:t>污水处理站为整体地埋式设计，</w:t>
                  </w:r>
                  <w:r>
                    <w:rPr>
                      <w:rFonts w:hint="default"/>
                      <w:b w:val="0"/>
                      <w:bCs/>
                      <w:sz w:val="21"/>
                      <w:szCs w:val="21"/>
                      <w:highlight w:val="none"/>
                    </w:rPr>
                    <w:t>加盖密闭，盖板上预留进、出气</w:t>
                  </w:r>
                  <w:r>
                    <w:rPr>
                      <w:rFonts w:hint="default" w:ascii="Times New Roman" w:hAnsi="Times New Roman" w:cs="Times New Roman"/>
                      <w:b w:val="0"/>
                      <w:bCs/>
                      <w:sz w:val="21"/>
                      <w:szCs w:val="21"/>
                      <w:highlight w:val="none"/>
                    </w:rPr>
                    <w:t>口</w:t>
                  </w:r>
                  <w:r>
                    <w:rPr>
                      <w:rFonts w:hint="default" w:ascii="Times New Roman" w:hAnsi="Times New Roman" w:cs="Times New Roman"/>
                      <w:b w:val="0"/>
                      <w:bCs/>
                      <w:sz w:val="21"/>
                      <w:szCs w:val="21"/>
                      <w:highlight w:val="none"/>
                      <w:lang w:eastAsia="zh-CN"/>
                    </w:rPr>
                    <w:t>，废气</w:t>
                  </w:r>
                  <w:r>
                    <w:rPr>
                      <w:rFonts w:hint="default" w:ascii="Times New Roman" w:hAnsi="Times New Roman" w:cs="Times New Roman"/>
                      <w:b w:val="0"/>
                      <w:bCs/>
                      <w:sz w:val="21"/>
                      <w:szCs w:val="21"/>
                      <w:highlight w:val="none"/>
                    </w:rPr>
                    <w:t>收集后通过</w:t>
                  </w:r>
                  <w:r>
                    <w:rPr>
                      <w:rFonts w:hint="eastAsia" w:ascii="Times New Roman" w:hAnsi="Times New Roman" w:cs="Times New Roman"/>
                      <w:b w:val="0"/>
                      <w:bCs/>
                      <w:sz w:val="21"/>
                      <w:szCs w:val="21"/>
                      <w:highlight w:val="none"/>
                      <w:lang w:eastAsia="zh-CN"/>
                    </w:rPr>
                    <w:t>“</w:t>
                  </w:r>
                  <w:r>
                    <w:rPr>
                      <w:rFonts w:hint="default" w:ascii="Times New Roman" w:hAnsi="Times New Roman" w:cs="Times New Roman"/>
                      <w:b w:val="0"/>
                      <w:bCs/>
                      <w:sz w:val="21"/>
                      <w:szCs w:val="21"/>
                      <w:highlight w:val="none"/>
                      <w:lang w:eastAsia="zh-CN"/>
                    </w:rPr>
                    <w:t>二级</w:t>
                  </w:r>
                  <w:r>
                    <w:rPr>
                      <w:rFonts w:hint="default" w:ascii="Times New Roman" w:hAnsi="Times New Roman" w:cs="Times New Roman"/>
                      <w:b w:val="0"/>
                      <w:bCs/>
                      <w:sz w:val="21"/>
                      <w:szCs w:val="21"/>
                      <w:highlight w:val="none"/>
                    </w:rPr>
                    <w:t>活性炭吸附</w:t>
                  </w:r>
                  <w:r>
                    <w:rPr>
                      <w:rFonts w:hint="eastAsia" w:ascii="Times New Roman" w:hAnsi="Times New Roman" w:cs="Times New Roman"/>
                      <w:b w:val="0"/>
                      <w:bCs/>
                      <w:sz w:val="21"/>
                      <w:szCs w:val="21"/>
                      <w:highlight w:val="none"/>
                      <w:lang w:eastAsia="zh-CN"/>
                    </w:rPr>
                    <w:t>”</w:t>
                  </w:r>
                  <w:r>
                    <w:rPr>
                      <w:rFonts w:hint="default" w:ascii="Times New Roman" w:hAnsi="Times New Roman" w:cs="Times New Roman"/>
                      <w:b w:val="0"/>
                      <w:bCs/>
                      <w:sz w:val="21"/>
                      <w:szCs w:val="21"/>
                      <w:highlight w:val="none"/>
                    </w:rPr>
                    <w:t>处理后</w:t>
                  </w:r>
                  <w:r>
                    <w:rPr>
                      <w:rFonts w:hint="default" w:ascii="Times New Roman" w:hAnsi="Times New Roman" w:cs="Times New Roman"/>
                      <w:b w:val="0"/>
                      <w:bCs/>
                      <w:sz w:val="21"/>
                      <w:szCs w:val="21"/>
                      <w:highlight w:val="none"/>
                      <w:lang w:eastAsia="zh-CN"/>
                    </w:rPr>
                    <w:t>通过</w:t>
                  </w:r>
                  <w:r>
                    <w:rPr>
                      <w:rFonts w:hint="default" w:ascii="Times New Roman" w:hAnsi="Times New Roman" w:cs="Times New Roman"/>
                      <w:b w:val="0"/>
                      <w:bCs/>
                      <w:sz w:val="21"/>
                      <w:szCs w:val="21"/>
                      <w:highlight w:val="none"/>
                      <w:lang w:val="en-US" w:eastAsia="zh-CN"/>
                    </w:rPr>
                    <w:t>1根15m高排气筒DA001排放</w:t>
                  </w:r>
                  <w:r>
                    <w:rPr>
                      <w:rFonts w:hint="default" w:ascii="Times New Roman" w:hAnsi="Times New Roman" w:cs="Times New Roman"/>
                      <w:b w:val="0"/>
                      <w:bCs/>
                      <w:sz w:val="21"/>
                      <w:szCs w:val="21"/>
                      <w:highlight w:val="none"/>
                    </w:rPr>
                    <w:t>。</w:t>
                  </w:r>
                </w:p>
              </w:tc>
            </w:tr>
            <w:tr w14:paraId="17E5C5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4" w:hRule="atLeast"/>
                <w:jc w:val="center"/>
              </w:trPr>
              <w:tc>
                <w:tcPr>
                  <w:tcW w:w="531" w:type="pct"/>
                  <w:vMerge w:val="continue"/>
                  <w:noWrap w:val="0"/>
                  <w:vAlign w:val="center"/>
                </w:tcPr>
                <w:p w14:paraId="7F5A9F5B">
                  <w:pPr>
                    <w:pStyle w:val="23"/>
                    <w:spacing w:line="240" w:lineRule="auto"/>
                    <w:ind w:firstLine="0"/>
                    <w:jc w:val="center"/>
                    <w:rPr>
                      <w:rFonts w:hint="eastAsia" w:ascii="Times New Roman" w:hAnsi="Times New Roman"/>
                      <w:b w:val="0"/>
                      <w:bCs/>
                      <w:color w:val="auto"/>
                      <w:sz w:val="21"/>
                      <w:szCs w:val="21"/>
                      <w:highlight w:val="none"/>
                    </w:rPr>
                  </w:pPr>
                </w:p>
              </w:tc>
              <w:tc>
                <w:tcPr>
                  <w:tcW w:w="721" w:type="pct"/>
                  <w:noWrap w:val="0"/>
                  <w:vAlign w:val="center"/>
                </w:tcPr>
                <w:p w14:paraId="3E9CA7E1">
                  <w:pPr>
                    <w:pStyle w:val="23"/>
                    <w:spacing w:line="240" w:lineRule="auto"/>
                    <w:ind w:firstLine="0"/>
                    <w:jc w:val="center"/>
                    <w:rPr>
                      <w:rFonts w:hint="eastAsia" w:ascii="Times New Roman" w:hAnsi="Times New Roman"/>
                      <w:b w:val="0"/>
                      <w:bCs/>
                      <w:color w:val="auto"/>
                      <w:sz w:val="21"/>
                      <w:szCs w:val="21"/>
                      <w:highlight w:val="none"/>
                      <w:lang w:eastAsia="zh-CN"/>
                    </w:rPr>
                  </w:pPr>
                  <w:r>
                    <w:rPr>
                      <w:rFonts w:hint="eastAsia" w:ascii="Times New Roman" w:hAnsi="Times New Roman"/>
                      <w:b w:val="0"/>
                      <w:bCs/>
                      <w:kern w:val="0"/>
                      <w:sz w:val="21"/>
                      <w:szCs w:val="21"/>
                      <w:highlight w:val="none"/>
                      <w:lang w:eastAsia="zh-CN"/>
                    </w:rPr>
                    <w:t>备用柴油发电机组</w:t>
                  </w:r>
                </w:p>
              </w:tc>
              <w:tc>
                <w:tcPr>
                  <w:tcW w:w="1229" w:type="pct"/>
                  <w:noWrap w:val="0"/>
                  <w:vAlign w:val="center"/>
                </w:tcPr>
                <w:p w14:paraId="77FC0A2E">
                  <w:pPr>
                    <w:pStyle w:val="23"/>
                    <w:spacing w:line="240" w:lineRule="auto"/>
                    <w:ind w:firstLine="0"/>
                    <w:jc w:val="center"/>
                    <w:rPr>
                      <w:rFonts w:hint="eastAsia" w:ascii="Times New Roman" w:hAnsi="Times New Roman"/>
                      <w:b w:val="0"/>
                      <w:bCs/>
                      <w:color w:val="auto"/>
                      <w:sz w:val="21"/>
                      <w:szCs w:val="21"/>
                      <w:highlight w:val="none"/>
                      <w:lang w:eastAsia="zh-CN"/>
                    </w:rPr>
                  </w:pPr>
                  <w:r>
                    <w:rPr>
                      <w:rFonts w:hint="eastAsia" w:ascii="Times New Roman" w:hAnsi="Times New Roman"/>
                      <w:b w:val="0"/>
                      <w:bCs/>
                      <w:color w:val="auto"/>
                      <w:sz w:val="21"/>
                      <w:szCs w:val="21"/>
                      <w:highlight w:val="none"/>
                      <w:lang w:eastAsia="zh-CN"/>
                    </w:rPr>
                    <w:t>粉尘、NO</w:t>
                  </w:r>
                  <w:r>
                    <w:rPr>
                      <w:rFonts w:hint="eastAsia" w:ascii="Times New Roman" w:hAnsi="Times New Roman"/>
                      <w:b w:val="0"/>
                      <w:bCs/>
                      <w:color w:val="auto"/>
                      <w:sz w:val="21"/>
                      <w:szCs w:val="21"/>
                      <w:highlight w:val="none"/>
                      <w:vertAlign w:val="subscript"/>
                      <w:lang w:eastAsia="zh-CN"/>
                    </w:rPr>
                    <w:t>X</w:t>
                  </w:r>
                  <w:r>
                    <w:rPr>
                      <w:rFonts w:hint="eastAsia" w:ascii="Times New Roman" w:hAnsi="Times New Roman"/>
                      <w:b w:val="0"/>
                      <w:bCs/>
                      <w:color w:val="auto"/>
                      <w:sz w:val="21"/>
                      <w:szCs w:val="21"/>
                      <w:highlight w:val="none"/>
                      <w:lang w:eastAsia="zh-CN"/>
                    </w:rPr>
                    <w:t>、SO</w:t>
                  </w:r>
                  <w:r>
                    <w:rPr>
                      <w:rFonts w:hint="eastAsia" w:ascii="Times New Roman" w:hAnsi="Times New Roman"/>
                      <w:b w:val="0"/>
                      <w:bCs/>
                      <w:color w:val="auto"/>
                      <w:sz w:val="21"/>
                      <w:szCs w:val="21"/>
                      <w:highlight w:val="none"/>
                      <w:vertAlign w:val="subscript"/>
                      <w:lang w:eastAsia="zh-CN"/>
                    </w:rPr>
                    <w:t>2</w:t>
                  </w:r>
                </w:p>
              </w:tc>
              <w:tc>
                <w:tcPr>
                  <w:tcW w:w="2517" w:type="pct"/>
                  <w:noWrap w:val="0"/>
                  <w:vAlign w:val="center"/>
                </w:tcPr>
                <w:p w14:paraId="74CEFF4A">
                  <w:pPr>
                    <w:pStyle w:val="23"/>
                    <w:spacing w:line="240" w:lineRule="auto"/>
                    <w:ind w:firstLine="0"/>
                    <w:jc w:val="center"/>
                    <w:rPr>
                      <w:rFonts w:hint="eastAsia" w:ascii="Times New Roman" w:hAnsi="Times New Roman" w:eastAsia="宋体"/>
                      <w:b w:val="0"/>
                      <w:bCs/>
                      <w:color w:val="auto"/>
                      <w:sz w:val="21"/>
                      <w:szCs w:val="21"/>
                      <w:highlight w:val="none"/>
                      <w:lang w:eastAsia="zh-CN"/>
                    </w:rPr>
                  </w:pPr>
                  <w:r>
                    <w:rPr>
                      <w:rFonts w:hint="eastAsia" w:ascii="Times New Roman" w:hAnsi="Times New Roman"/>
                      <w:b w:val="0"/>
                      <w:bCs/>
                      <w:color w:val="auto"/>
                      <w:sz w:val="21"/>
                      <w:szCs w:val="21"/>
                      <w:highlight w:val="none"/>
                    </w:rPr>
                    <w:t>由专用排气管道引至楼顶并高于楼顶排放</w:t>
                  </w:r>
                  <w:r>
                    <w:rPr>
                      <w:rFonts w:hint="eastAsia" w:ascii="Times New Roman" w:hAnsi="Times New Roman"/>
                      <w:b w:val="0"/>
                      <w:bCs/>
                      <w:color w:val="auto"/>
                      <w:sz w:val="21"/>
                      <w:szCs w:val="21"/>
                      <w:highlight w:val="none"/>
                      <w:lang w:eastAsia="zh-CN"/>
                    </w:rPr>
                    <w:t>。</w:t>
                  </w:r>
                </w:p>
              </w:tc>
            </w:tr>
            <w:tr w14:paraId="36C0F7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31" w:type="pct"/>
                  <w:vMerge w:val="restart"/>
                  <w:noWrap w:val="0"/>
                  <w:vAlign w:val="center"/>
                </w:tcPr>
                <w:p w14:paraId="74CE1B2F">
                  <w:pPr>
                    <w:pStyle w:val="23"/>
                    <w:spacing w:line="240" w:lineRule="auto"/>
                    <w:ind w:firstLine="0"/>
                    <w:jc w:val="center"/>
                    <w:rPr>
                      <w:rFonts w:hint="eastAsia" w:ascii="Times New Roman" w:hAnsi="Times New Roman" w:eastAsia="宋体"/>
                      <w:b w:val="0"/>
                      <w:bCs/>
                      <w:color w:val="auto"/>
                      <w:sz w:val="21"/>
                      <w:szCs w:val="21"/>
                      <w:highlight w:val="none"/>
                      <w:lang w:eastAsia="zh-CN"/>
                    </w:rPr>
                  </w:pPr>
                  <w:r>
                    <w:rPr>
                      <w:rFonts w:hint="eastAsia" w:ascii="Times New Roman" w:hAnsi="Times New Roman"/>
                      <w:b w:val="0"/>
                      <w:bCs/>
                      <w:color w:val="auto"/>
                      <w:sz w:val="21"/>
                      <w:szCs w:val="21"/>
                      <w:highlight w:val="none"/>
                      <w:lang w:eastAsia="zh-CN"/>
                    </w:rPr>
                    <w:t>废水</w:t>
                  </w:r>
                </w:p>
              </w:tc>
              <w:tc>
                <w:tcPr>
                  <w:tcW w:w="721" w:type="pct"/>
                  <w:noWrap w:val="0"/>
                  <w:vAlign w:val="center"/>
                </w:tcPr>
                <w:p w14:paraId="7EFD4B20">
                  <w:pPr>
                    <w:pStyle w:val="23"/>
                    <w:spacing w:line="240" w:lineRule="auto"/>
                    <w:ind w:firstLine="0"/>
                    <w:jc w:val="center"/>
                    <w:rPr>
                      <w:rFonts w:hint="eastAsia" w:ascii="Times New Roman" w:hAnsi="Times New Roman"/>
                      <w:b w:val="0"/>
                      <w:bCs/>
                      <w:color w:val="auto"/>
                      <w:sz w:val="21"/>
                      <w:szCs w:val="21"/>
                      <w:highlight w:val="none"/>
                      <w:lang w:eastAsia="zh-CN"/>
                    </w:rPr>
                  </w:pPr>
                  <w:r>
                    <w:rPr>
                      <w:rFonts w:hint="eastAsia" w:ascii="Times New Roman" w:hAnsi="Times New Roman"/>
                      <w:b w:val="0"/>
                      <w:bCs/>
                      <w:color w:val="auto"/>
                      <w:sz w:val="21"/>
                      <w:szCs w:val="21"/>
                      <w:highlight w:val="none"/>
                      <w:lang w:eastAsia="zh-CN"/>
                    </w:rPr>
                    <w:t>员工生活</w:t>
                  </w:r>
                </w:p>
              </w:tc>
              <w:tc>
                <w:tcPr>
                  <w:tcW w:w="1229" w:type="pct"/>
                  <w:vMerge w:val="restart"/>
                  <w:noWrap w:val="0"/>
                  <w:vAlign w:val="center"/>
                </w:tcPr>
                <w:p w14:paraId="24693557">
                  <w:pPr>
                    <w:pStyle w:val="23"/>
                    <w:spacing w:line="240" w:lineRule="auto"/>
                    <w:ind w:firstLine="0"/>
                    <w:jc w:val="center"/>
                    <w:rPr>
                      <w:rFonts w:hint="eastAsia" w:ascii="Times New Roman" w:hAnsi="Times New Roman"/>
                      <w:b w:val="0"/>
                      <w:bCs/>
                      <w:color w:val="auto"/>
                      <w:sz w:val="21"/>
                      <w:szCs w:val="21"/>
                      <w:highlight w:val="none"/>
                      <w:lang w:val="en-US" w:eastAsia="zh-CN"/>
                    </w:rPr>
                  </w:pPr>
                  <w:r>
                    <w:rPr>
                      <w:rFonts w:hint="eastAsia" w:ascii="Times New Roman" w:hAnsi="Times New Roman"/>
                      <w:b w:val="0"/>
                      <w:bCs/>
                      <w:color w:val="auto"/>
                      <w:sz w:val="21"/>
                      <w:szCs w:val="21"/>
                      <w:highlight w:val="none"/>
                      <w:lang w:val="en-US" w:eastAsia="zh-CN"/>
                    </w:rPr>
                    <w:t>PH、COD、BOD</w:t>
                  </w:r>
                  <w:r>
                    <w:rPr>
                      <w:rFonts w:hint="eastAsia" w:ascii="Times New Roman" w:hAnsi="Times New Roman"/>
                      <w:b w:val="0"/>
                      <w:bCs/>
                      <w:color w:val="auto"/>
                      <w:sz w:val="21"/>
                      <w:szCs w:val="21"/>
                      <w:highlight w:val="none"/>
                      <w:vertAlign w:val="subscript"/>
                      <w:lang w:val="en-US" w:eastAsia="zh-CN"/>
                    </w:rPr>
                    <w:t>5</w:t>
                  </w:r>
                  <w:r>
                    <w:rPr>
                      <w:rFonts w:hint="eastAsia" w:ascii="Times New Roman" w:hAnsi="Times New Roman"/>
                      <w:b w:val="0"/>
                      <w:bCs/>
                      <w:color w:val="auto"/>
                      <w:sz w:val="21"/>
                      <w:szCs w:val="21"/>
                      <w:highlight w:val="none"/>
                      <w:lang w:val="en-US" w:eastAsia="zh-CN"/>
                    </w:rPr>
                    <w:t>、SS、NH</w:t>
                  </w:r>
                  <w:r>
                    <w:rPr>
                      <w:rFonts w:hint="eastAsia" w:ascii="Times New Roman" w:hAnsi="Times New Roman"/>
                      <w:b w:val="0"/>
                      <w:bCs/>
                      <w:color w:val="auto"/>
                      <w:sz w:val="21"/>
                      <w:szCs w:val="21"/>
                      <w:highlight w:val="none"/>
                      <w:vertAlign w:val="subscript"/>
                      <w:lang w:val="en-US" w:eastAsia="zh-CN"/>
                    </w:rPr>
                    <w:t>3</w:t>
                  </w:r>
                  <w:r>
                    <w:rPr>
                      <w:rFonts w:hint="eastAsia" w:ascii="Times New Roman" w:hAnsi="Times New Roman"/>
                      <w:b w:val="0"/>
                      <w:bCs/>
                      <w:color w:val="auto"/>
                      <w:sz w:val="21"/>
                      <w:szCs w:val="21"/>
                      <w:highlight w:val="none"/>
                      <w:lang w:val="en-US" w:eastAsia="zh-CN"/>
                    </w:rPr>
                    <w:t>-N、粪大肠菌群数</w:t>
                  </w:r>
                </w:p>
                <w:p w14:paraId="53AF36B1">
                  <w:pPr>
                    <w:pStyle w:val="23"/>
                    <w:spacing w:line="240" w:lineRule="auto"/>
                    <w:ind w:firstLine="0"/>
                    <w:jc w:val="center"/>
                    <w:rPr>
                      <w:rFonts w:hint="eastAsia" w:ascii="Times New Roman" w:hAnsi="Times New Roman"/>
                      <w:b w:val="0"/>
                      <w:bCs/>
                      <w:color w:val="auto"/>
                      <w:sz w:val="21"/>
                      <w:szCs w:val="21"/>
                      <w:highlight w:val="none"/>
                      <w:lang w:val="en-US" w:eastAsia="zh-CN"/>
                    </w:rPr>
                  </w:pPr>
                </w:p>
              </w:tc>
              <w:tc>
                <w:tcPr>
                  <w:tcW w:w="2517" w:type="pct"/>
                  <w:vMerge w:val="restart"/>
                  <w:noWrap w:val="0"/>
                  <w:vAlign w:val="center"/>
                </w:tcPr>
                <w:p w14:paraId="4119FABF">
                  <w:pPr>
                    <w:pStyle w:val="23"/>
                    <w:spacing w:line="240" w:lineRule="auto"/>
                    <w:ind w:firstLine="0"/>
                    <w:jc w:val="center"/>
                    <w:rPr>
                      <w:rFonts w:hint="eastAsia" w:ascii="Times New Roman" w:hAnsi="Times New Roman"/>
                      <w:b w:val="0"/>
                      <w:bCs/>
                      <w:sz w:val="21"/>
                      <w:szCs w:val="21"/>
                      <w:highlight w:val="none"/>
                      <w:lang w:eastAsia="zh-CN"/>
                    </w:rPr>
                  </w:pPr>
                  <w:r>
                    <w:rPr>
                      <w:rFonts w:hint="eastAsia" w:ascii="Times New Roman" w:hAnsi="Times New Roman"/>
                      <w:b w:val="0"/>
                      <w:bCs/>
                      <w:sz w:val="21"/>
                      <w:szCs w:val="21"/>
                      <w:highlight w:val="none"/>
                      <w:lang w:eastAsia="zh-CN"/>
                    </w:rPr>
                    <w:t>生活污水、普通门诊废水、口腔科废水、病房废水、检验废水经化粪池预处理后，与浓水、保洁废水一同进入医院自建污水处理站处理达标后，接管进入潘集区芦集镇再生水厂进一步处理。医院污水处理站采用“一级强化处理+消毒”工艺，处理规模为65t/d。</w:t>
                  </w:r>
                </w:p>
              </w:tc>
            </w:tr>
            <w:tr w14:paraId="12CC7D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31" w:type="pct"/>
                  <w:vMerge w:val="continue"/>
                  <w:noWrap w:val="0"/>
                  <w:vAlign w:val="center"/>
                </w:tcPr>
                <w:p w14:paraId="146E471C">
                  <w:pPr>
                    <w:pStyle w:val="23"/>
                    <w:spacing w:line="240" w:lineRule="auto"/>
                    <w:ind w:firstLine="0"/>
                    <w:jc w:val="center"/>
                    <w:rPr>
                      <w:rFonts w:hint="eastAsia" w:ascii="Times New Roman" w:hAnsi="Times New Roman"/>
                      <w:b w:val="0"/>
                      <w:bCs/>
                      <w:color w:val="auto"/>
                      <w:sz w:val="21"/>
                      <w:szCs w:val="21"/>
                      <w:highlight w:val="yellow"/>
                      <w:lang w:eastAsia="zh-CN"/>
                    </w:rPr>
                  </w:pPr>
                </w:p>
              </w:tc>
              <w:tc>
                <w:tcPr>
                  <w:tcW w:w="721" w:type="pct"/>
                  <w:noWrap w:val="0"/>
                  <w:vAlign w:val="center"/>
                </w:tcPr>
                <w:p w14:paraId="3B8CBA28">
                  <w:pPr>
                    <w:pStyle w:val="23"/>
                    <w:spacing w:line="240" w:lineRule="auto"/>
                    <w:ind w:firstLine="0"/>
                    <w:jc w:val="center"/>
                    <w:rPr>
                      <w:rFonts w:hint="eastAsia" w:ascii="Times New Roman" w:hAnsi="Times New Roman"/>
                      <w:b w:val="0"/>
                      <w:bCs/>
                      <w:color w:val="auto"/>
                      <w:sz w:val="21"/>
                      <w:szCs w:val="21"/>
                      <w:highlight w:val="none"/>
                      <w:lang w:eastAsia="zh-CN"/>
                    </w:rPr>
                  </w:pPr>
                  <w:r>
                    <w:rPr>
                      <w:rFonts w:hint="eastAsia" w:ascii="Times New Roman" w:hAnsi="Times New Roman"/>
                      <w:b w:val="0"/>
                      <w:bCs/>
                      <w:color w:val="auto"/>
                      <w:sz w:val="21"/>
                      <w:szCs w:val="21"/>
                      <w:highlight w:val="none"/>
                      <w:lang w:eastAsia="zh-CN"/>
                    </w:rPr>
                    <w:t>门诊</w:t>
                  </w:r>
                </w:p>
              </w:tc>
              <w:tc>
                <w:tcPr>
                  <w:tcW w:w="1229" w:type="pct"/>
                  <w:vMerge w:val="continue"/>
                  <w:noWrap w:val="0"/>
                  <w:vAlign w:val="center"/>
                </w:tcPr>
                <w:p w14:paraId="18E38ED5">
                  <w:pPr>
                    <w:pStyle w:val="23"/>
                    <w:spacing w:line="240" w:lineRule="auto"/>
                    <w:ind w:firstLine="0"/>
                    <w:jc w:val="center"/>
                    <w:rPr>
                      <w:rFonts w:hint="eastAsia" w:ascii="Times New Roman" w:hAnsi="Times New Roman"/>
                      <w:b w:val="0"/>
                      <w:bCs/>
                      <w:color w:val="auto"/>
                      <w:sz w:val="21"/>
                      <w:szCs w:val="21"/>
                      <w:highlight w:val="yellow"/>
                      <w:lang w:val="en-US" w:eastAsia="zh-CN"/>
                    </w:rPr>
                  </w:pPr>
                </w:p>
              </w:tc>
              <w:tc>
                <w:tcPr>
                  <w:tcW w:w="2517" w:type="pct"/>
                  <w:vMerge w:val="continue"/>
                  <w:noWrap w:val="0"/>
                  <w:vAlign w:val="center"/>
                </w:tcPr>
                <w:p w14:paraId="245F6BD7">
                  <w:pPr>
                    <w:pStyle w:val="23"/>
                    <w:spacing w:line="240" w:lineRule="auto"/>
                    <w:ind w:firstLine="0"/>
                    <w:jc w:val="center"/>
                    <w:rPr>
                      <w:rFonts w:hint="eastAsia" w:ascii="Times New Roman" w:hAnsi="Times New Roman"/>
                      <w:b w:val="0"/>
                      <w:bCs/>
                      <w:sz w:val="21"/>
                      <w:szCs w:val="21"/>
                      <w:highlight w:val="yellow"/>
                      <w:lang w:eastAsia="zh-CN"/>
                    </w:rPr>
                  </w:pPr>
                </w:p>
              </w:tc>
            </w:tr>
            <w:tr w14:paraId="352A4D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31" w:type="pct"/>
                  <w:vMerge w:val="continue"/>
                  <w:noWrap w:val="0"/>
                  <w:vAlign w:val="center"/>
                </w:tcPr>
                <w:p w14:paraId="6F5FEB6B">
                  <w:pPr>
                    <w:pStyle w:val="23"/>
                    <w:spacing w:line="240" w:lineRule="auto"/>
                    <w:ind w:firstLine="0"/>
                    <w:jc w:val="center"/>
                    <w:rPr>
                      <w:rFonts w:hint="eastAsia" w:ascii="Times New Roman" w:hAnsi="Times New Roman"/>
                      <w:b w:val="0"/>
                      <w:bCs/>
                      <w:color w:val="auto"/>
                      <w:sz w:val="21"/>
                      <w:szCs w:val="21"/>
                      <w:highlight w:val="yellow"/>
                      <w:lang w:eastAsia="zh-CN"/>
                    </w:rPr>
                  </w:pPr>
                </w:p>
              </w:tc>
              <w:tc>
                <w:tcPr>
                  <w:tcW w:w="721" w:type="pct"/>
                  <w:noWrap w:val="0"/>
                  <w:vAlign w:val="center"/>
                </w:tcPr>
                <w:p w14:paraId="7C16EFF2">
                  <w:pPr>
                    <w:pStyle w:val="23"/>
                    <w:spacing w:line="240" w:lineRule="auto"/>
                    <w:ind w:firstLine="0"/>
                    <w:jc w:val="center"/>
                    <w:rPr>
                      <w:rFonts w:hint="eastAsia" w:ascii="Times New Roman" w:hAnsi="Times New Roman"/>
                      <w:b w:val="0"/>
                      <w:bCs/>
                      <w:color w:val="auto"/>
                      <w:sz w:val="21"/>
                      <w:szCs w:val="21"/>
                      <w:highlight w:val="none"/>
                      <w:lang w:eastAsia="zh-CN"/>
                    </w:rPr>
                  </w:pPr>
                  <w:r>
                    <w:rPr>
                      <w:rFonts w:hint="eastAsia" w:ascii="Times New Roman" w:hAnsi="Times New Roman"/>
                      <w:b w:val="0"/>
                      <w:bCs/>
                      <w:color w:val="auto"/>
                      <w:sz w:val="21"/>
                      <w:szCs w:val="21"/>
                      <w:highlight w:val="none"/>
                      <w:lang w:eastAsia="zh-CN"/>
                    </w:rPr>
                    <w:t>病房</w:t>
                  </w:r>
                </w:p>
              </w:tc>
              <w:tc>
                <w:tcPr>
                  <w:tcW w:w="1229" w:type="pct"/>
                  <w:vMerge w:val="continue"/>
                  <w:noWrap w:val="0"/>
                  <w:vAlign w:val="center"/>
                </w:tcPr>
                <w:p w14:paraId="11BD96D2">
                  <w:pPr>
                    <w:pStyle w:val="23"/>
                    <w:spacing w:line="240" w:lineRule="auto"/>
                    <w:ind w:firstLine="0"/>
                    <w:jc w:val="center"/>
                    <w:rPr>
                      <w:rFonts w:hint="eastAsia" w:ascii="Times New Roman" w:hAnsi="Times New Roman"/>
                      <w:b w:val="0"/>
                      <w:bCs/>
                      <w:color w:val="auto"/>
                      <w:sz w:val="21"/>
                      <w:szCs w:val="21"/>
                      <w:highlight w:val="yellow"/>
                      <w:lang w:val="en-US" w:eastAsia="zh-CN"/>
                    </w:rPr>
                  </w:pPr>
                </w:p>
              </w:tc>
              <w:tc>
                <w:tcPr>
                  <w:tcW w:w="2517" w:type="pct"/>
                  <w:vMerge w:val="continue"/>
                  <w:noWrap w:val="0"/>
                  <w:vAlign w:val="center"/>
                </w:tcPr>
                <w:p w14:paraId="7C1DF5D9">
                  <w:pPr>
                    <w:pStyle w:val="23"/>
                    <w:spacing w:line="240" w:lineRule="auto"/>
                    <w:ind w:firstLine="0"/>
                    <w:jc w:val="center"/>
                    <w:rPr>
                      <w:rFonts w:hint="eastAsia" w:ascii="Times New Roman" w:hAnsi="Times New Roman"/>
                      <w:b w:val="0"/>
                      <w:bCs/>
                      <w:sz w:val="21"/>
                      <w:szCs w:val="21"/>
                      <w:highlight w:val="yellow"/>
                      <w:lang w:eastAsia="zh-CN"/>
                    </w:rPr>
                  </w:pPr>
                </w:p>
              </w:tc>
            </w:tr>
            <w:tr w14:paraId="02A2E5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31" w:type="pct"/>
                  <w:vMerge w:val="continue"/>
                  <w:noWrap w:val="0"/>
                  <w:vAlign w:val="center"/>
                </w:tcPr>
                <w:p w14:paraId="3CED88F6">
                  <w:pPr>
                    <w:pStyle w:val="23"/>
                    <w:spacing w:line="240" w:lineRule="auto"/>
                    <w:ind w:firstLine="0"/>
                    <w:jc w:val="center"/>
                    <w:rPr>
                      <w:rFonts w:hint="eastAsia" w:ascii="Times New Roman" w:hAnsi="Times New Roman"/>
                      <w:b w:val="0"/>
                      <w:bCs/>
                      <w:color w:val="auto"/>
                      <w:sz w:val="21"/>
                      <w:szCs w:val="21"/>
                      <w:highlight w:val="yellow"/>
                      <w:lang w:eastAsia="zh-CN"/>
                    </w:rPr>
                  </w:pPr>
                </w:p>
              </w:tc>
              <w:tc>
                <w:tcPr>
                  <w:tcW w:w="721" w:type="pct"/>
                  <w:noWrap w:val="0"/>
                  <w:vAlign w:val="center"/>
                </w:tcPr>
                <w:p w14:paraId="60F00AC8">
                  <w:pPr>
                    <w:pStyle w:val="23"/>
                    <w:spacing w:line="240" w:lineRule="auto"/>
                    <w:ind w:firstLine="0"/>
                    <w:jc w:val="center"/>
                    <w:rPr>
                      <w:rFonts w:hint="eastAsia" w:ascii="Times New Roman" w:hAnsi="Times New Roman"/>
                      <w:b w:val="0"/>
                      <w:bCs/>
                      <w:color w:val="auto"/>
                      <w:sz w:val="21"/>
                      <w:szCs w:val="21"/>
                      <w:highlight w:val="none"/>
                      <w:lang w:eastAsia="zh-CN"/>
                    </w:rPr>
                  </w:pPr>
                  <w:r>
                    <w:rPr>
                      <w:rFonts w:hint="eastAsia" w:ascii="Times New Roman" w:hAnsi="Times New Roman"/>
                      <w:b w:val="0"/>
                      <w:bCs/>
                      <w:color w:val="auto"/>
                      <w:sz w:val="21"/>
                      <w:szCs w:val="21"/>
                      <w:highlight w:val="none"/>
                      <w:lang w:eastAsia="zh-CN"/>
                    </w:rPr>
                    <w:t>检验</w:t>
                  </w:r>
                </w:p>
              </w:tc>
              <w:tc>
                <w:tcPr>
                  <w:tcW w:w="1229" w:type="pct"/>
                  <w:vMerge w:val="continue"/>
                  <w:noWrap w:val="0"/>
                  <w:vAlign w:val="center"/>
                </w:tcPr>
                <w:p w14:paraId="2461F914">
                  <w:pPr>
                    <w:pStyle w:val="23"/>
                    <w:spacing w:line="240" w:lineRule="auto"/>
                    <w:ind w:firstLine="0"/>
                    <w:jc w:val="center"/>
                    <w:rPr>
                      <w:rFonts w:hint="eastAsia" w:ascii="Times New Roman" w:hAnsi="Times New Roman"/>
                      <w:b w:val="0"/>
                      <w:bCs/>
                      <w:color w:val="auto"/>
                      <w:sz w:val="21"/>
                      <w:szCs w:val="21"/>
                      <w:highlight w:val="yellow"/>
                      <w:lang w:val="en-US" w:eastAsia="zh-CN"/>
                    </w:rPr>
                  </w:pPr>
                </w:p>
              </w:tc>
              <w:tc>
                <w:tcPr>
                  <w:tcW w:w="2517" w:type="pct"/>
                  <w:vMerge w:val="continue"/>
                  <w:noWrap w:val="0"/>
                  <w:vAlign w:val="center"/>
                </w:tcPr>
                <w:p w14:paraId="7EEF71AE">
                  <w:pPr>
                    <w:pStyle w:val="23"/>
                    <w:spacing w:line="240" w:lineRule="auto"/>
                    <w:ind w:firstLine="0"/>
                    <w:jc w:val="center"/>
                    <w:rPr>
                      <w:rFonts w:hint="eastAsia" w:ascii="Times New Roman" w:hAnsi="Times New Roman"/>
                      <w:b w:val="0"/>
                      <w:bCs/>
                      <w:sz w:val="21"/>
                      <w:szCs w:val="21"/>
                      <w:highlight w:val="yellow"/>
                      <w:lang w:eastAsia="zh-CN"/>
                    </w:rPr>
                  </w:pPr>
                </w:p>
              </w:tc>
            </w:tr>
            <w:tr w14:paraId="5CB967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31" w:type="pct"/>
                  <w:vMerge w:val="continue"/>
                  <w:noWrap w:val="0"/>
                  <w:vAlign w:val="center"/>
                </w:tcPr>
                <w:p w14:paraId="1255567D">
                  <w:pPr>
                    <w:pStyle w:val="23"/>
                    <w:spacing w:line="240" w:lineRule="auto"/>
                    <w:ind w:firstLine="0"/>
                    <w:jc w:val="center"/>
                    <w:rPr>
                      <w:rFonts w:hint="eastAsia" w:ascii="Times New Roman" w:hAnsi="Times New Roman"/>
                      <w:b w:val="0"/>
                      <w:bCs/>
                      <w:color w:val="auto"/>
                      <w:sz w:val="21"/>
                      <w:szCs w:val="21"/>
                      <w:highlight w:val="yellow"/>
                      <w:lang w:eastAsia="zh-CN"/>
                    </w:rPr>
                  </w:pPr>
                </w:p>
              </w:tc>
              <w:tc>
                <w:tcPr>
                  <w:tcW w:w="721" w:type="pct"/>
                  <w:noWrap w:val="0"/>
                  <w:vAlign w:val="center"/>
                </w:tcPr>
                <w:p w14:paraId="785AAD2D">
                  <w:pPr>
                    <w:pStyle w:val="23"/>
                    <w:spacing w:line="240" w:lineRule="auto"/>
                    <w:ind w:firstLine="0"/>
                    <w:jc w:val="center"/>
                    <w:rPr>
                      <w:rFonts w:hint="default" w:ascii="Times New Roman" w:hAnsi="Times New Roman"/>
                      <w:b w:val="0"/>
                      <w:bCs/>
                      <w:color w:val="auto"/>
                      <w:sz w:val="21"/>
                      <w:szCs w:val="21"/>
                      <w:highlight w:val="none"/>
                      <w:lang w:val="en-US" w:eastAsia="zh-CN"/>
                    </w:rPr>
                  </w:pPr>
                  <w:r>
                    <w:rPr>
                      <w:rFonts w:hint="eastAsia" w:ascii="Times New Roman" w:hAnsi="Times New Roman"/>
                      <w:b w:val="0"/>
                      <w:bCs/>
                      <w:color w:val="auto"/>
                      <w:sz w:val="21"/>
                      <w:szCs w:val="21"/>
                      <w:highlight w:val="none"/>
                      <w:lang w:val="en-US" w:eastAsia="zh-CN"/>
                    </w:rPr>
                    <w:t>手术</w:t>
                  </w:r>
                </w:p>
              </w:tc>
              <w:tc>
                <w:tcPr>
                  <w:tcW w:w="1229" w:type="pct"/>
                  <w:vMerge w:val="continue"/>
                  <w:noWrap w:val="0"/>
                  <w:vAlign w:val="center"/>
                </w:tcPr>
                <w:p w14:paraId="64D07744">
                  <w:pPr>
                    <w:pStyle w:val="23"/>
                    <w:spacing w:line="240" w:lineRule="auto"/>
                    <w:ind w:firstLine="0"/>
                    <w:jc w:val="center"/>
                    <w:rPr>
                      <w:rFonts w:hint="eastAsia" w:ascii="Times New Roman" w:hAnsi="Times New Roman"/>
                      <w:b w:val="0"/>
                      <w:bCs/>
                      <w:color w:val="auto"/>
                      <w:sz w:val="21"/>
                      <w:szCs w:val="21"/>
                      <w:highlight w:val="yellow"/>
                      <w:lang w:val="en-US" w:eastAsia="zh-CN"/>
                    </w:rPr>
                  </w:pPr>
                </w:p>
              </w:tc>
              <w:tc>
                <w:tcPr>
                  <w:tcW w:w="2517" w:type="pct"/>
                  <w:vMerge w:val="continue"/>
                  <w:noWrap w:val="0"/>
                  <w:vAlign w:val="center"/>
                </w:tcPr>
                <w:p w14:paraId="75CFC974">
                  <w:pPr>
                    <w:pStyle w:val="23"/>
                    <w:spacing w:line="240" w:lineRule="auto"/>
                    <w:ind w:firstLine="0"/>
                    <w:jc w:val="center"/>
                    <w:rPr>
                      <w:rFonts w:hint="eastAsia" w:ascii="Times New Roman" w:hAnsi="Times New Roman"/>
                      <w:b w:val="0"/>
                      <w:bCs/>
                      <w:sz w:val="21"/>
                      <w:szCs w:val="21"/>
                      <w:highlight w:val="yellow"/>
                      <w:lang w:eastAsia="zh-CN"/>
                    </w:rPr>
                  </w:pPr>
                </w:p>
              </w:tc>
            </w:tr>
            <w:tr w14:paraId="16342C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31" w:type="pct"/>
                  <w:vMerge w:val="continue"/>
                  <w:noWrap w:val="0"/>
                  <w:vAlign w:val="center"/>
                </w:tcPr>
                <w:p w14:paraId="660BBBE7">
                  <w:pPr>
                    <w:pStyle w:val="23"/>
                    <w:spacing w:line="240" w:lineRule="auto"/>
                    <w:ind w:firstLine="0"/>
                    <w:jc w:val="center"/>
                    <w:rPr>
                      <w:rFonts w:hint="eastAsia" w:ascii="Times New Roman" w:hAnsi="Times New Roman"/>
                      <w:b w:val="0"/>
                      <w:bCs/>
                      <w:color w:val="auto"/>
                      <w:sz w:val="21"/>
                      <w:szCs w:val="21"/>
                      <w:highlight w:val="yellow"/>
                      <w:lang w:eastAsia="zh-CN"/>
                    </w:rPr>
                  </w:pPr>
                </w:p>
              </w:tc>
              <w:tc>
                <w:tcPr>
                  <w:tcW w:w="721" w:type="pct"/>
                  <w:noWrap w:val="0"/>
                  <w:vAlign w:val="center"/>
                </w:tcPr>
                <w:p w14:paraId="745445CA">
                  <w:pPr>
                    <w:pStyle w:val="23"/>
                    <w:spacing w:line="240" w:lineRule="auto"/>
                    <w:ind w:firstLine="0"/>
                    <w:jc w:val="center"/>
                    <w:rPr>
                      <w:rFonts w:hint="default" w:ascii="Times New Roman" w:hAnsi="Times New Roman"/>
                      <w:b w:val="0"/>
                      <w:bCs/>
                      <w:color w:val="auto"/>
                      <w:sz w:val="21"/>
                      <w:szCs w:val="21"/>
                      <w:highlight w:val="none"/>
                      <w:lang w:val="en-US" w:eastAsia="zh-CN"/>
                    </w:rPr>
                  </w:pPr>
                  <w:r>
                    <w:rPr>
                      <w:rFonts w:hint="eastAsia" w:ascii="Times New Roman" w:hAnsi="Times New Roman"/>
                      <w:b w:val="0"/>
                      <w:bCs/>
                      <w:color w:val="auto"/>
                      <w:sz w:val="21"/>
                      <w:szCs w:val="21"/>
                      <w:highlight w:val="none"/>
                      <w:lang w:val="en-US" w:eastAsia="zh-CN"/>
                    </w:rPr>
                    <w:t>纯水制备</w:t>
                  </w:r>
                </w:p>
              </w:tc>
              <w:tc>
                <w:tcPr>
                  <w:tcW w:w="1229" w:type="pct"/>
                  <w:vMerge w:val="continue"/>
                  <w:noWrap w:val="0"/>
                  <w:vAlign w:val="center"/>
                </w:tcPr>
                <w:p w14:paraId="0515F768">
                  <w:pPr>
                    <w:pStyle w:val="23"/>
                    <w:spacing w:line="240" w:lineRule="auto"/>
                    <w:ind w:firstLine="0"/>
                    <w:jc w:val="center"/>
                    <w:rPr>
                      <w:rFonts w:hint="eastAsia" w:ascii="Times New Roman" w:hAnsi="Times New Roman"/>
                      <w:b w:val="0"/>
                      <w:bCs/>
                      <w:color w:val="auto"/>
                      <w:sz w:val="21"/>
                      <w:szCs w:val="21"/>
                      <w:highlight w:val="yellow"/>
                      <w:lang w:val="en-US" w:eastAsia="zh-CN"/>
                    </w:rPr>
                  </w:pPr>
                </w:p>
              </w:tc>
              <w:tc>
                <w:tcPr>
                  <w:tcW w:w="2517" w:type="pct"/>
                  <w:vMerge w:val="continue"/>
                  <w:noWrap w:val="0"/>
                  <w:vAlign w:val="center"/>
                </w:tcPr>
                <w:p w14:paraId="2163531B">
                  <w:pPr>
                    <w:pStyle w:val="23"/>
                    <w:spacing w:line="240" w:lineRule="auto"/>
                    <w:ind w:firstLine="0"/>
                    <w:jc w:val="center"/>
                    <w:rPr>
                      <w:rFonts w:hint="eastAsia" w:ascii="Times New Roman" w:hAnsi="Times New Roman"/>
                      <w:b w:val="0"/>
                      <w:bCs/>
                      <w:sz w:val="21"/>
                      <w:szCs w:val="21"/>
                      <w:highlight w:val="yellow"/>
                      <w:lang w:eastAsia="zh-CN"/>
                    </w:rPr>
                  </w:pPr>
                </w:p>
              </w:tc>
            </w:tr>
            <w:tr w14:paraId="406474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31" w:type="pct"/>
                  <w:vMerge w:val="continue"/>
                  <w:noWrap w:val="0"/>
                  <w:vAlign w:val="center"/>
                </w:tcPr>
                <w:p w14:paraId="1EB7FFBD">
                  <w:pPr>
                    <w:pStyle w:val="23"/>
                    <w:spacing w:line="240" w:lineRule="auto"/>
                    <w:ind w:firstLine="0"/>
                    <w:jc w:val="center"/>
                    <w:rPr>
                      <w:rFonts w:hint="eastAsia" w:ascii="Times New Roman" w:hAnsi="Times New Roman"/>
                      <w:b w:val="0"/>
                      <w:bCs/>
                      <w:color w:val="auto"/>
                      <w:sz w:val="21"/>
                      <w:szCs w:val="21"/>
                      <w:highlight w:val="yellow"/>
                      <w:lang w:eastAsia="zh-CN"/>
                    </w:rPr>
                  </w:pPr>
                </w:p>
              </w:tc>
              <w:tc>
                <w:tcPr>
                  <w:tcW w:w="721" w:type="pct"/>
                  <w:noWrap w:val="0"/>
                  <w:vAlign w:val="center"/>
                </w:tcPr>
                <w:p w14:paraId="7EEB6AA6">
                  <w:pPr>
                    <w:pStyle w:val="23"/>
                    <w:spacing w:line="240" w:lineRule="auto"/>
                    <w:ind w:firstLine="0"/>
                    <w:jc w:val="center"/>
                    <w:rPr>
                      <w:rFonts w:hint="eastAsia" w:ascii="Times New Roman" w:hAnsi="Times New Roman"/>
                      <w:b w:val="0"/>
                      <w:bCs/>
                      <w:color w:val="auto"/>
                      <w:sz w:val="21"/>
                      <w:szCs w:val="21"/>
                      <w:highlight w:val="none"/>
                      <w:lang w:eastAsia="zh-CN"/>
                    </w:rPr>
                  </w:pPr>
                  <w:r>
                    <w:rPr>
                      <w:rFonts w:hint="eastAsia" w:ascii="Times New Roman" w:hAnsi="Times New Roman"/>
                      <w:b w:val="0"/>
                      <w:bCs/>
                      <w:color w:val="auto"/>
                      <w:sz w:val="21"/>
                      <w:szCs w:val="21"/>
                      <w:highlight w:val="none"/>
                      <w:lang w:eastAsia="zh-CN"/>
                    </w:rPr>
                    <w:t>保洁</w:t>
                  </w:r>
                </w:p>
              </w:tc>
              <w:tc>
                <w:tcPr>
                  <w:tcW w:w="1229" w:type="pct"/>
                  <w:vMerge w:val="continue"/>
                  <w:noWrap w:val="0"/>
                  <w:vAlign w:val="center"/>
                </w:tcPr>
                <w:p w14:paraId="30557A4E">
                  <w:pPr>
                    <w:pStyle w:val="23"/>
                    <w:spacing w:line="240" w:lineRule="auto"/>
                    <w:ind w:firstLine="0"/>
                    <w:jc w:val="center"/>
                    <w:rPr>
                      <w:rFonts w:hint="eastAsia" w:ascii="Times New Roman" w:hAnsi="Times New Roman"/>
                      <w:b w:val="0"/>
                      <w:bCs/>
                      <w:color w:val="auto"/>
                      <w:sz w:val="21"/>
                      <w:szCs w:val="21"/>
                      <w:highlight w:val="yellow"/>
                      <w:lang w:val="en-US" w:eastAsia="zh-CN"/>
                    </w:rPr>
                  </w:pPr>
                </w:p>
              </w:tc>
              <w:tc>
                <w:tcPr>
                  <w:tcW w:w="2517" w:type="pct"/>
                  <w:vMerge w:val="continue"/>
                  <w:noWrap w:val="0"/>
                  <w:vAlign w:val="center"/>
                </w:tcPr>
                <w:p w14:paraId="0F9500EE">
                  <w:pPr>
                    <w:pStyle w:val="23"/>
                    <w:spacing w:line="240" w:lineRule="auto"/>
                    <w:ind w:firstLine="0"/>
                    <w:jc w:val="center"/>
                    <w:rPr>
                      <w:rFonts w:hint="eastAsia" w:ascii="Times New Roman" w:hAnsi="Times New Roman"/>
                      <w:b w:val="0"/>
                      <w:bCs/>
                      <w:sz w:val="21"/>
                      <w:szCs w:val="21"/>
                      <w:highlight w:val="yellow"/>
                      <w:lang w:eastAsia="zh-CN"/>
                    </w:rPr>
                  </w:pPr>
                </w:p>
              </w:tc>
            </w:tr>
            <w:tr w14:paraId="13A930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31" w:type="pct"/>
                  <w:vMerge w:val="restart"/>
                  <w:noWrap w:val="0"/>
                  <w:vAlign w:val="center"/>
                </w:tcPr>
                <w:p w14:paraId="4811D2DA">
                  <w:pPr>
                    <w:pStyle w:val="23"/>
                    <w:spacing w:line="240" w:lineRule="auto"/>
                    <w:ind w:firstLine="0"/>
                    <w:jc w:val="center"/>
                    <w:rPr>
                      <w:rFonts w:ascii="Times New Roman" w:hAnsi="Times New Roman"/>
                      <w:b w:val="0"/>
                      <w:bCs/>
                      <w:color w:val="auto"/>
                      <w:sz w:val="21"/>
                      <w:szCs w:val="21"/>
                      <w:highlight w:val="yellow"/>
                    </w:rPr>
                  </w:pPr>
                  <w:r>
                    <w:rPr>
                      <w:rFonts w:hint="eastAsia" w:ascii="Times New Roman" w:hAnsi="Times New Roman"/>
                      <w:b w:val="0"/>
                      <w:bCs/>
                      <w:color w:val="auto"/>
                      <w:sz w:val="21"/>
                      <w:szCs w:val="21"/>
                      <w:highlight w:val="none"/>
                    </w:rPr>
                    <w:t>固废</w:t>
                  </w:r>
                </w:p>
              </w:tc>
              <w:tc>
                <w:tcPr>
                  <w:tcW w:w="721" w:type="pct"/>
                  <w:noWrap w:val="0"/>
                  <w:vAlign w:val="center"/>
                </w:tcPr>
                <w:p w14:paraId="7FDC4F6D">
                  <w:pPr>
                    <w:pStyle w:val="23"/>
                    <w:spacing w:line="240" w:lineRule="auto"/>
                    <w:ind w:firstLine="0"/>
                    <w:jc w:val="center"/>
                    <w:rPr>
                      <w:rFonts w:hint="eastAsia" w:ascii="Times New Roman" w:hAnsi="Times New Roman" w:eastAsia="宋体"/>
                      <w:b w:val="0"/>
                      <w:bCs/>
                      <w:color w:val="auto"/>
                      <w:sz w:val="21"/>
                      <w:szCs w:val="21"/>
                      <w:highlight w:val="none"/>
                      <w:lang w:eastAsia="zh-CN"/>
                    </w:rPr>
                  </w:pPr>
                  <w:r>
                    <w:rPr>
                      <w:rFonts w:hint="eastAsia" w:ascii="Times New Roman" w:hAnsi="Times New Roman"/>
                      <w:b w:val="0"/>
                      <w:bCs/>
                      <w:color w:val="auto"/>
                      <w:sz w:val="21"/>
                      <w:szCs w:val="21"/>
                      <w:highlight w:val="none"/>
                      <w:lang w:eastAsia="zh-CN"/>
                    </w:rPr>
                    <w:t>职工生活</w:t>
                  </w:r>
                </w:p>
              </w:tc>
              <w:tc>
                <w:tcPr>
                  <w:tcW w:w="1229" w:type="pct"/>
                  <w:noWrap w:val="0"/>
                  <w:vAlign w:val="center"/>
                </w:tcPr>
                <w:p w14:paraId="78C3D558">
                  <w:pPr>
                    <w:pStyle w:val="23"/>
                    <w:spacing w:line="240" w:lineRule="auto"/>
                    <w:ind w:firstLine="0"/>
                    <w:jc w:val="center"/>
                    <w:rPr>
                      <w:rFonts w:hint="default" w:ascii="Times New Roman" w:hAnsi="Times New Roman" w:eastAsia="宋体"/>
                      <w:b w:val="0"/>
                      <w:bCs/>
                      <w:color w:val="auto"/>
                      <w:sz w:val="21"/>
                      <w:szCs w:val="21"/>
                      <w:highlight w:val="none"/>
                      <w:lang w:val="en-US" w:eastAsia="zh-CN"/>
                    </w:rPr>
                  </w:pPr>
                  <w:r>
                    <w:rPr>
                      <w:rFonts w:hint="eastAsia" w:ascii="Times New Roman" w:hAnsi="Times New Roman"/>
                      <w:b w:val="0"/>
                      <w:bCs/>
                      <w:color w:val="auto"/>
                      <w:sz w:val="21"/>
                      <w:szCs w:val="21"/>
                      <w:highlight w:val="none"/>
                      <w:lang w:val="en-US" w:eastAsia="zh-CN"/>
                    </w:rPr>
                    <w:t>生活垃圾</w:t>
                  </w:r>
                </w:p>
              </w:tc>
              <w:tc>
                <w:tcPr>
                  <w:tcW w:w="2517" w:type="pct"/>
                  <w:noWrap w:val="0"/>
                  <w:vAlign w:val="center"/>
                </w:tcPr>
                <w:p w14:paraId="3F9585E4">
                  <w:pPr>
                    <w:pStyle w:val="23"/>
                    <w:spacing w:line="240" w:lineRule="auto"/>
                    <w:ind w:firstLine="0"/>
                    <w:jc w:val="center"/>
                    <w:rPr>
                      <w:rFonts w:hint="eastAsia" w:ascii="Times New Roman" w:hAnsi="Times New Roman" w:eastAsia="宋体"/>
                      <w:b w:val="0"/>
                      <w:bCs/>
                      <w:color w:val="auto"/>
                      <w:sz w:val="21"/>
                      <w:szCs w:val="21"/>
                      <w:highlight w:val="none"/>
                      <w:lang w:eastAsia="zh-CN"/>
                    </w:rPr>
                  </w:pPr>
                  <w:r>
                    <w:rPr>
                      <w:rFonts w:hint="eastAsia" w:ascii="Times New Roman" w:hAnsi="Times New Roman"/>
                      <w:b w:val="0"/>
                      <w:bCs/>
                      <w:color w:val="auto"/>
                      <w:sz w:val="21"/>
                      <w:szCs w:val="21"/>
                      <w:highlight w:val="none"/>
                      <w:lang w:eastAsia="zh-CN"/>
                    </w:rPr>
                    <w:t>收集后交环卫部门清运。</w:t>
                  </w:r>
                </w:p>
              </w:tc>
            </w:tr>
            <w:tr w14:paraId="340549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31" w:type="pct"/>
                  <w:vMerge w:val="continue"/>
                  <w:noWrap w:val="0"/>
                  <w:vAlign w:val="center"/>
                </w:tcPr>
                <w:p w14:paraId="3B861A6B">
                  <w:pPr>
                    <w:pStyle w:val="23"/>
                    <w:spacing w:line="240" w:lineRule="auto"/>
                    <w:ind w:firstLine="0"/>
                    <w:jc w:val="center"/>
                    <w:rPr>
                      <w:rFonts w:hint="eastAsia" w:ascii="Times New Roman" w:hAnsi="Times New Roman"/>
                      <w:b w:val="0"/>
                      <w:bCs/>
                      <w:color w:val="auto"/>
                      <w:sz w:val="21"/>
                      <w:szCs w:val="21"/>
                      <w:highlight w:val="yellow"/>
                    </w:rPr>
                  </w:pPr>
                </w:p>
              </w:tc>
              <w:tc>
                <w:tcPr>
                  <w:tcW w:w="721" w:type="pct"/>
                  <w:noWrap w:val="0"/>
                  <w:vAlign w:val="center"/>
                </w:tcPr>
                <w:p w14:paraId="67493833">
                  <w:pPr>
                    <w:pStyle w:val="23"/>
                    <w:spacing w:line="240" w:lineRule="auto"/>
                    <w:ind w:firstLine="0"/>
                    <w:jc w:val="center"/>
                    <w:rPr>
                      <w:rFonts w:hint="eastAsia" w:ascii="Times New Roman" w:hAnsi="Times New Roman" w:eastAsia="宋体"/>
                      <w:b w:val="0"/>
                      <w:bCs/>
                      <w:color w:val="auto"/>
                      <w:sz w:val="21"/>
                      <w:szCs w:val="21"/>
                      <w:highlight w:val="none"/>
                      <w:lang w:eastAsia="zh-CN"/>
                    </w:rPr>
                  </w:pPr>
                  <w:r>
                    <w:rPr>
                      <w:rFonts w:hint="eastAsia" w:ascii="Times New Roman" w:hAnsi="Times New Roman"/>
                      <w:b w:val="0"/>
                      <w:bCs/>
                      <w:color w:val="auto"/>
                      <w:sz w:val="21"/>
                      <w:szCs w:val="21"/>
                      <w:highlight w:val="none"/>
                      <w:lang w:eastAsia="zh-CN"/>
                    </w:rPr>
                    <w:t>药品包装</w:t>
                  </w:r>
                </w:p>
              </w:tc>
              <w:tc>
                <w:tcPr>
                  <w:tcW w:w="1229" w:type="pct"/>
                  <w:noWrap w:val="0"/>
                  <w:vAlign w:val="center"/>
                </w:tcPr>
                <w:p w14:paraId="47D844F6">
                  <w:pPr>
                    <w:pStyle w:val="23"/>
                    <w:spacing w:line="240" w:lineRule="auto"/>
                    <w:ind w:firstLine="0"/>
                    <w:jc w:val="center"/>
                    <w:rPr>
                      <w:rFonts w:hint="eastAsia" w:ascii="Times New Roman" w:hAnsi="Times New Roman" w:eastAsia="宋体"/>
                      <w:b w:val="0"/>
                      <w:bCs/>
                      <w:color w:val="auto"/>
                      <w:sz w:val="21"/>
                      <w:szCs w:val="21"/>
                      <w:highlight w:val="none"/>
                      <w:lang w:eastAsia="zh-CN"/>
                    </w:rPr>
                  </w:pPr>
                  <w:r>
                    <w:rPr>
                      <w:rFonts w:hint="eastAsia" w:ascii="Times New Roman" w:hAnsi="Times New Roman"/>
                      <w:b w:val="0"/>
                      <w:bCs/>
                      <w:color w:val="auto"/>
                      <w:sz w:val="21"/>
                      <w:szCs w:val="21"/>
                      <w:highlight w:val="none"/>
                      <w:lang w:eastAsia="zh-CN"/>
                    </w:rPr>
                    <w:t>废包装材料</w:t>
                  </w:r>
                </w:p>
              </w:tc>
              <w:tc>
                <w:tcPr>
                  <w:tcW w:w="2517" w:type="pct"/>
                  <w:noWrap w:val="0"/>
                  <w:vAlign w:val="center"/>
                </w:tcPr>
                <w:p w14:paraId="1E8A7EFD">
                  <w:pPr>
                    <w:pStyle w:val="23"/>
                    <w:spacing w:line="240" w:lineRule="auto"/>
                    <w:ind w:firstLine="0"/>
                    <w:jc w:val="center"/>
                    <w:rPr>
                      <w:rFonts w:hint="eastAsia" w:ascii="Times New Roman" w:hAnsi="Times New Roman" w:eastAsia="宋体"/>
                      <w:b w:val="0"/>
                      <w:bCs/>
                      <w:color w:val="auto"/>
                      <w:sz w:val="21"/>
                      <w:szCs w:val="21"/>
                      <w:highlight w:val="none"/>
                      <w:lang w:eastAsia="zh-CN"/>
                    </w:rPr>
                  </w:pPr>
                  <w:r>
                    <w:rPr>
                      <w:rFonts w:hint="eastAsia" w:ascii="Times New Roman" w:hAnsi="Times New Roman"/>
                      <w:b w:val="0"/>
                      <w:bCs/>
                      <w:color w:val="auto"/>
                      <w:sz w:val="21"/>
                      <w:szCs w:val="21"/>
                      <w:highlight w:val="none"/>
                    </w:rPr>
                    <w:t>外售综合利用</w:t>
                  </w:r>
                  <w:r>
                    <w:rPr>
                      <w:rFonts w:hint="eastAsia" w:ascii="Times New Roman" w:hAnsi="Times New Roman"/>
                      <w:b w:val="0"/>
                      <w:bCs/>
                      <w:color w:val="auto"/>
                      <w:sz w:val="21"/>
                      <w:szCs w:val="21"/>
                      <w:highlight w:val="none"/>
                      <w:lang w:eastAsia="zh-CN"/>
                    </w:rPr>
                    <w:t>。</w:t>
                  </w:r>
                </w:p>
              </w:tc>
            </w:tr>
            <w:tr w14:paraId="143E7B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31" w:type="pct"/>
                  <w:vMerge w:val="continue"/>
                  <w:noWrap w:val="0"/>
                  <w:vAlign w:val="center"/>
                </w:tcPr>
                <w:p w14:paraId="47B7CCF6">
                  <w:pPr>
                    <w:pStyle w:val="23"/>
                    <w:spacing w:line="240" w:lineRule="auto"/>
                    <w:ind w:firstLine="0"/>
                    <w:jc w:val="center"/>
                    <w:rPr>
                      <w:rFonts w:hint="eastAsia" w:ascii="Times New Roman" w:hAnsi="Times New Roman"/>
                      <w:b w:val="0"/>
                      <w:bCs/>
                      <w:color w:val="auto"/>
                      <w:sz w:val="21"/>
                      <w:szCs w:val="21"/>
                      <w:highlight w:val="yellow"/>
                    </w:rPr>
                  </w:pPr>
                </w:p>
              </w:tc>
              <w:tc>
                <w:tcPr>
                  <w:tcW w:w="721" w:type="pct"/>
                  <w:noWrap w:val="0"/>
                  <w:vAlign w:val="center"/>
                </w:tcPr>
                <w:p w14:paraId="3715E48C">
                  <w:pPr>
                    <w:pStyle w:val="23"/>
                    <w:spacing w:line="240" w:lineRule="auto"/>
                    <w:ind w:firstLine="0"/>
                    <w:jc w:val="center"/>
                    <w:rPr>
                      <w:rFonts w:hint="eastAsia" w:ascii="Times New Roman" w:hAnsi="Times New Roman"/>
                      <w:b w:val="0"/>
                      <w:bCs/>
                      <w:color w:val="auto"/>
                      <w:sz w:val="21"/>
                      <w:szCs w:val="21"/>
                      <w:highlight w:val="none"/>
                      <w:lang w:eastAsia="zh-CN"/>
                    </w:rPr>
                  </w:pPr>
                  <w:r>
                    <w:rPr>
                      <w:rFonts w:hint="eastAsia" w:ascii="Times New Roman" w:hAnsi="Times New Roman"/>
                      <w:b w:val="0"/>
                      <w:bCs/>
                      <w:color w:val="auto"/>
                      <w:sz w:val="21"/>
                      <w:szCs w:val="21"/>
                      <w:highlight w:val="none"/>
                      <w:lang w:eastAsia="zh-CN"/>
                    </w:rPr>
                    <w:t>药品</w:t>
                  </w:r>
                </w:p>
              </w:tc>
              <w:tc>
                <w:tcPr>
                  <w:tcW w:w="1229" w:type="pct"/>
                  <w:noWrap w:val="0"/>
                  <w:vAlign w:val="center"/>
                </w:tcPr>
                <w:p w14:paraId="5D986BBA">
                  <w:pPr>
                    <w:pStyle w:val="23"/>
                    <w:spacing w:line="240" w:lineRule="auto"/>
                    <w:ind w:firstLine="0"/>
                    <w:jc w:val="center"/>
                    <w:rPr>
                      <w:rFonts w:hint="eastAsia" w:ascii="Times New Roman" w:hAnsi="Times New Roman"/>
                      <w:b w:val="0"/>
                      <w:bCs/>
                      <w:color w:val="auto"/>
                      <w:sz w:val="21"/>
                      <w:szCs w:val="21"/>
                      <w:highlight w:val="none"/>
                      <w:lang w:eastAsia="zh-CN"/>
                    </w:rPr>
                  </w:pPr>
                  <w:r>
                    <w:rPr>
                      <w:rFonts w:hint="eastAsia" w:ascii="Times New Roman" w:hAnsi="Times New Roman"/>
                      <w:b w:val="0"/>
                      <w:bCs/>
                      <w:color w:val="auto"/>
                      <w:sz w:val="21"/>
                      <w:szCs w:val="21"/>
                      <w:highlight w:val="none"/>
                      <w:lang w:eastAsia="zh-CN"/>
                    </w:rPr>
                    <w:t>废药品</w:t>
                  </w:r>
                </w:p>
              </w:tc>
              <w:tc>
                <w:tcPr>
                  <w:tcW w:w="2517" w:type="pct"/>
                  <w:noWrap w:val="0"/>
                  <w:vAlign w:val="center"/>
                </w:tcPr>
                <w:p w14:paraId="604C348E">
                  <w:pPr>
                    <w:pStyle w:val="23"/>
                    <w:spacing w:line="240" w:lineRule="auto"/>
                    <w:ind w:firstLine="0"/>
                    <w:jc w:val="center"/>
                    <w:rPr>
                      <w:rFonts w:hint="eastAsia" w:ascii="Times New Roman" w:hAnsi="Times New Roman"/>
                      <w:b w:val="0"/>
                      <w:bCs/>
                      <w:color w:val="auto"/>
                      <w:sz w:val="21"/>
                      <w:szCs w:val="21"/>
                      <w:highlight w:val="none"/>
                    </w:rPr>
                  </w:pPr>
                  <w:r>
                    <w:rPr>
                      <w:rFonts w:hint="eastAsia" w:ascii="Times New Roman" w:hAnsi="Times New Roman"/>
                      <w:b w:val="0"/>
                      <w:bCs/>
                      <w:color w:val="auto"/>
                      <w:sz w:val="21"/>
                      <w:szCs w:val="21"/>
                      <w:highlight w:val="none"/>
                    </w:rPr>
                    <w:t>使用专用收纳袋封装，交由有相应医疗废物处理资质的单位处置。</w:t>
                  </w:r>
                </w:p>
              </w:tc>
            </w:tr>
            <w:tr w14:paraId="497B29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31" w:type="pct"/>
                  <w:vMerge w:val="continue"/>
                  <w:noWrap w:val="0"/>
                  <w:vAlign w:val="center"/>
                </w:tcPr>
                <w:p w14:paraId="23BBB0E4">
                  <w:pPr>
                    <w:pStyle w:val="23"/>
                    <w:spacing w:line="240" w:lineRule="auto"/>
                    <w:ind w:firstLine="0"/>
                    <w:jc w:val="center"/>
                    <w:rPr>
                      <w:rFonts w:hint="eastAsia" w:ascii="Times New Roman" w:hAnsi="Times New Roman"/>
                      <w:b w:val="0"/>
                      <w:bCs/>
                      <w:color w:val="auto"/>
                      <w:sz w:val="21"/>
                      <w:szCs w:val="21"/>
                      <w:highlight w:val="yellow"/>
                    </w:rPr>
                  </w:pPr>
                </w:p>
              </w:tc>
              <w:tc>
                <w:tcPr>
                  <w:tcW w:w="721" w:type="pct"/>
                  <w:noWrap w:val="0"/>
                  <w:vAlign w:val="center"/>
                </w:tcPr>
                <w:p w14:paraId="23B29DCC">
                  <w:pPr>
                    <w:pStyle w:val="23"/>
                    <w:spacing w:line="240" w:lineRule="auto"/>
                    <w:ind w:firstLine="0"/>
                    <w:jc w:val="center"/>
                    <w:rPr>
                      <w:rFonts w:hint="default" w:ascii="Times New Roman" w:hAnsi="Times New Roman"/>
                      <w:b w:val="0"/>
                      <w:bCs/>
                      <w:color w:val="auto"/>
                      <w:sz w:val="21"/>
                      <w:szCs w:val="21"/>
                      <w:highlight w:val="none"/>
                      <w:lang w:eastAsia="zh-CN"/>
                    </w:rPr>
                  </w:pPr>
                  <w:r>
                    <w:rPr>
                      <w:rFonts w:hint="eastAsia" w:ascii="Times New Roman" w:hAnsi="Times New Roman"/>
                      <w:b w:val="0"/>
                      <w:bCs/>
                      <w:color w:val="auto"/>
                      <w:sz w:val="21"/>
                      <w:szCs w:val="21"/>
                      <w:highlight w:val="none"/>
                      <w:lang w:val="en-US" w:eastAsia="zh-CN"/>
                    </w:rPr>
                    <w:t>/</w:t>
                  </w:r>
                </w:p>
              </w:tc>
              <w:tc>
                <w:tcPr>
                  <w:tcW w:w="1229" w:type="pct"/>
                  <w:noWrap w:val="0"/>
                  <w:vAlign w:val="center"/>
                </w:tcPr>
                <w:p w14:paraId="2378B087">
                  <w:pPr>
                    <w:pStyle w:val="23"/>
                    <w:spacing w:line="240" w:lineRule="auto"/>
                    <w:ind w:firstLine="0"/>
                    <w:jc w:val="center"/>
                    <w:rPr>
                      <w:rFonts w:hint="eastAsia" w:ascii="Times New Roman" w:hAnsi="Times New Roman"/>
                      <w:b w:val="0"/>
                      <w:bCs/>
                      <w:color w:val="auto"/>
                      <w:sz w:val="21"/>
                      <w:szCs w:val="21"/>
                      <w:highlight w:val="none"/>
                      <w:lang w:eastAsia="zh-CN"/>
                    </w:rPr>
                  </w:pPr>
                  <w:r>
                    <w:rPr>
                      <w:rFonts w:hint="eastAsia" w:ascii="Times New Roman" w:hAnsi="Times New Roman"/>
                      <w:b w:val="0"/>
                      <w:bCs/>
                      <w:color w:val="auto"/>
                      <w:sz w:val="21"/>
                      <w:szCs w:val="21"/>
                      <w:highlight w:val="none"/>
                      <w:lang w:eastAsia="zh-CN"/>
                    </w:rPr>
                    <w:t>医疗废物</w:t>
                  </w:r>
                </w:p>
              </w:tc>
              <w:tc>
                <w:tcPr>
                  <w:tcW w:w="2517" w:type="pct"/>
                  <w:noWrap w:val="0"/>
                  <w:vAlign w:val="center"/>
                </w:tcPr>
                <w:p w14:paraId="55A91FBC">
                  <w:pPr>
                    <w:pStyle w:val="23"/>
                    <w:spacing w:line="240" w:lineRule="auto"/>
                    <w:ind w:firstLine="0"/>
                    <w:jc w:val="center"/>
                    <w:rPr>
                      <w:rFonts w:hint="eastAsia" w:ascii="Times New Roman" w:hAnsi="Times New Roman"/>
                      <w:b w:val="0"/>
                      <w:bCs/>
                      <w:color w:val="auto"/>
                      <w:sz w:val="21"/>
                      <w:szCs w:val="21"/>
                      <w:highlight w:val="none"/>
                    </w:rPr>
                  </w:pPr>
                  <w:r>
                    <w:rPr>
                      <w:rFonts w:hint="eastAsia" w:ascii="Times New Roman" w:hAnsi="Times New Roman"/>
                      <w:b w:val="0"/>
                      <w:bCs/>
                      <w:color w:val="auto"/>
                      <w:sz w:val="21"/>
                      <w:szCs w:val="21"/>
                      <w:highlight w:val="none"/>
                    </w:rPr>
                    <w:t>暂存于医疗废物暂存间，定期交有资质单位处理。</w:t>
                  </w:r>
                </w:p>
              </w:tc>
            </w:tr>
            <w:tr w14:paraId="4388B9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31" w:type="pct"/>
                  <w:vMerge w:val="continue"/>
                  <w:noWrap w:val="0"/>
                  <w:vAlign w:val="center"/>
                </w:tcPr>
                <w:p w14:paraId="17E4EE1F">
                  <w:pPr>
                    <w:pStyle w:val="23"/>
                    <w:spacing w:line="240" w:lineRule="auto"/>
                    <w:ind w:firstLine="0"/>
                    <w:jc w:val="center"/>
                    <w:rPr>
                      <w:rFonts w:hint="eastAsia" w:ascii="Times New Roman" w:hAnsi="Times New Roman"/>
                      <w:b w:val="0"/>
                      <w:bCs/>
                      <w:color w:val="auto"/>
                      <w:sz w:val="21"/>
                      <w:szCs w:val="21"/>
                    </w:rPr>
                  </w:pPr>
                </w:p>
              </w:tc>
              <w:tc>
                <w:tcPr>
                  <w:tcW w:w="721" w:type="pct"/>
                  <w:vMerge w:val="restart"/>
                  <w:noWrap w:val="0"/>
                  <w:vAlign w:val="center"/>
                </w:tcPr>
                <w:p w14:paraId="3723FAE5">
                  <w:pPr>
                    <w:pStyle w:val="23"/>
                    <w:spacing w:line="240" w:lineRule="auto"/>
                    <w:ind w:firstLine="0"/>
                    <w:jc w:val="center"/>
                    <w:rPr>
                      <w:rFonts w:hint="eastAsia" w:ascii="Times New Roman" w:hAnsi="Times New Roman"/>
                      <w:b w:val="0"/>
                      <w:bCs/>
                      <w:color w:val="auto"/>
                      <w:sz w:val="21"/>
                      <w:szCs w:val="21"/>
                      <w:highlight w:val="none"/>
                    </w:rPr>
                  </w:pPr>
                  <w:r>
                    <w:rPr>
                      <w:rFonts w:hint="eastAsia" w:ascii="Times New Roman" w:hAnsi="Times New Roman"/>
                      <w:b w:val="0"/>
                      <w:bCs/>
                      <w:color w:val="auto"/>
                      <w:sz w:val="21"/>
                      <w:szCs w:val="21"/>
                      <w:highlight w:val="none"/>
                      <w:lang w:eastAsia="zh-CN"/>
                    </w:rPr>
                    <w:t>污水处理</w:t>
                  </w:r>
                </w:p>
              </w:tc>
              <w:tc>
                <w:tcPr>
                  <w:tcW w:w="1229" w:type="pct"/>
                  <w:noWrap w:val="0"/>
                  <w:vAlign w:val="center"/>
                </w:tcPr>
                <w:p w14:paraId="0932B1C9">
                  <w:pPr>
                    <w:pStyle w:val="23"/>
                    <w:spacing w:line="240" w:lineRule="auto"/>
                    <w:ind w:firstLine="0"/>
                    <w:jc w:val="center"/>
                    <w:rPr>
                      <w:rFonts w:ascii="Times New Roman" w:hAnsi="Times New Roman"/>
                      <w:b w:val="0"/>
                      <w:bCs/>
                      <w:color w:val="auto"/>
                      <w:sz w:val="21"/>
                      <w:szCs w:val="21"/>
                      <w:highlight w:val="none"/>
                    </w:rPr>
                  </w:pPr>
                  <w:r>
                    <w:rPr>
                      <w:rFonts w:hint="eastAsia" w:ascii="Times New Roman" w:hAnsi="Times New Roman"/>
                      <w:b w:val="0"/>
                      <w:bCs/>
                      <w:color w:val="auto"/>
                      <w:sz w:val="21"/>
                      <w:szCs w:val="21"/>
                      <w:highlight w:val="none"/>
                      <w:lang w:eastAsia="zh-CN"/>
                    </w:rPr>
                    <w:t>化粪池污泥、污水处理污泥</w:t>
                  </w:r>
                </w:p>
              </w:tc>
              <w:tc>
                <w:tcPr>
                  <w:tcW w:w="2517" w:type="pct"/>
                  <w:noWrap w:val="0"/>
                  <w:vAlign w:val="center"/>
                </w:tcPr>
                <w:p w14:paraId="6A3C7EB3">
                  <w:pPr>
                    <w:pStyle w:val="23"/>
                    <w:spacing w:line="240" w:lineRule="auto"/>
                    <w:ind w:firstLine="0"/>
                    <w:jc w:val="center"/>
                    <w:rPr>
                      <w:rFonts w:hint="default" w:ascii="Times New Roman" w:hAnsi="Times New Roman" w:eastAsia="宋体"/>
                      <w:b w:val="0"/>
                      <w:bCs/>
                      <w:color w:val="auto"/>
                      <w:sz w:val="21"/>
                      <w:szCs w:val="21"/>
                      <w:highlight w:val="none"/>
                      <w:lang w:val="en-US" w:eastAsia="zh-CN"/>
                    </w:rPr>
                  </w:pPr>
                  <w:r>
                    <w:rPr>
                      <w:rFonts w:hint="eastAsia" w:ascii="Times New Roman" w:hAnsi="Times New Roman"/>
                      <w:b w:val="0"/>
                      <w:bCs/>
                      <w:color w:val="auto"/>
                      <w:sz w:val="21"/>
                      <w:szCs w:val="21"/>
                      <w:highlight w:val="none"/>
                      <w:lang w:val="en-US" w:eastAsia="zh-CN"/>
                    </w:rPr>
                    <w:t>消毒后按照一般固废处理。</w:t>
                  </w:r>
                </w:p>
              </w:tc>
            </w:tr>
            <w:tr w14:paraId="263738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31" w:type="pct"/>
                  <w:vMerge w:val="continue"/>
                  <w:noWrap w:val="0"/>
                  <w:vAlign w:val="center"/>
                </w:tcPr>
                <w:p w14:paraId="52DB63C7">
                  <w:pPr>
                    <w:pStyle w:val="23"/>
                    <w:spacing w:line="240" w:lineRule="auto"/>
                    <w:ind w:firstLine="0"/>
                    <w:jc w:val="center"/>
                    <w:rPr>
                      <w:rFonts w:hint="eastAsia" w:ascii="Times New Roman" w:hAnsi="Times New Roman"/>
                      <w:b w:val="0"/>
                      <w:bCs/>
                      <w:color w:val="auto"/>
                      <w:sz w:val="21"/>
                      <w:szCs w:val="21"/>
                    </w:rPr>
                  </w:pPr>
                </w:p>
              </w:tc>
              <w:tc>
                <w:tcPr>
                  <w:tcW w:w="721" w:type="pct"/>
                  <w:vMerge w:val="continue"/>
                  <w:tcBorders/>
                  <w:noWrap w:val="0"/>
                  <w:vAlign w:val="center"/>
                </w:tcPr>
                <w:p w14:paraId="22852527">
                  <w:pPr>
                    <w:pStyle w:val="23"/>
                    <w:spacing w:line="240" w:lineRule="auto"/>
                    <w:ind w:firstLine="0"/>
                    <w:jc w:val="center"/>
                    <w:rPr>
                      <w:rFonts w:hint="eastAsia" w:ascii="Times New Roman" w:hAnsi="Times New Roman"/>
                      <w:b w:val="0"/>
                      <w:bCs/>
                      <w:color w:val="auto"/>
                      <w:sz w:val="21"/>
                      <w:szCs w:val="21"/>
                      <w:highlight w:val="none"/>
                      <w:lang w:eastAsia="zh-CN"/>
                    </w:rPr>
                  </w:pPr>
                </w:p>
              </w:tc>
              <w:tc>
                <w:tcPr>
                  <w:tcW w:w="1229" w:type="pct"/>
                  <w:noWrap w:val="0"/>
                  <w:vAlign w:val="center"/>
                </w:tcPr>
                <w:p w14:paraId="15A2B8C2">
                  <w:pPr>
                    <w:pStyle w:val="23"/>
                    <w:spacing w:line="240" w:lineRule="auto"/>
                    <w:ind w:firstLine="0" w:firstLineChars="0"/>
                    <w:jc w:val="center"/>
                    <w:rPr>
                      <w:rFonts w:hint="eastAsia" w:ascii="Times New Roman" w:hAnsi="Times New Roman"/>
                      <w:b w:val="0"/>
                      <w:bCs/>
                      <w:color w:val="auto"/>
                      <w:sz w:val="21"/>
                      <w:szCs w:val="21"/>
                      <w:highlight w:val="none"/>
                      <w:lang w:eastAsia="zh-CN"/>
                    </w:rPr>
                  </w:pPr>
                  <w:r>
                    <w:rPr>
                      <w:rFonts w:hint="eastAsia" w:ascii="Times New Roman" w:hAnsi="Times New Roman"/>
                      <w:b w:val="0"/>
                      <w:bCs/>
                      <w:color w:val="auto"/>
                      <w:sz w:val="21"/>
                      <w:szCs w:val="21"/>
                      <w:highlight w:val="none"/>
                      <w:lang w:eastAsia="zh-CN"/>
                    </w:rPr>
                    <w:t>栅渣</w:t>
                  </w:r>
                </w:p>
              </w:tc>
              <w:tc>
                <w:tcPr>
                  <w:tcW w:w="2517" w:type="pct"/>
                  <w:noWrap w:val="0"/>
                  <w:vAlign w:val="center"/>
                </w:tcPr>
                <w:p w14:paraId="11A71B60">
                  <w:pPr>
                    <w:pStyle w:val="23"/>
                    <w:spacing w:line="240" w:lineRule="auto"/>
                    <w:ind w:firstLine="0" w:firstLineChars="0"/>
                    <w:jc w:val="center"/>
                    <w:rPr>
                      <w:rFonts w:hint="eastAsia" w:ascii="Times New Roman" w:hAnsi="Times New Roman"/>
                      <w:b w:val="0"/>
                      <w:bCs/>
                      <w:color w:val="auto"/>
                      <w:sz w:val="21"/>
                      <w:szCs w:val="21"/>
                      <w:highlight w:val="none"/>
                    </w:rPr>
                  </w:pPr>
                  <w:r>
                    <w:rPr>
                      <w:rFonts w:hint="eastAsia" w:ascii="Times New Roman" w:hAnsi="Times New Roman"/>
                      <w:b w:val="0"/>
                      <w:bCs/>
                      <w:color w:val="auto"/>
                      <w:sz w:val="21"/>
                      <w:szCs w:val="21"/>
                      <w:highlight w:val="none"/>
                    </w:rPr>
                    <w:t>暂存于危废暂存间，定期交有资质单位处理。</w:t>
                  </w:r>
                </w:p>
              </w:tc>
            </w:tr>
            <w:tr w14:paraId="745C23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31" w:type="pct"/>
                  <w:vMerge w:val="continue"/>
                  <w:noWrap w:val="0"/>
                  <w:vAlign w:val="center"/>
                </w:tcPr>
                <w:p w14:paraId="72E61808">
                  <w:pPr>
                    <w:pStyle w:val="23"/>
                    <w:spacing w:line="240" w:lineRule="auto"/>
                    <w:ind w:firstLine="0"/>
                    <w:jc w:val="center"/>
                    <w:rPr>
                      <w:rFonts w:hint="eastAsia" w:ascii="Times New Roman" w:hAnsi="Times New Roman"/>
                      <w:b w:val="0"/>
                      <w:bCs/>
                      <w:color w:val="auto"/>
                      <w:sz w:val="21"/>
                      <w:szCs w:val="21"/>
                    </w:rPr>
                  </w:pPr>
                </w:p>
              </w:tc>
              <w:tc>
                <w:tcPr>
                  <w:tcW w:w="721" w:type="pct"/>
                  <w:noWrap w:val="0"/>
                  <w:vAlign w:val="center"/>
                </w:tcPr>
                <w:p w14:paraId="35E7865C">
                  <w:pPr>
                    <w:pStyle w:val="23"/>
                    <w:spacing w:line="240" w:lineRule="auto"/>
                    <w:ind w:firstLine="0"/>
                    <w:jc w:val="center"/>
                    <w:rPr>
                      <w:rFonts w:hint="eastAsia" w:ascii="Times New Roman" w:hAnsi="Times New Roman"/>
                      <w:b w:val="0"/>
                      <w:bCs/>
                      <w:color w:val="auto"/>
                      <w:sz w:val="21"/>
                      <w:szCs w:val="21"/>
                      <w:highlight w:val="none"/>
                      <w:lang w:eastAsia="zh-CN"/>
                    </w:rPr>
                  </w:pPr>
                  <w:r>
                    <w:rPr>
                      <w:rFonts w:hint="eastAsia" w:ascii="Times New Roman" w:hAnsi="Times New Roman"/>
                      <w:b w:val="0"/>
                      <w:bCs/>
                      <w:color w:val="auto"/>
                      <w:sz w:val="21"/>
                      <w:szCs w:val="21"/>
                      <w:highlight w:val="none"/>
                      <w:lang w:eastAsia="zh-CN"/>
                    </w:rPr>
                    <w:t>检验</w:t>
                  </w:r>
                </w:p>
              </w:tc>
              <w:tc>
                <w:tcPr>
                  <w:tcW w:w="1229" w:type="pct"/>
                  <w:noWrap w:val="0"/>
                  <w:vAlign w:val="center"/>
                </w:tcPr>
                <w:p w14:paraId="0DBAC70F">
                  <w:pPr>
                    <w:pStyle w:val="23"/>
                    <w:spacing w:line="240" w:lineRule="auto"/>
                    <w:ind w:firstLine="0"/>
                    <w:jc w:val="center"/>
                    <w:rPr>
                      <w:rFonts w:hint="eastAsia" w:ascii="Times New Roman" w:hAnsi="Times New Roman"/>
                      <w:b w:val="0"/>
                      <w:bCs/>
                      <w:color w:val="auto"/>
                      <w:sz w:val="21"/>
                      <w:szCs w:val="21"/>
                      <w:highlight w:val="none"/>
                      <w:lang w:eastAsia="zh-CN"/>
                    </w:rPr>
                  </w:pPr>
                  <w:r>
                    <w:rPr>
                      <w:rFonts w:hint="eastAsia"/>
                      <w:b w:val="0"/>
                      <w:bCs/>
                      <w:sz w:val="21"/>
                      <w:szCs w:val="21"/>
                      <w:highlight w:val="none"/>
                      <w:lang w:eastAsia="zh-CN"/>
                    </w:rPr>
                    <w:t>检验废液</w:t>
                  </w:r>
                </w:p>
              </w:tc>
              <w:tc>
                <w:tcPr>
                  <w:tcW w:w="2517" w:type="pct"/>
                  <w:noWrap w:val="0"/>
                  <w:vAlign w:val="center"/>
                </w:tcPr>
                <w:p w14:paraId="0DDDC9DE">
                  <w:pPr>
                    <w:pStyle w:val="23"/>
                    <w:spacing w:line="240" w:lineRule="auto"/>
                    <w:ind w:firstLine="0"/>
                    <w:jc w:val="center"/>
                    <w:rPr>
                      <w:rFonts w:hint="eastAsia" w:ascii="Times New Roman" w:hAnsi="Times New Roman"/>
                      <w:b w:val="0"/>
                      <w:bCs/>
                      <w:color w:val="auto"/>
                      <w:sz w:val="21"/>
                      <w:szCs w:val="21"/>
                      <w:highlight w:val="none"/>
                    </w:rPr>
                  </w:pPr>
                  <w:r>
                    <w:rPr>
                      <w:rFonts w:hint="eastAsia" w:ascii="Times New Roman" w:hAnsi="Times New Roman"/>
                      <w:b w:val="0"/>
                      <w:bCs/>
                      <w:color w:val="auto"/>
                      <w:sz w:val="21"/>
                      <w:szCs w:val="21"/>
                      <w:highlight w:val="none"/>
                    </w:rPr>
                    <w:t>暂存于医疗废物暂存间，定期交有资质单位处理。</w:t>
                  </w:r>
                </w:p>
              </w:tc>
            </w:tr>
            <w:tr w14:paraId="218451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31" w:type="pct"/>
                  <w:noWrap w:val="0"/>
                  <w:vAlign w:val="center"/>
                </w:tcPr>
                <w:p w14:paraId="729C3F85">
                  <w:pPr>
                    <w:pStyle w:val="23"/>
                    <w:spacing w:line="240" w:lineRule="auto"/>
                    <w:ind w:firstLine="0"/>
                    <w:jc w:val="center"/>
                    <w:rPr>
                      <w:rFonts w:hint="eastAsia" w:ascii="Times New Roman" w:hAnsi="Times New Roman"/>
                      <w:b w:val="0"/>
                      <w:bCs/>
                      <w:color w:val="auto"/>
                      <w:sz w:val="21"/>
                      <w:szCs w:val="21"/>
                    </w:rPr>
                  </w:pPr>
                  <w:r>
                    <w:rPr>
                      <w:rFonts w:hint="eastAsia" w:ascii="Times New Roman" w:hAnsi="Times New Roman"/>
                      <w:b w:val="0"/>
                      <w:bCs/>
                      <w:color w:val="auto"/>
                      <w:sz w:val="21"/>
                      <w:szCs w:val="21"/>
                    </w:rPr>
                    <w:t>噪声</w:t>
                  </w:r>
                </w:p>
              </w:tc>
              <w:tc>
                <w:tcPr>
                  <w:tcW w:w="721" w:type="pct"/>
                  <w:noWrap w:val="0"/>
                  <w:vAlign w:val="center"/>
                </w:tcPr>
                <w:p w14:paraId="7E74DDFD">
                  <w:pPr>
                    <w:pStyle w:val="23"/>
                    <w:spacing w:line="240" w:lineRule="auto"/>
                    <w:ind w:firstLine="0"/>
                    <w:jc w:val="center"/>
                    <w:rPr>
                      <w:rFonts w:hint="eastAsia" w:ascii="Times New Roman" w:hAnsi="Times New Roman" w:eastAsia="宋体"/>
                      <w:b w:val="0"/>
                      <w:bCs/>
                      <w:color w:val="auto"/>
                      <w:sz w:val="21"/>
                      <w:szCs w:val="21"/>
                      <w:highlight w:val="none"/>
                      <w:lang w:eastAsia="zh-CN"/>
                    </w:rPr>
                  </w:pPr>
                  <w:r>
                    <w:rPr>
                      <w:rFonts w:hint="eastAsia" w:ascii="Times New Roman" w:hAnsi="Times New Roman"/>
                      <w:b w:val="0"/>
                      <w:bCs/>
                      <w:color w:val="auto"/>
                      <w:sz w:val="21"/>
                      <w:szCs w:val="21"/>
                      <w:highlight w:val="none"/>
                      <w:lang w:eastAsia="zh-CN"/>
                    </w:rPr>
                    <w:t>设备运行、人群噪声</w:t>
                  </w:r>
                </w:p>
              </w:tc>
              <w:tc>
                <w:tcPr>
                  <w:tcW w:w="1229" w:type="pct"/>
                  <w:noWrap w:val="0"/>
                  <w:vAlign w:val="center"/>
                </w:tcPr>
                <w:p w14:paraId="1BABF215">
                  <w:pPr>
                    <w:pStyle w:val="23"/>
                    <w:spacing w:line="240" w:lineRule="auto"/>
                    <w:ind w:firstLine="0"/>
                    <w:jc w:val="center"/>
                    <w:rPr>
                      <w:rFonts w:hint="eastAsia" w:ascii="Times New Roman" w:hAnsi="Times New Roman"/>
                      <w:b w:val="0"/>
                      <w:bCs/>
                      <w:color w:val="auto"/>
                      <w:sz w:val="21"/>
                      <w:szCs w:val="21"/>
                      <w:highlight w:val="none"/>
                    </w:rPr>
                  </w:pPr>
                  <w:r>
                    <w:rPr>
                      <w:rFonts w:ascii="Times New Roman" w:hAnsi="Times New Roman"/>
                      <w:b w:val="0"/>
                      <w:bCs/>
                      <w:color w:val="auto"/>
                      <w:sz w:val="21"/>
                      <w:szCs w:val="21"/>
                      <w:highlight w:val="none"/>
                    </w:rPr>
                    <w:t>噪声</w:t>
                  </w:r>
                </w:p>
              </w:tc>
              <w:tc>
                <w:tcPr>
                  <w:tcW w:w="2517" w:type="pct"/>
                  <w:noWrap w:val="0"/>
                  <w:vAlign w:val="center"/>
                </w:tcPr>
                <w:p w14:paraId="4B16AE64">
                  <w:pPr>
                    <w:pStyle w:val="23"/>
                    <w:spacing w:line="240" w:lineRule="auto"/>
                    <w:ind w:firstLine="0"/>
                    <w:jc w:val="center"/>
                    <w:rPr>
                      <w:rFonts w:hint="eastAsia" w:ascii="Times New Roman" w:hAnsi="Times New Roman" w:eastAsia="宋体"/>
                      <w:b w:val="0"/>
                      <w:bCs/>
                      <w:color w:val="auto"/>
                      <w:sz w:val="21"/>
                      <w:szCs w:val="21"/>
                      <w:highlight w:val="none"/>
                      <w:lang w:eastAsia="zh-CN"/>
                    </w:rPr>
                  </w:pPr>
                  <w:r>
                    <w:rPr>
                      <w:rFonts w:hint="eastAsia" w:ascii="Times New Roman" w:hAnsi="Times New Roman"/>
                      <w:b w:val="0"/>
                      <w:bCs/>
                      <w:color w:val="auto"/>
                      <w:sz w:val="21"/>
                      <w:szCs w:val="21"/>
                      <w:highlight w:val="none"/>
                    </w:rPr>
                    <w:t>选取低噪声设备，厂房隔声，基础减振</w:t>
                  </w:r>
                  <w:r>
                    <w:rPr>
                      <w:rFonts w:hint="eastAsia" w:ascii="Times New Roman" w:hAnsi="Times New Roman"/>
                      <w:b w:val="0"/>
                      <w:bCs/>
                      <w:color w:val="auto"/>
                      <w:sz w:val="21"/>
                      <w:szCs w:val="21"/>
                      <w:highlight w:val="none"/>
                      <w:lang w:eastAsia="zh-CN"/>
                    </w:rPr>
                    <w:t>。</w:t>
                  </w:r>
                </w:p>
              </w:tc>
            </w:tr>
          </w:tbl>
          <w:p w14:paraId="512A7D34">
            <w:pPr>
              <w:jc w:val="center"/>
              <w:rPr>
                <w:rFonts w:hint="eastAsia"/>
                <w:b/>
                <w:szCs w:val="21"/>
                <w:highlight w:val="yellow"/>
              </w:rPr>
            </w:pPr>
          </w:p>
          <w:p w14:paraId="2FA87DFC">
            <w:pPr>
              <w:pStyle w:val="12"/>
            </w:pPr>
          </w:p>
        </w:tc>
      </w:tr>
      <w:tr w14:paraId="72D7D54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165" w:hRule="atLeast"/>
          <w:jc w:val="center"/>
        </w:trPr>
        <w:tc>
          <w:tcPr>
            <w:tcW w:w="619" w:type="dxa"/>
            <w:noWrap w:val="0"/>
            <w:vAlign w:val="center"/>
          </w:tcPr>
          <w:p w14:paraId="76817D5D">
            <w:pPr>
              <w:pStyle w:val="13"/>
              <w:adjustRightInd w:val="0"/>
              <w:snapToGrid w:val="0"/>
              <w:spacing w:before="0" w:beforeAutospacing="0" w:after="0" w:afterAutospacing="0"/>
              <w:jc w:val="center"/>
              <w:rPr>
                <w:rFonts w:ascii="Times New Roman" w:hAnsi="Times New Roman"/>
                <w:sz w:val="21"/>
                <w:szCs w:val="21"/>
              </w:rPr>
            </w:pPr>
            <w:r>
              <w:rPr>
                <w:rFonts w:ascii="Times New Roman" w:hAnsi="Times New Roman"/>
                <w:bCs/>
                <w:kern w:val="2"/>
                <w:sz w:val="21"/>
                <w:szCs w:val="21"/>
              </w:rPr>
              <w:t>与项目有关的原有环境污染问题</w:t>
            </w:r>
          </w:p>
        </w:tc>
        <w:tc>
          <w:tcPr>
            <w:tcW w:w="8441" w:type="dxa"/>
            <w:noWrap w:val="0"/>
            <w:vAlign w:val="center"/>
          </w:tcPr>
          <w:p w14:paraId="6CC2D6C3">
            <w:pPr>
              <w:pStyle w:val="19"/>
              <w:spacing w:line="360" w:lineRule="auto"/>
              <w:ind w:firstLine="480" w:firstLineChars="200"/>
              <w:rPr>
                <w:rFonts w:hint="eastAsia" w:ascii="Times New Roman"/>
                <w:sz w:val="24"/>
                <w:szCs w:val="24"/>
              </w:rPr>
            </w:pPr>
            <w:r>
              <w:rPr>
                <w:rFonts w:hint="eastAsia" w:ascii="Times New Roman"/>
                <w:sz w:val="24"/>
                <w:szCs w:val="24"/>
              </w:rPr>
              <w:t>项目</w:t>
            </w:r>
            <w:r>
              <w:rPr>
                <w:rFonts w:hint="eastAsia" w:ascii="Times New Roman"/>
                <w:color w:val="auto"/>
                <w:sz w:val="24"/>
                <w:szCs w:val="24"/>
              </w:rPr>
              <w:t>拟利用原淮南东方医院集团潘三医院原址进行改造建设。原潘三医院始建于1992年，设置床位105张，自</w:t>
            </w:r>
            <w:r>
              <w:rPr>
                <w:rFonts w:hint="eastAsia" w:ascii="Times New Roman"/>
                <w:sz w:val="24"/>
                <w:szCs w:val="24"/>
              </w:rPr>
              <w:t>2024年12月起停业，历史运营期间未履行环评、排污许可等环保手续。原院区已停止运营，原有污染源随之停止排放，无遗留原有环境污染问题。</w:t>
            </w:r>
          </w:p>
          <w:p w14:paraId="63ED9EAE">
            <w:pPr>
              <w:pStyle w:val="19"/>
              <w:spacing w:line="360" w:lineRule="auto"/>
              <w:ind w:firstLine="480" w:firstLineChars="200"/>
              <w:rPr>
                <w:rFonts w:ascii="Times New Roman"/>
                <w:sz w:val="24"/>
                <w:szCs w:val="24"/>
              </w:rPr>
            </w:pPr>
            <w:r>
              <w:rPr>
                <w:rFonts w:hint="eastAsia" w:ascii="Times New Roman"/>
                <w:sz w:val="24"/>
                <w:szCs w:val="24"/>
              </w:rPr>
              <w:t>院区现有雨污管网已建成，本项目雨污分流依托院区现有雨污管网；项目</w:t>
            </w:r>
            <w:r>
              <w:rPr>
                <w:rFonts w:hint="eastAsia" w:ascii="Times New Roman"/>
                <w:sz w:val="24"/>
                <w:szCs w:val="24"/>
                <w:lang w:val="en-US" w:eastAsia="zh-CN"/>
              </w:rPr>
              <w:t>化粪池、</w:t>
            </w:r>
            <w:r>
              <w:rPr>
                <w:rFonts w:hint="eastAsia" w:ascii="Times New Roman"/>
                <w:sz w:val="24"/>
                <w:szCs w:val="24"/>
              </w:rPr>
              <w:t>污水处理站、应急事故池等环保设施均不依托原有设施，按本报告表要求新建，运营期各项污染治理措施均按本报告表要求落实。</w:t>
            </w:r>
          </w:p>
        </w:tc>
      </w:tr>
    </w:tbl>
    <w:p w14:paraId="762280B3">
      <w:pPr>
        <w:pStyle w:val="13"/>
        <w:jc w:val="center"/>
        <w:outlineLvl w:val="0"/>
        <w:rPr>
          <w:rFonts w:ascii="黑体" w:hAnsi="黑体" w:eastAsia="黑体"/>
          <w:snapToGrid w:val="0"/>
          <w:sz w:val="36"/>
          <w:szCs w:val="36"/>
        </w:rPr>
        <w:sectPr>
          <w:footerReference r:id="rId6" w:type="default"/>
          <w:pgSz w:w="11906" w:h="16838"/>
          <w:pgMar w:top="1701" w:right="1531" w:bottom="1701" w:left="1531" w:header="851" w:footer="851" w:gutter="0"/>
          <w:pgNumType w:start="1"/>
          <w:cols w:space="720" w:num="1"/>
          <w:docGrid w:linePitch="312" w:charSpace="0"/>
        </w:sectPr>
      </w:pPr>
    </w:p>
    <w:p w14:paraId="7CC80240">
      <w:pPr>
        <w:pStyle w:val="13"/>
        <w:jc w:val="center"/>
        <w:outlineLvl w:val="0"/>
        <w:rPr>
          <w:rFonts w:ascii="黑体" w:hAnsi="黑体" w:eastAsia="黑体"/>
          <w:snapToGrid w:val="0"/>
          <w:sz w:val="30"/>
          <w:szCs w:val="30"/>
        </w:rPr>
      </w:pPr>
      <w:r>
        <w:rPr>
          <w:rFonts w:hint="eastAsia" w:ascii="黑体" w:hAnsi="黑体" w:eastAsia="黑体"/>
          <w:snapToGrid w:val="0"/>
          <w:sz w:val="30"/>
          <w:szCs w:val="30"/>
        </w:rPr>
        <w:t>三、</w:t>
      </w:r>
      <w:bookmarkStart w:id="3" w:name="OLE_LINK31"/>
      <w:r>
        <w:rPr>
          <w:rFonts w:hint="eastAsia" w:ascii="黑体" w:hAnsi="黑体" w:eastAsia="黑体"/>
          <w:snapToGrid w:val="0"/>
          <w:sz w:val="30"/>
          <w:szCs w:val="30"/>
        </w:rPr>
        <w:t>区域环境质量现状、环境保护目标及评价标准</w:t>
      </w:r>
      <w:bookmarkEnd w:id="3"/>
    </w:p>
    <w:tbl>
      <w:tblPr>
        <w:tblStyle w:val="14"/>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425"/>
        <w:gridCol w:w="8636"/>
      </w:tblGrid>
      <w:tr w14:paraId="26322D0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trHeight w:val="1616" w:hRule="atLeast"/>
          <w:jc w:val="center"/>
        </w:trPr>
        <w:tc>
          <w:tcPr>
            <w:tcW w:w="425" w:type="dxa"/>
            <w:noWrap w:val="0"/>
            <w:vAlign w:val="center"/>
          </w:tcPr>
          <w:p w14:paraId="54FD4737">
            <w:pPr>
              <w:adjustRightInd w:val="0"/>
              <w:snapToGrid w:val="0"/>
              <w:jc w:val="center"/>
              <w:rPr>
                <w:rFonts w:hint="eastAsia" w:ascii="宋体" w:hAnsi="宋体" w:cs="宋体"/>
                <w:kern w:val="0"/>
                <w:szCs w:val="21"/>
              </w:rPr>
            </w:pPr>
            <w:r>
              <w:rPr>
                <w:rFonts w:hint="eastAsia" w:ascii="宋体" w:hAnsi="宋体" w:cs="宋体"/>
                <w:kern w:val="0"/>
                <w:szCs w:val="21"/>
              </w:rPr>
              <w:t>区域</w:t>
            </w:r>
          </w:p>
          <w:p w14:paraId="7D8D7509">
            <w:pPr>
              <w:adjustRightInd w:val="0"/>
              <w:snapToGrid w:val="0"/>
              <w:jc w:val="center"/>
              <w:rPr>
                <w:rFonts w:hint="eastAsia" w:ascii="宋体" w:hAnsi="宋体" w:cs="宋体"/>
                <w:kern w:val="0"/>
                <w:szCs w:val="21"/>
              </w:rPr>
            </w:pPr>
            <w:r>
              <w:rPr>
                <w:rFonts w:hint="eastAsia" w:ascii="宋体" w:hAnsi="宋体" w:cs="宋体"/>
                <w:kern w:val="0"/>
                <w:szCs w:val="21"/>
              </w:rPr>
              <w:t>环境</w:t>
            </w:r>
          </w:p>
          <w:p w14:paraId="102E20A7">
            <w:pPr>
              <w:adjustRightInd w:val="0"/>
              <w:snapToGrid w:val="0"/>
              <w:jc w:val="center"/>
              <w:rPr>
                <w:rFonts w:hint="eastAsia" w:ascii="宋体" w:hAnsi="宋体" w:cs="宋体"/>
                <w:kern w:val="0"/>
                <w:szCs w:val="21"/>
              </w:rPr>
            </w:pPr>
            <w:r>
              <w:rPr>
                <w:rFonts w:hint="eastAsia" w:ascii="宋体" w:hAnsi="宋体" w:cs="宋体"/>
                <w:kern w:val="0"/>
                <w:szCs w:val="21"/>
              </w:rPr>
              <w:t>质量</w:t>
            </w:r>
          </w:p>
          <w:p w14:paraId="286208FB">
            <w:pPr>
              <w:adjustRightInd w:val="0"/>
              <w:snapToGrid w:val="0"/>
              <w:jc w:val="center"/>
              <w:rPr>
                <w:rFonts w:ascii="宋体" w:hAnsi="宋体" w:cs="宋体"/>
                <w:kern w:val="0"/>
                <w:szCs w:val="21"/>
              </w:rPr>
            </w:pPr>
            <w:r>
              <w:rPr>
                <w:rFonts w:hint="eastAsia" w:ascii="宋体" w:hAnsi="宋体" w:cs="宋体"/>
                <w:kern w:val="0"/>
                <w:szCs w:val="21"/>
              </w:rPr>
              <w:t>现状</w:t>
            </w:r>
          </w:p>
        </w:tc>
        <w:tc>
          <w:tcPr>
            <w:tcW w:w="8636" w:type="dxa"/>
            <w:noWrap w:val="0"/>
            <w:vAlign w:val="top"/>
          </w:tcPr>
          <w:p w14:paraId="1A2FF281">
            <w:pPr>
              <w:autoSpaceDE w:val="0"/>
              <w:autoSpaceDN w:val="0"/>
              <w:adjustRightInd/>
              <w:snapToGrid/>
              <w:spacing w:line="360" w:lineRule="auto"/>
              <w:ind w:firstLine="480" w:firstLineChars="200"/>
              <w:rPr>
                <w:rFonts w:hint="eastAsia"/>
                <w:sz w:val="24"/>
              </w:rPr>
            </w:pPr>
            <w:r>
              <w:rPr>
                <w:rFonts w:hint="eastAsia"/>
                <w:sz w:val="24"/>
              </w:rPr>
              <w:t>一、区域环境质量现状</w:t>
            </w:r>
          </w:p>
          <w:p w14:paraId="6C2C39D3">
            <w:pPr>
              <w:spacing w:line="360" w:lineRule="auto"/>
              <w:ind w:firstLine="480"/>
              <w:rPr>
                <w:rFonts w:hint="eastAsia"/>
                <w:color w:val="auto"/>
                <w:sz w:val="24"/>
              </w:rPr>
            </w:pPr>
            <w:r>
              <w:rPr>
                <w:rFonts w:hint="eastAsia"/>
                <w:color w:val="auto"/>
                <w:sz w:val="24"/>
              </w:rPr>
              <w:t>1 大气环境质量现状</w:t>
            </w:r>
          </w:p>
          <w:p w14:paraId="634247BC">
            <w:pPr>
              <w:widowControl/>
              <w:spacing w:line="360" w:lineRule="auto"/>
              <w:ind w:firstLine="480" w:firstLineChars="200"/>
              <w:jc w:val="left"/>
              <w:rPr>
                <w:color w:val="auto"/>
                <w:kern w:val="0"/>
                <w:sz w:val="24"/>
                <w:lang w:bidi="ar"/>
              </w:rPr>
            </w:pPr>
            <w:r>
              <w:rPr>
                <w:color w:val="auto"/>
                <w:kern w:val="0"/>
                <w:sz w:val="24"/>
                <w:lang w:bidi="ar"/>
              </w:rPr>
              <w:t>根据淮南市人民政府发布的《2025 年淮南市环境质量状况公报》，2025年，全市环境空气质量一级（优）97天，二级（良）203天，三级（轻度污染）56天，四级（中度污染）6天，五级</w:t>
            </w:r>
            <w:r>
              <w:rPr>
                <w:rFonts w:hint="eastAsia"/>
                <w:color w:val="auto"/>
                <w:kern w:val="0"/>
                <w:sz w:val="24"/>
                <w:lang w:bidi="ar"/>
              </w:rPr>
              <w:t>（</w:t>
            </w:r>
            <w:r>
              <w:rPr>
                <w:color w:val="auto"/>
                <w:kern w:val="0"/>
                <w:sz w:val="24"/>
                <w:lang w:bidi="ar"/>
              </w:rPr>
              <w:t>重度污染</w:t>
            </w:r>
            <w:r>
              <w:rPr>
                <w:rFonts w:hint="eastAsia"/>
                <w:color w:val="auto"/>
                <w:kern w:val="0"/>
                <w:sz w:val="24"/>
                <w:lang w:bidi="ar"/>
              </w:rPr>
              <w:t>）</w:t>
            </w:r>
            <w:r>
              <w:rPr>
                <w:color w:val="auto"/>
                <w:kern w:val="0"/>
                <w:sz w:val="24"/>
                <w:lang w:bidi="ar"/>
              </w:rPr>
              <w:t>2天，六级（严重污染）1天（由沙尘引起的重度污染1天，严重污染1天）；全市年度环境空气达标天数比例为82.2%，与上年相比增加了4.9个百分点；全市环境空气综合指数为3.62，首要污染物为细颗粒物。</w:t>
            </w:r>
          </w:p>
          <w:p w14:paraId="35AC14C5">
            <w:pPr>
              <w:widowControl/>
              <w:spacing w:line="360" w:lineRule="auto"/>
              <w:ind w:firstLine="480" w:firstLineChars="200"/>
              <w:jc w:val="left"/>
              <w:rPr>
                <w:color w:val="auto"/>
              </w:rPr>
            </w:pPr>
            <w:r>
              <w:rPr>
                <w:color w:val="auto"/>
                <w:kern w:val="0"/>
                <w:sz w:val="24"/>
                <w:lang w:bidi="ar"/>
              </w:rPr>
              <w:t>细颗粒物（PM</w:t>
            </w:r>
            <w:r>
              <w:rPr>
                <w:color w:val="auto"/>
                <w:kern w:val="0"/>
                <w:sz w:val="24"/>
                <w:vertAlign w:val="subscript"/>
                <w:lang w:bidi="ar"/>
              </w:rPr>
              <w:t>2.5</w:t>
            </w:r>
            <w:r>
              <w:rPr>
                <w:color w:val="auto"/>
                <w:kern w:val="0"/>
                <w:sz w:val="24"/>
                <w:lang w:bidi="ar"/>
              </w:rPr>
              <w:t>）日均浓度范围为5～172微克/立方米，日均值达标率为89.5%。年均值为37.1微克/立方米，与上年相比下降了7.25个百分点。可吸入颗粒物（PM</w:t>
            </w:r>
            <w:r>
              <w:rPr>
                <w:color w:val="auto"/>
                <w:kern w:val="0"/>
                <w:sz w:val="24"/>
                <w:vertAlign w:val="subscript"/>
                <w:lang w:bidi="ar"/>
              </w:rPr>
              <w:t>10</w:t>
            </w:r>
            <w:r>
              <w:rPr>
                <w:color w:val="auto"/>
                <w:kern w:val="0"/>
                <w:sz w:val="24"/>
                <w:lang w:bidi="ar"/>
              </w:rPr>
              <w:t>）日均浓度范围为7～218微克/立方米，日均值达标率为96.4%。年均值为61微克/立方米，与上年相比下降了6.2个百分点。二氧化氮（NO</w:t>
            </w:r>
            <w:r>
              <w:rPr>
                <w:color w:val="auto"/>
                <w:kern w:val="0"/>
                <w:sz w:val="24"/>
                <w:vertAlign w:val="subscript"/>
                <w:lang w:bidi="ar"/>
              </w:rPr>
              <w:t>2</w:t>
            </w:r>
            <w:r>
              <w:rPr>
                <w:color w:val="auto"/>
                <w:kern w:val="0"/>
                <w:sz w:val="24"/>
                <w:lang w:bidi="ar"/>
              </w:rPr>
              <w:t>）日均浓度范围为5～56微克/立方米，日均值达标率为100%。年均浓度为18微克/立方米，与上年相比下降了5.3个百分点。二氧化硫（SO</w:t>
            </w:r>
            <w:r>
              <w:rPr>
                <w:color w:val="auto"/>
                <w:kern w:val="0"/>
                <w:sz w:val="24"/>
                <w:vertAlign w:val="subscript"/>
                <w:lang w:bidi="ar"/>
              </w:rPr>
              <w:t>2</w:t>
            </w:r>
            <w:r>
              <w:rPr>
                <w:color w:val="auto"/>
                <w:kern w:val="0"/>
                <w:sz w:val="24"/>
                <w:lang w:bidi="ar"/>
              </w:rPr>
              <w:t>）日均浓度范围为4～17微克/立方米，日均值达标率为100%。年均浓度为7微克/立方米，与上年持平。一氧化碳（CO）日均浓度范围为0.2～1.1毫克/立方米，日均值达标率为100%。日均值第95百分位数为0.8毫克/立方米，与上年持平。臭氧日最大8小时（O</w:t>
            </w:r>
            <w:r>
              <w:rPr>
                <w:color w:val="auto"/>
                <w:kern w:val="0"/>
                <w:sz w:val="24"/>
                <w:vertAlign w:val="subscript"/>
                <w:lang w:bidi="ar"/>
              </w:rPr>
              <w:t>3</w:t>
            </w:r>
            <w:r>
              <w:rPr>
                <w:color w:val="auto"/>
                <w:kern w:val="0"/>
                <w:sz w:val="24"/>
                <w:lang w:bidi="ar"/>
              </w:rPr>
              <w:t>-8h）滑动平均值范围为16～197微克/立方米，达标率为94.8%。日最大8小时滑动平均值第90百分位数为149微克/立方米，与上年相比下降了6.9个百分点。项目区域空气质量达标判定见下表：</w:t>
            </w:r>
          </w:p>
          <w:p w14:paraId="191D9362">
            <w:pPr>
              <w:pStyle w:val="25"/>
              <w:widowControl w:val="0"/>
              <w:spacing w:line="240" w:lineRule="auto"/>
              <w:ind w:firstLine="0" w:firstLineChars="0"/>
              <w:jc w:val="center"/>
              <w:rPr>
                <w:rFonts w:hint="eastAsia"/>
                <w:b/>
                <w:bCs/>
                <w:color w:val="auto"/>
                <w:sz w:val="21"/>
                <w:szCs w:val="20"/>
              </w:rPr>
            </w:pPr>
          </w:p>
          <w:p w14:paraId="37D1E733">
            <w:pPr>
              <w:pStyle w:val="25"/>
              <w:widowControl w:val="0"/>
              <w:spacing w:line="240" w:lineRule="auto"/>
              <w:ind w:firstLine="0" w:firstLineChars="0"/>
              <w:jc w:val="center"/>
              <w:rPr>
                <w:rFonts w:hint="eastAsia"/>
                <w:b/>
                <w:bCs/>
                <w:color w:val="auto"/>
                <w:sz w:val="21"/>
                <w:szCs w:val="20"/>
              </w:rPr>
            </w:pPr>
          </w:p>
          <w:p w14:paraId="7A73F3D7">
            <w:pPr>
              <w:pStyle w:val="25"/>
              <w:widowControl w:val="0"/>
              <w:spacing w:line="240" w:lineRule="auto"/>
              <w:ind w:firstLine="0" w:firstLineChars="0"/>
              <w:jc w:val="center"/>
              <w:rPr>
                <w:rFonts w:hint="eastAsia"/>
                <w:b/>
                <w:bCs/>
                <w:color w:val="auto"/>
                <w:sz w:val="21"/>
                <w:szCs w:val="20"/>
              </w:rPr>
            </w:pPr>
          </w:p>
          <w:p w14:paraId="404846D9">
            <w:pPr>
              <w:pStyle w:val="25"/>
              <w:widowControl w:val="0"/>
              <w:spacing w:line="240" w:lineRule="auto"/>
              <w:ind w:firstLine="0" w:firstLineChars="0"/>
              <w:jc w:val="center"/>
              <w:rPr>
                <w:rFonts w:hint="eastAsia"/>
                <w:b/>
                <w:bCs/>
                <w:color w:val="auto"/>
                <w:sz w:val="21"/>
                <w:szCs w:val="20"/>
              </w:rPr>
            </w:pPr>
          </w:p>
          <w:p w14:paraId="610B9FCF">
            <w:pPr>
              <w:pStyle w:val="25"/>
              <w:widowControl w:val="0"/>
              <w:spacing w:line="240" w:lineRule="auto"/>
              <w:ind w:firstLine="0" w:firstLineChars="0"/>
              <w:jc w:val="center"/>
              <w:rPr>
                <w:rFonts w:hint="eastAsia"/>
                <w:b/>
                <w:bCs/>
                <w:color w:val="auto"/>
                <w:sz w:val="21"/>
                <w:szCs w:val="20"/>
              </w:rPr>
            </w:pPr>
          </w:p>
          <w:p w14:paraId="571B6933">
            <w:pPr>
              <w:pStyle w:val="25"/>
              <w:widowControl w:val="0"/>
              <w:spacing w:line="240" w:lineRule="auto"/>
              <w:ind w:firstLine="0" w:firstLineChars="0"/>
              <w:jc w:val="center"/>
              <w:rPr>
                <w:rFonts w:hint="eastAsia"/>
                <w:b/>
                <w:bCs/>
                <w:color w:val="auto"/>
                <w:sz w:val="21"/>
                <w:szCs w:val="20"/>
              </w:rPr>
            </w:pPr>
          </w:p>
          <w:p w14:paraId="40B44C16">
            <w:pPr>
              <w:pStyle w:val="25"/>
              <w:widowControl w:val="0"/>
              <w:spacing w:line="240" w:lineRule="auto"/>
              <w:ind w:firstLine="0" w:firstLineChars="0"/>
              <w:jc w:val="center"/>
              <w:rPr>
                <w:rFonts w:hint="eastAsia"/>
                <w:b/>
                <w:bCs/>
                <w:color w:val="auto"/>
                <w:sz w:val="21"/>
                <w:szCs w:val="20"/>
              </w:rPr>
            </w:pPr>
          </w:p>
          <w:p w14:paraId="13FF7E0B">
            <w:pPr>
              <w:pStyle w:val="25"/>
              <w:widowControl w:val="0"/>
              <w:spacing w:line="240" w:lineRule="auto"/>
              <w:ind w:firstLine="0" w:firstLineChars="0"/>
              <w:jc w:val="center"/>
              <w:rPr>
                <w:rFonts w:hint="eastAsia"/>
                <w:b/>
                <w:bCs/>
                <w:color w:val="auto"/>
                <w:sz w:val="21"/>
                <w:szCs w:val="20"/>
              </w:rPr>
            </w:pPr>
          </w:p>
          <w:p w14:paraId="1D5BCB4E">
            <w:pPr>
              <w:pStyle w:val="25"/>
              <w:widowControl w:val="0"/>
              <w:spacing w:line="240" w:lineRule="auto"/>
              <w:ind w:firstLine="0" w:firstLineChars="0"/>
              <w:jc w:val="center"/>
              <w:rPr>
                <w:rFonts w:hint="eastAsia"/>
                <w:b/>
                <w:bCs/>
                <w:color w:val="auto"/>
                <w:sz w:val="21"/>
                <w:szCs w:val="20"/>
              </w:rPr>
            </w:pPr>
          </w:p>
          <w:p w14:paraId="038EE91F">
            <w:pPr>
              <w:pStyle w:val="25"/>
              <w:widowControl w:val="0"/>
              <w:spacing w:line="240" w:lineRule="auto"/>
              <w:ind w:firstLine="0" w:firstLineChars="0"/>
              <w:jc w:val="center"/>
              <w:rPr>
                <w:rFonts w:hint="eastAsia"/>
                <w:b/>
                <w:bCs/>
                <w:color w:val="auto"/>
                <w:sz w:val="21"/>
                <w:szCs w:val="20"/>
              </w:rPr>
            </w:pPr>
          </w:p>
          <w:p w14:paraId="09E3B840">
            <w:pPr>
              <w:pStyle w:val="25"/>
              <w:widowControl w:val="0"/>
              <w:spacing w:line="240" w:lineRule="auto"/>
              <w:ind w:firstLine="0" w:firstLineChars="0"/>
              <w:jc w:val="center"/>
              <w:rPr>
                <w:rFonts w:hint="eastAsia"/>
                <w:b/>
                <w:bCs/>
                <w:color w:val="auto"/>
                <w:sz w:val="21"/>
                <w:szCs w:val="20"/>
              </w:rPr>
            </w:pPr>
          </w:p>
          <w:p w14:paraId="08CB12FF">
            <w:pPr>
              <w:pStyle w:val="25"/>
              <w:widowControl w:val="0"/>
              <w:spacing w:line="240" w:lineRule="auto"/>
              <w:ind w:firstLine="0" w:firstLineChars="0"/>
              <w:jc w:val="center"/>
              <w:rPr>
                <w:rFonts w:hint="eastAsia"/>
                <w:b/>
                <w:bCs/>
                <w:color w:val="auto"/>
                <w:sz w:val="21"/>
                <w:szCs w:val="20"/>
              </w:rPr>
            </w:pPr>
          </w:p>
          <w:p w14:paraId="41E20ACC">
            <w:pPr>
              <w:pStyle w:val="25"/>
              <w:widowControl w:val="0"/>
              <w:spacing w:line="240" w:lineRule="auto"/>
              <w:ind w:firstLine="0" w:firstLineChars="0"/>
              <w:jc w:val="center"/>
              <w:rPr>
                <w:rFonts w:hint="eastAsia"/>
                <w:b/>
                <w:bCs/>
                <w:color w:val="auto"/>
                <w:sz w:val="21"/>
                <w:szCs w:val="20"/>
              </w:rPr>
            </w:pPr>
            <w:r>
              <w:rPr>
                <w:rFonts w:hint="eastAsia"/>
                <w:b/>
                <w:bCs/>
                <w:color w:val="auto"/>
                <w:sz w:val="21"/>
                <w:szCs w:val="20"/>
              </w:rPr>
              <w:t>表3-1  区域空气质量现状评价表</w:t>
            </w:r>
          </w:p>
          <w:tbl>
            <w:tblPr>
              <w:tblStyle w:val="15"/>
              <w:tblW w:w="495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1" w:type="dxa"/>
                <w:bottom w:w="0" w:type="dxa"/>
                <w:right w:w="51" w:type="dxa"/>
              </w:tblCellMar>
            </w:tblPr>
            <w:tblGrid>
              <w:gridCol w:w="770"/>
              <w:gridCol w:w="2533"/>
              <w:gridCol w:w="1080"/>
              <w:gridCol w:w="2026"/>
              <w:gridCol w:w="933"/>
              <w:gridCol w:w="984"/>
            </w:tblGrid>
            <w:tr w14:paraId="7AF81A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3" w:hRule="atLeast"/>
                <w:jc w:val="center"/>
              </w:trPr>
              <w:tc>
                <w:tcPr>
                  <w:tcW w:w="462" w:type="pct"/>
                  <w:tcBorders>
                    <w:tl2br w:val="nil"/>
                    <w:tr2bl w:val="nil"/>
                  </w:tcBorders>
                  <w:noWrap w:val="0"/>
                  <w:vAlign w:val="center"/>
                </w:tcPr>
                <w:p w14:paraId="15BDD4BF">
                  <w:pPr>
                    <w:pStyle w:val="26"/>
                    <w:keepNext w:val="0"/>
                    <w:keepLines w:val="0"/>
                    <w:pageBreakBefore w:val="0"/>
                    <w:widowControl w:val="0"/>
                    <w:suppressLineNumbers w:val="0"/>
                    <w:kinsoku/>
                    <w:wordWrap w:val="0"/>
                    <w:overflowPunct/>
                    <w:topLinePunct w:val="0"/>
                    <w:autoSpaceDE/>
                    <w:autoSpaceDN/>
                    <w:bidi w:val="0"/>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宋体" w:cs="Times New Roman"/>
                      <w:b/>
                      <w:bCs w:val="0"/>
                      <w:color w:val="auto"/>
                      <w:sz w:val="21"/>
                      <w:szCs w:val="21"/>
                      <w:lang w:val="en-US" w:eastAsia="zh-CN"/>
                    </w:rPr>
                  </w:pPr>
                  <w:r>
                    <w:rPr>
                      <w:rFonts w:hint="default" w:ascii="Times New Roman" w:hAnsi="Times New Roman" w:eastAsia="宋体" w:cs="Times New Roman"/>
                      <w:b/>
                      <w:bCs w:val="0"/>
                      <w:color w:val="auto"/>
                      <w:sz w:val="21"/>
                      <w:szCs w:val="21"/>
                      <w:lang w:val="en-US" w:eastAsia="zh-CN"/>
                    </w:rPr>
                    <w:t>污染物</w:t>
                  </w:r>
                </w:p>
              </w:tc>
              <w:tc>
                <w:tcPr>
                  <w:tcW w:w="1521" w:type="pct"/>
                  <w:tcBorders>
                    <w:tl2br w:val="nil"/>
                    <w:tr2bl w:val="nil"/>
                  </w:tcBorders>
                  <w:noWrap w:val="0"/>
                  <w:vAlign w:val="center"/>
                </w:tcPr>
                <w:p w14:paraId="4370DD1B">
                  <w:pPr>
                    <w:pStyle w:val="26"/>
                    <w:keepNext w:val="0"/>
                    <w:keepLines w:val="0"/>
                    <w:pageBreakBefore w:val="0"/>
                    <w:widowControl w:val="0"/>
                    <w:suppressLineNumbers w:val="0"/>
                    <w:kinsoku/>
                    <w:wordWrap w:val="0"/>
                    <w:overflowPunct/>
                    <w:topLinePunct w:val="0"/>
                    <w:autoSpaceDE/>
                    <w:autoSpaceDN/>
                    <w:bidi w:val="0"/>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宋体" w:cs="Times New Roman"/>
                      <w:b/>
                      <w:bCs w:val="0"/>
                      <w:color w:val="auto"/>
                      <w:sz w:val="21"/>
                      <w:szCs w:val="21"/>
                      <w:lang w:val="en-US" w:eastAsia="zh-CN"/>
                    </w:rPr>
                  </w:pPr>
                  <w:r>
                    <w:rPr>
                      <w:rFonts w:hint="default" w:ascii="Times New Roman" w:hAnsi="Times New Roman" w:eastAsia="宋体" w:cs="Times New Roman"/>
                      <w:b/>
                      <w:bCs w:val="0"/>
                      <w:color w:val="auto"/>
                      <w:sz w:val="21"/>
                      <w:szCs w:val="21"/>
                      <w:lang w:val="en-US" w:eastAsia="zh-CN"/>
                    </w:rPr>
                    <w:t>年评价指标</w:t>
                  </w:r>
                </w:p>
              </w:tc>
              <w:tc>
                <w:tcPr>
                  <w:tcW w:w="648" w:type="pct"/>
                  <w:tcBorders>
                    <w:tl2br w:val="nil"/>
                    <w:tr2bl w:val="nil"/>
                  </w:tcBorders>
                  <w:noWrap w:val="0"/>
                  <w:vAlign w:val="center"/>
                </w:tcPr>
                <w:p w14:paraId="0ECF332A">
                  <w:pPr>
                    <w:pStyle w:val="25"/>
                    <w:widowControl w:val="0"/>
                    <w:spacing w:line="240" w:lineRule="auto"/>
                    <w:ind w:firstLine="0" w:firstLineChars="0"/>
                    <w:jc w:val="center"/>
                    <w:rPr>
                      <w:b/>
                      <w:bCs/>
                      <w:color w:val="auto"/>
                      <w:sz w:val="21"/>
                      <w:szCs w:val="21"/>
                    </w:rPr>
                  </w:pPr>
                  <w:r>
                    <w:rPr>
                      <w:rFonts w:hint="default" w:ascii="Times New Roman" w:hAnsi="Times New Roman" w:eastAsia="宋体" w:cs="Times New Roman"/>
                      <w:b/>
                      <w:bCs/>
                      <w:color w:val="auto"/>
                      <w:sz w:val="21"/>
                      <w:szCs w:val="21"/>
                      <w:lang w:val="en-US" w:eastAsia="zh-CN"/>
                    </w:rPr>
                    <w:t>2025年</w:t>
                  </w:r>
                  <w:r>
                    <w:rPr>
                      <w:b/>
                      <w:bCs/>
                      <w:color w:val="auto"/>
                      <w:sz w:val="21"/>
                      <w:szCs w:val="21"/>
                    </w:rPr>
                    <w:t>现状浓度</w:t>
                  </w:r>
                </w:p>
                <w:p w14:paraId="47ABDB10">
                  <w:pPr>
                    <w:pStyle w:val="27"/>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firstLine="0" w:firstLineChars="0"/>
                    <w:textAlignment w:val="auto"/>
                    <w:rPr>
                      <w:rFonts w:hint="default" w:ascii="Times New Roman" w:hAnsi="Times New Roman" w:eastAsia="宋体" w:cs="Times New Roman"/>
                      <w:b/>
                      <w:bCs w:val="0"/>
                      <w:color w:val="auto"/>
                      <w:sz w:val="21"/>
                      <w:szCs w:val="21"/>
                      <w:lang w:val="en-US" w:eastAsia="zh-CN"/>
                    </w:rPr>
                  </w:pPr>
                  <w:r>
                    <w:rPr>
                      <w:b/>
                      <w:bCs/>
                      <w:color w:val="auto"/>
                      <w:sz w:val="21"/>
                      <w:szCs w:val="21"/>
                    </w:rPr>
                    <w:t>/μg/m³</w:t>
                  </w:r>
                </w:p>
              </w:tc>
              <w:tc>
                <w:tcPr>
                  <w:tcW w:w="1216" w:type="pct"/>
                  <w:tcBorders>
                    <w:tl2br w:val="nil"/>
                    <w:tr2bl w:val="nil"/>
                  </w:tcBorders>
                  <w:noWrap w:val="0"/>
                  <w:vAlign w:val="center"/>
                </w:tcPr>
                <w:p w14:paraId="1B1D46A6">
                  <w:pPr>
                    <w:pStyle w:val="27"/>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textAlignment w:val="auto"/>
                    <w:rPr>
                      <w:rFonts w:hint="default" w:ascii="Times New Roman" w:hAnsi="Times New Roman" w:eastAsia="宋体" w:cs="Times New Roman"/>
                      <w:b/>
                      <w:bCs w:val="0"/>
                      <w:color w:val="auto"/>
                      <w:sz w:val="21"/>
                      <w:szCs w:val="21"/>
                      <w:lang w:val="en-US" w:eastAsia="zh-CN"/>
                    </w:rPr>
                  </w:pPr>
                  <w:r>
                    <w:rPr>
                      <w:rFonts w:hint="eastAsia" w:cs="Times New Roman"/>
                      <w:b/>
                      <w:bCs/>
                      <w:color w:val="auto"/>
                      <w:sz w:val="21"/>
                      <w:szCs w:val="21"/>
                      <w:lang w:val="en-US" w:eastAsia="zh-CN"/>
                    </w:rPr>
                    <w:t>GB3095-2026过渡阶段浓度限值</w:t>
                  </w:r>
                  <w:r>
                    <w:rPr>
                      <w:b/>
                      <w:bCs/>
                      <w:color w:val="auto"/>
                      <w:sz w:val="21"/>
                      <w:szCs w:val="21"/>
                    </w:rPr>
                    <w:t>/μg/m³</w:t>
                  </w:r>
                </w:p>
              </w:tc>
              <w:tc>
                <w:tcPr>
                  <w:tcW w:w="560" w:type="pct"/>
                  <w:tcBorders>
                    <w:tl2br w:val="nil"/>
                    <w:tr2bl w:val="nil"/>
                  </w:tcBorders>
                  <w:noWrap w:val="0"/>
                  <w:vAlign w:val="center"/>
                </w:tcPr>
                <w:p w14:paraId="2587EEFF">
                  <w:pPr>
                    <w:pStyle w:val="27"/>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right="0" w:firstLine="0" w:firstLineChars="0"/>
                    <w:textAlignment w:val="auto"/>
                    <w:rPr>
                      <w:rFonts w:hint="default" w:ascii="Times New Roman" w:hAnsi="Times New Roman" w:eastAsia="宋体" w:cs="Times New Roman"/>
                      <w:b/>
                      <w:bCs w:val="0"/>
                      <w:color w:val="auto"/>
                      <w:sz w:val="21"/>
                      <w:szCs w:val="21"/>
                      <w:lang w:val="en-US" w:eastAsia="zh-CN"/>
                    </w:rPr>
                  </w:pPr>
                  <w:r>
                    <w:rPr>
                      <w:rFonts w:hint="default" w:ascii="Times New Roman" w:hAnsi="Times New Roman" w:eastAsia="宋体" w:cs="Times New Roman"/>
                      <w:b/>
                      <w:bCs/>
                      <w:color w:val="auto"/>
                      <w:sz w:val="21"/>
                      <w:szCs w:val="21"/>
                      <w:lang w:val="en-US" w:eastAsia="zh-CN"/>
                    </w:rPr>
                    <w:t>占标比（%）</w:t>
                  </w:r>
                </w:p>
              </w:tc>
              <w:tc>
                <w:tcPr>
                  <w:tcW w:w="590" w:type="pct"/>
                  <w:tcBorders>
                    <w:tl2br w:val="nil"/>
                    <w:tr2bl w:val="nil"/>
                  </w:tcBorders>
                  <w:noWrap w:val="0"/>
                  <w:vAlign w:val="center"/>
                </w:tcPr>
                <w:p w14:paraId="292704DD">
                  <w:pPr>
                    <w:pStyle w:val="26"/>
                    <w:keepNext w:val="0"/>
                    <w:keepLines w:val="0"/>
                    <w:pageBreakBefore w:val="0"/>
                    <w:widowControl w:val="0"/>
                    <w:suppressLineNumbers w:val="0"/>
                    <w:kinsoku/>
                    <w:wordWrap w:val="0"/>
                    <w:overflowPunct/>
                    <w:topLinePunct w:val="0"/>
                    <w:autoSpaceDE/>
                    <w:autoSpaceDN/>
                    <w:bidi w:val="0"/>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宋体" w:cs="Times New Roman"/>
                      <w:b/>
                      <w:bCs w:val="0"/>
                      <w:color w:val="auto"/>
                      <w:sz w:val="21"/>
                      <w:szCs w:val="21"/>
                      <w:lang w:val="en-US" w:eastAsia="zh-CN"/>
                    </w:rPr>
                  </w:pPr>
                  <w:r>
                    <w:rPr>
                      <w:rFonts w:hint="default" w:ascii="Times New Roman" w:hAnsi="Times New Roman" w:eastAsia="宋体" w:cs="Times New Roman"/>
                      <w:b/>
                      <w:bCs w:val="0"/>
                      <w:color w:val="auto"/>
                      <w:sz w:val="21"/>
                      <w:szCs w:val="21"/>
                      <w:lang w:val="en-US" w:eastAsia="zh-CN"/>
                    </w:rPr>
                    <w:t>达标情况</w:t>
                  </w:r>
                </w:p>
              </w:tc>
            </w:tr>
            <w:tr w14:paraId="614945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3" w:hRule="atLeast"/>
                <w:jc w:val="center"/>
              </w:trPr>
              <w:tc>
                <w:tcPr>
                  <w:tcW w:w="462" w:type="pct"/>
                  <w:tcBorders>
                    <w:tl2br w:val="nil"/>
                    <w:tr2bl w:val="nil"/>
                  </w:tcBorders>
                  <w:noWrap w:val="0"/>
                  <w:vAlign w:val="center"/>
                </w:tcPr>
                <w:p w14:paraId="4516D699">
                  <w:pPr>
                    <w:pStyle w:val="26"/>
                    <w:keepNext w:val="0"/>
                    <w:keepLines w:val="0"/>
                    <w:pageBreakBefore w:val="0"/>
                    <w:widowControl w:val="0"/>
                    <w:suppressLineNumbers w:val="0"/>
                    <w:kinsoku/>
                    <w:wordWrap w:val="0"/>
                    <w:overflowPunct/>
                    <w:topLinePunct w:val="0"/>
                    <w:autoSpaceDE/>
                    <w:autoSpaceDN/>
                    <w:bidi w:val="0"/>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SO</w:t>
                  </w:r>
                  <w:r>
                    <w:rPr>
                      <w:rFonts w:hint="default" w:ascii="Times New Roman" w:hAnsi="Times New Roman" w:eastAsia="宋体" w:cs="Times New Roman"/>
                      <w:color w:val="auto"/>
                      <w:sz w:val="21"/>
                      <w:szCs w:val="21"/>
                      <w:vertAlign w:val="subscript"/>
                      <w:lang w:val="en-US" w:eastAsia="zh-CN"/>
                    </w:rPr>
                    <w:t>2</w:t>
                  </w:r>
                </w:p>
              </w:tc>
              <w:tc>
                <w:tcPr>
                  <w:tcW w:w="1521" w:type="pct"/>
                  <w:tcBorders>
                    <w:tl2br w:val="nil"/>
                    <w:tr2bl w:val="nil"/>
                  </w:tcBorders>
                  <w:noWrap w:val="0"/>
                  <w:vAlign w:val="center"/>
                </w:tcPr>
                <w:p w14:paraId="7D96804A">
                  <w:pPr>
                    <w:keepNext w:val="0"/>
                    <w:keepLines w:val="0"/>
                    <w:pageBreakBefore w:val="0"/>
                    <w:widowControl/>
                    <w:suppressLineNumbers w:val="0"/>
                    <w:kinsoku/>
                    <w:wordWrap w:val="0"/>
                    <w:overflowPunct/>
                    <w:topLinePunct w:val="0"/>
                    <w:autoSpaceDE/>
                    <w:autoSpaceDN/>
                    <w:bidi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kern w:val="0"/>
                      <w:sz w:val="21"/>
                      <w:szCs w:val="21"/>
                      <w:lang w:val="en-US" w:eastAsia="zh-CN" w:bidi="ar"/>
                    </w:rPr>
                    <w:t>年平均质量浓度</w:t>
                  </w:r>
                </w:p>
              </w:tc>
              <w:tc>
                <w:tcPr>
                  <w:tcW w:w="648" w:type="pct"/>
                  <w:tcBorders>
                    <w:tl2br w:val="nil"/>
                    <w:tr2bl w:val="nil"/>
                  </w:tcBorders>
                  <w:noWrap w:val="0"/>
                  <w:vAlign w:val="center"/>
                </w:tcPr>
                <w:p w14:paraId="4F00DFBA">
                  <w:pPr>
                    <w:pStyle w:val="26"/>
                    <w:keepNext w:val="0"/>
                    <w:keepLines w:val="0"/>
                    <w:pageBreakBefore w:val="0"/>
                    <w:widowControl w:val="0"/>
                    <w:suppressLineNumbers w:val="0"/>
                    <w:kinsoku/>
                    <w:wordWrap w:val="0"/>
                    <w:overflowPunct/>
                    <w:topLinePunct w:val="0"/>
                    <w:autoSpaceDE/>
                    <w:autoSpaceDN/>
                    <w:bidi w:val="0"/>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7</w:t>
                  </w:r>
                </w:p>
              </w:tc>
              <w:tc>
                <w:tcPr>
                  <w:tcW w:w="1216" w:type="pct"/>
                  <w:tcBorders>
                    <w:tl2br w:val="nil"/>
                    <w:tr2bl w:val="nil"/>
                  </w:tcBorders>
                  <w:noWrap w:val="0"/>
                  <w:vAlign w:val="center"/>
                </w:tcPr>
                <w:p w14:paraId="35386380">
                  <w:pPr>
                    <w:pStyle w:val="27"/>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rPr>
                    <w:t>60</w:t>
                  </w:r>
                </w:p>
              </w:tc>
              <w:tc>
                <w:tcPr>
                  <w:tcW w:w="560" w:type="pct"/>
                  <w:tcBorders>
                    <w:tl2br w:val="nil"/>
                    <w:tr2bl w:val="nil"/>
                  </w:tcBorders>
                  <w:noWrap w:val="0"/>
                  <w:vAlign w:val="center"/>
                </w:tcPr>
                <w:p w14:paraId="771DBA10">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i w:val="0"/>
                      <w:iCs w:val="0"/>
                      <w:color w:val="auto"/>
                      <w:kern w:val="0"/>
                      <w:sz w:val="21"/>
                      <w:szCs w:val="21"/>
                      <w:u w:val="none"/>
                      <w:lang w:val="en-US" w:eastAsia="zh-CN" w:bidi="ar"/>
                    </w:rPr>
                    <w:t>11.7</w:t>
                  </w:r>
                </w:p>
              </w:tc>
              <w:tc>
                <w:tcPr>
                  <w:tcW w:w="590" w:type="pct"/>
                  <w:tcBorders>
                    <w:tl2br w:val="nil"/>
                    <w:tr2bl w:val="nil"/>
                  </w:tcBorders>
                  <w:noWrap w:val="0"/>
                  <w:vAlign w:val="center"/>
                </w:tcPr>
                <w:p w14:paraId="48FF474A">
                  <w:pPr>
                    <w:pStyle w:val="26"/>
                    <w:keepNext w:val="0"/>
                    <w:keepLines w:val="0"/>
                    <w:pageBreakBefore w:val="0"/>
                    <w:widowControl w:val="0"/>
                    <w:suppressLineNumbers w:val="0"/>
                    <w:kinsoku/>
                    <w:wordWrap w:val="0"/>
                    <w:overflowPunct/>
                    <w:topLinePunct w:val="0"/>
                    <w:autoSpaceDE/>
                    <w:autoSpaceDN/>
                    <w:bidi w:val="0"/>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达标</w:t>
                  </w:r>
                </w:p>
              </w:tc>
            </w:tr>
            <w:tr w14:paraId="152147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3" w:hRule="atLeast"/>
                <w:jc w:val="center"/>
              </w:trPr>
              <w:tc>
                <w:tcPr>
                  <w:tcW w:w="462" w:type="pct"/>
                  <w:tcBorders>
                    <w:tl2br w:val="nil"/>
                    <w:tr2bl w:val="nil"/>
                  </w:tcBorders>
                  <w:noWrap w:val="0"/>
                  <w:vAlign w:val="center"/>
                </w:tcPr>
                <w:p w14:paraId="5F7AF302">
                  <w:pPr>
                    <w:pStyle w:val="26"/>
                    <w:keepNext w:val="0"/>
                    <w:keepLines w:val="0"/>
                    <w:pageBreakBefore w:val="0"/>
                    <w:widowControl w:val="0"/>
                    <w:suppressLineNumbers w:val="0"/>
                    <w:kinsoku/>
                    <w:wordWrap w:val="0"/>
                    <w:overflowPunct/>
                    <w:topLinePunct w:val="0"/>
                    <w:autoSpaceDE/>
                    <w:autoSpaceDN/>
                    <w:bidi w:val="0"/>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NO</w:t>
                  </w:r>
                  <w:r>
                    <w:rPr>
                      <w:rFonts w:hint="default" w:ascii="Times New Roman" w:hAnsi="Times New Roman" w:eastAsia="宋体" w:cs="Times New Roman"/>
                      <w:color w:val="auto"/>
                      <w:sz w:val="21"/>
                      <w:szCs w:val="21"/>
                      <w:vertAlign w:val="subscript"/>
                      <w:lang w:val="en-US" w:eastAsia="zh-CN"/>
                    </w:rPr>
                    <w:t>2</w:t>
                  </w:r>
                </w:p>
              </w:tc>
              <w:tc>
                <w:tcPr>
                  <w:tcW w:w="1521" w:type="pct"/>
                  <w:tcBorders>
                    <w:tl2br w:val="nil"/>
                    <w:tr2bl w:val="nil"/>
                  </w:tcBorders>
                  <w:noWrap w:val="0"/>
                  <w:vAlign w:val="center"/>
                </w:tcPr>
                <w:p w14:paraId="378570A4">
                  <w:pPr>
                    <w:keepNext w:val="0"/>
                    <w:keepLines w:val="0"/>
                    <w:pageBreakBefore w:val="0"/>
                    <w:suppressLineNumbers w:val="0"/>
                    <w:kinsoku/>
                    <w:wordWrap w:val="0"/>
                    <w:overflowPunct/>
                    <w:topLinePunct w:val="0"/>
                    <w:autoSpaceDE/>
                    <w:autoSpaceDN/>
                    <w:bidi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kern w:val="0"/>
                      <w:sz w:val="21"/>
                      <w:szCs w:val="21"/>
                      <w:lang w:val="en-US" w:eastAsia="zh-CN" w:bidi="ar"/>
                    </w:rPr>
                    <w:t>年平均质量浓度</w:t>
                  </w:r>
                </w:p>
              </w:tc>
              <w:tc>
                <w:tcPr>
                  <w:tcW w:w="648" w:type="pct"/>
                  <w:tcBorders>
                    <w:tl2br w:val="nil"/>
                    <w:tr2bl w:val="nil"/>
                  </w:tcBorders>
                  <w:noWrap w:val="0"/>
                  <w:vAlign w:val="center"/>
                </w:tcPr>
                <w:p w14:paraId="22CCC11C">
                  <w:pPr>
                    <w:pStyle w:val="26"/>
                    <w:keepNext w:val="0"/>
                    <w:keepLines w:val="0"/>
                    <w:pageBreakBefore w:val="0"/>
                    <w:widowControl w:val="0"/>
                    <w:suppressLineNumbers w:val="0"/>
                    <w:kinsoku/>
                    <w:wordWrap w:val="0"/>
                    <w:overflowPunct/>
                    <w:topLinePunct w:val="0"/>
                    <w:autoSpaceDE/>
                    <w:autoSpaceDN/>
                    <w:bidi w:val="0"/>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18</w:t>
                  </w:r>
                </w:p>
              </w:tc>
              <w:tc>
                <w:tcPr>
                  <w:tcW w:w="1216" w:type="pct"/>
                  <w:tcBorders>
                    <w:tl2br w:val="nil"/>
                    <w:tr2bl w:val="nil"/>
                  </w:tcBorders>
                  <w:noWrap w:val="0"/>
                  <w:vAlign w:val="center"/>
                </w:tcPr>
                <w:p w14:paraId="36B08294">
                  <w:pPr>
                    <w:pStyle w:val="27"/>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rPr>
                    <w:t>40</w:t>
                  </w:r>
                </w:p>
              </w:tc>
              <w:tc>
                <w:tcPr>
                  <w:tcW w:w="560" w:type="pct"/>
                  <w:tcBorders>
                    <w:tl2br w:val="nil"/>
                    <w:tr2bl w:val="nil"/>
                  </w:tcBorders>
                  <w:noWrap w:val="0"/>
                  <w:vAlign w:val="center"/>
                </w:tcPr>
                <w:p w14:paraId="5E183404">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i w:val="0"/>
                      <w:iCs w:val="0"/>
                      <w:color w:val="auto"/>
                      <w:kern w:val="0"/>
                      <w:sz w:val="21"/>
                      <w:szCs w:val="21"/>
                      <w:u w:val="none"/>
                      <w:lang w:val="en-US" w:eastAsia="zh-CN" w:bidi="ar"/>
                    </w:rPr>
                    <w:t>45</w:t>
                  </w:r>
                </w:p>
              </w:tc>
              <w:tc>
                <w:tcPr>
                  <w:tcW w:w="590" w:type="pct"/>
                  <w:tcBorders>
                    <w:tl2br w:val="nil"/>
                    <w:tr2bl w:val="nil"/>
                  </w:tcBorders>
                  <w:noWrap w:val="0"/>
                  <w:vAlign w:val="center"/>
                </w:tcPr>
                <w:p w14:paraId="3FFA3B71">
                  <w:pPr>
                    <w:pStyle w:val="26"/>
                    <w:keepNext w:val="0"/>
                    <w:keepLines w:val="0"/>
                    <w:pageBreakBefore w:val="0"/>
                    <w:widowControl w:val="0"/>
                    <w:suppressLineNumbers w:val="0"/>
                    <w:kinsoku/>
                    <w:wordWrap w:val="0"/>
                    <w:overflowPunct/>
                    <w:topLinePunct w:val="0"/>
                    <w:autoSpaceDE/>
                    <w:autoSpaceDN/>
                    <w:bidi w:val="0"/>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达标</w:t>
                  </w:r>
                </w:p>
              </w:tc>
            </w:tr>
            <w:tr w14:paraId="26273A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3" w:hRule="atLeast"/>
                <w:jc w:val="center"/>
              </w:trPr>
              <w:tc>
                <w:tcPr>
                  <w:tcW w:w="462" w:type="pct"/>
                  <w:tcBorders>
                    <w:tl2br w:val="nil"/>
                    <w:tr2bl w:val="nil"/>
                  </w:tcBorders>
                  <w:noWrap w:val="0"/>
                  <w:vAlign w:val="center"/>
                </w:tcPr>
                <w:p w14:paraId="3498E4BF">
                  <w:pPr>
                    <w:pStyle w:val="26"/>
                    <w:keepNext w:val="0"/>
                    <w:keepLines w:val="0"/>
                    <w:pageBreakBefore w:val="0"/>
                    <w:widowControl w:val="0"/>
                    <w:suppressLineNumbers w:val="0"/>
                    <w:kinsoku/>
                    <w:wordWrap w:val="0"/>
                    <w:overflowPunct/>
                    <w:topLinePunct w:val="0"/>
                    <w:autoSpaceDE/>
                    <w:autoSpaceDN/>
                    <w:bidi w:val="0"/>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PM</w:t>
                  </w:r>
                  <w:r>
                    <w:rPr>
                      <w:rFonts w:hint="default" w:ascii="Times New Roman" w:hAnsi="Times New Roman" w:eastAsia="宋体" w:cs="Times New Roman"/>
                      <w:color w:val="auto"/>
                      <w:sz w:val="21"/>
                      <w:szCs w:val="21"/>
                      <w:vertAlign w:val="subscript"/>
                      <w:lang w:val="en-US" w:eastAsia="zh-CN"/>
                    </w:rPr>
                    <w:t>10</w:t>
                  </w:r>
                </w:p>
              </w:tc>
              <w:tc>
                <w:tcPr>
                  <w:tcW w:w="1521" w:type="pct"/>
                  <w:tcBorders>
                    <w:tl2br w:val="nil"/>
                    <w:tr2bl w:val="nil"/>
                  </w:tcBorders>
                  <w:noWrap w:val="0"/>
                  <w:vAlign w:val="center"/>
                </w:tcPr>
                <w:p w14:paraId="6766CA0B">
                  <w:pPr>
                    <w:keepNext w:val="0"/>
                    <w:keepLines w:val="0"/>
                    <w:pageBreakBefore w:val="0"/>
                    <w:suppressLineNumbers w:val="0"/>
                    <w:kinsoku/>
                    <w:wordWrap w:val="0"/>
                    <w:overflowPunct/>
                    <w:topLinePunct w:val="0"/>
                    <w:autoSpaceDE/>
                    <w:autoSpaceDN/>
                    <w:bidi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kern w:val="0"/>
                      <w:sz w:val="21"/>
                      <w:szCs w:val="21"/>
                      <w:lang w:val="en-US" w:eastAsia="zh-CN" w:bidi="ar"/>
                    </w:rPr>
                    <w:t>年平均质量浓度</w:t>
                  </w:r>
                </w:p>
              </w:tc>
              <w:tc>
                <w:tcPr>
                  <w:tcW w:w="648" w:type="pct"/>
                  <w:tcBorders>
                    <w:tl2br w:val="nil"/>
                    <w:tr2bl w:val="nil"/>
                  </w:tcBorders>
                  <w:noWrap w:val="0"/>
                  <w:vAlign w:val="center"/>
                </w:tcPr>
                <w:p w14:paraId="3853DF80">
                  <w:pPr>
                    <w:pStyle w:val="26"/>
                    <w:keepNext w:val="0"/>
                    <w:keepLines w:val="0"/>
                    <w:pageBreakBefore w:val="0"/>
                    <w:widowControl w:val="0"/>
                    <w:suppressLineNumbers w:val="0"/>
                    <w:kinsoku/>
                    <w:wordWrap w:val="0"/>
                    <w:overflowPunct/>
                    <w:topLinePunct w:val="0"/>
                    <w:autoSpaceDE/>
                    <w:autoSpaceDN/>
                    <w:bidi w:val="0"/>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61</w:t>
                  </w:r>
                </w:p>
              </w:tc>
              <w:tc>
                <w:tcPr>
                  <w:tcW w:w="1216" w:type="pct"/>
                  <w:tcBorders>
                    <w:tl2br w:val="nil"/>
                    <w:tr2bl w:val="nil"/>
                  </w:tcBorders>
                  <w:noWrap w:val="0"/>
                  <w:vAlign w:val="center"/>
                </w:tcPr>
                <w:p w14:paraId="6CE48D63">
                  <w:pPr>
                    <w:pStyle w:val="27"/>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textAlignment w:val="auto"/>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60</w:t>
                  </w:r>
                </w:p>
              </w:tc>
              <w:tc>
                <w:tcPr>
                  <w:tcW w:w="560" w:type="pct"/>
                  <w:tcBorders>
                    <w:tl2br w:val="nil"/>
                    <w:tr2bl w:val="nil"/>
                  </w:tcBorders>
                  <w:noWrap w:val="0"/>
                  <w:vAlign w:val="center"/>
                </w:tcPr>
                <w:p w14:paraId="6D91F823">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i w:val="0"/>
                      <w:iCs w:val="0"/>
                      <w:color w:val="auto"/>
                      <w:kern w:val="0"/>
                      <w:sz w:val="21"/>
                      <w:szCs w:val="21"/>
                      <w:u w:val="none"/>
                      <w:lang w:val="en-US" w:eastAsia="zh-CN" w:bidi="ar"/>
                    </w:rPr>
                    <w:t>101.7</w:t>
                  </w:r>
                </w:p>
              </w:tc>
              <w:tc>
                <w:tcPr>
                  <w:tcW w:w="590" w:type="pct"/>
                  <w:tcBorders>
                    <w:tl2br w:val="nil"/>
                    <w:tr2bl w:val="nil"/>
                  </w:tcBorders>
                  <w:noWrap w:val="0"/>
                  <w:vAlign w:val="center"/>
                </w:tcPr>
                <w:p w14:paraId="07CE1D24">
                  <w:pPr>
                    <w:pStyle w:val="26"/>
                    <w:keepNext w:val="0"/>
                    <w:keepLines w:val="0"/>
                    <w:pageBreakBefore w:val="0"/>
                    <w:widowControl w:val="0"/>
                    <w:suppressLineNumbers w:val="0"/>
                    <w:kinsoku/>
                    <w:wordWrap w:val="0"/>
                    <w:overflowPunct/>
                    <w:topLinePunct w:val="0"/>
                    <w:autoSpaceDE/>
                    <w:autoSpaceDN/>
                    <w:bidi w:val="0"/>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不</w:t>
                  </w:r>
                  <w:r>
                    <w:rPr>
                      <w:rFonts w:hint="default" w:ascii="Times New Roman" w:hAnsi="Times New Roman" w:eastAsia="宋体" w:cs="Times New Roman"/>
                      <w:color w:val="auto"/>
                      <w:sz w:val="21"/>
                      <w:szCs w:val="21"/>
                      <w:lang w:val="en-US" w:eastAsia="zh-CN"/>
                    </w:rPr>
                    <w:t>达标</w:t>
                  </w:r>
                </w:p>
              </w:tc>
            </w:tr>
            <w:tr w14:paraId="4FC39D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3" w:hRule="atLeast"/>
                <w:jc w:val="center"/>
              </w:trPr>
              <w:tc>
                <w:tcPr>
                  <w:tcW w:w="462" w:type="pct"/>
                  <w:tcBorders>
                    <w:tl2br w:val="nil"/>
                    <w:tr2bl w:val="nil"/>
                  </w:tcBorders>
                  <w:noWrap w:val="0"/>
                  <w:vAlign w:val="center"/>
                </w:tcPr>
                <w:p w14:paraId="74A921BF">
                  <w:pPr>
                    <w:pStyle w:val="26"/>
                    <w:keepNext w:val="0"/>
                    <w:keepLines w:val="0"/>
                    <w:pageBreakBefore w:val="0"/>
                    <w:widowControl w:val="0"/>
                    <w:suppressLineNumbers w:val="0"/>
                    <w:kinsoku/>
                    <w:wordWrap w:val="0"/>
                    <w:overflowPunct/>
                    <w:topLinePunct w:val="0"/>
                    <w:autoSpaceDE/>
                    <w:autoSpaceDN/>
                    <w:bidi w:val="0"/>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PM</w:t>
                  </w:r>
                  <w:r>
                    <w:rPr>
                      <w:rFonts w:hint="default" w:ascii="Times New Roman" w:hAnsi="Times New Roman" w:eastAsia="宋体" w:cs="Times New Roman"/>
                      <w:color w:val="auto"/>
                      <w:sz w:val="21"/>
                      <w:szCs w:val="21"/>
                      <w:vertAlign w:val="subscript"/>
                      <w:lang w:val="en-US" w:eastAsia="zh-CN"/>
                    </w:rPr>
                    <w:t>2.5</w:t>
                  </w:r>
                </w:p>
              </w:tc>
              <w:tc>
                <w:tcPr>
                  <w:tcW w:w="1521" w:type="pct"/>
                  <w:tcBorders>
                    <w:tl2br w:val="nil"/>
                    <w:tr2bl w:val="nil"/>
                  </w:tcBorders>
                  <w:noWrap w:val="0"/>
                  <w:vAlign w:val="center"/>
                </w:tcPr>
                <w:p w14:paraId="7CF685A2">
                  <w:pPr>
                    <w:keepNext w:val="0"/>
                    <w:keepLines w:val="0"/>
                    <w:pageBreakBefore w:val="0"/>
                    <w:suppressLineNumbers w:val="0"/>
                    <w:kinsoku/>
                    <w:wordWrap w:val="0"/>
                    <w:overflowPunct/>
                    <w:topLinePunct w:val="0"/>
                    <w:autoSpaceDE/>
                    <w:autoSpaceDN/>
                    <w:bidi w:val="0"/>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kern w:val="0"/>
                      <w:sz w:val="21"/>
                      <w:szCs w:val="21"/>
                      <w:lang w:val="en-US" w:eastAsia="zh-CN" w:bidi="ar"/>
                    </w:rPr>
                    <w:t>年平均质量浓度</w:t>
                  </w:r>
                </w:p>
              </w:tc>
              <w:tc>
                <w:tcPr>
                  <w:tcW w:w="648" w:type="pct"/>
                  <w:tcBorders>
                    <w:tl2br w:val="nil"/>
                    <w:tr2bl w:val="nil"/>
                  </w:tcBorders>
                  <w:noWrap w:val="0"/>
                  <w:vAlign w:val="center"/>
                </w:tcPr>
                <w:p w14:paraId="500786A2">
                  <w:pPr>
                    <w:pStyle w:val="26"/>
                    <w:keepNext w:val="0"/>
                    <w:keepLines w:val="0"/>
                    <w:pageBreakBefore w:val="0"/>
                    <w:widowControl w:val="0"/>
                    <w:suppressLineNumbers w:val="0"/>
                    <w:kinsoku/>
                    <w:wordWrap w:val="0"/>
                    <w:overflowPunct/>
                    <w:topLinePunct w:val="0"/>
                    <w:autoSpaceDE/>
                    <w:autoSpaceDN/>
                    <w:bidi w:val="0"/>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37.1</w:t>
                  </w:r>
                </w:p>
              </w:tc>
              <w:tc>
                <w:tcPr>
                  <w:tcW w:w="1216" w:type="pct"/>
                  <w:tcBorders>
                    <w:tl2br w:val="nil"/>
                    <w:tr2bl w:val="nil"/>
                  </w:tcBorders>
                  <w:noWrap w:val="0"/>
                  <w:vAlign w:val="center"/>
                </w:tcPr>
                <w:p w14:paraId="7B013504">
                  <w:pPr>
                    <w:pStyle w:val="27"/>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textAlignment w:val="auto"/>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30</w:t>
                  </w:r>
                </w:p>
              </w:tc>
              <w:tc>
                <w:tcPr>
                  <w:tcW w:w="560" w:type="pct"/>
                  <w:tcBorders>
                    <w:tl2br w:val="nil"/>
                    <w:tr2bl w:val="nil"/>
                  </w:tcBorders>
                  <w:noWrap w:val="0"/>
                  <w:vAlign w:val="center"/>
                </w:tcPr>
                <w:p w14:paraId="4F3D16C7">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i w:val="0"/>
                      <w:iCs w:val="0"/>
                      <w:color w:val="auto"/>
                      <w:kern w:val="0"/>
                      <w:sz w:val="21"/>
                      <w:szCs w:val="21"/>
                      <w:u w:val="none"/>
                      <w:lang w:val="en-US" w:eastAsia="zh-CN" w:bidi="ar"/>
                    </w:rPr>
                    <w:t>123.7</w:t>
                  </w:r>
                </w:p>
              </w:tc>
              <w:tc>
                <w:tcPr>
                  <w:tcW w:w="590" w:type="pct"/>
                  <w:tcBorders>
                    <w:tl2br w:val="nil"/>
                    <w:tr2bl w:val="nil"/>
                  </w:tcBorders>
                  <w:noWrap w:val="0"/>
                  <w:vAlign w:val="center"/>
                </w:tcPr>
                <w:p w14:paraId="47536238">
                  <w:pPr>
                    <w:pStyle w:val="26"/>
                    <w:keepNext w:val="0"/>
                    <w:keepLines w:val="0"/>
                    <w:pageBreakBefore w:val="0"/>
                    <w:widowControl w:val="0"/>
                    <w:suppressLineNumbers w:val="0"/>
                    <w:kinsoku/>
                    <w:wordWrap w:val="0"/>
                    <w:overflowPunct/>
                    <w:topLinePunct w:val="0"/>
                    <w:autoSpaceDE/>
                    <w:autoSpaceDN/>
                    <w:bidi w:val="0"/>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ascii="Times New Roman" w:eastAsia="宋体" w:cs="Times New Roman"/>
                      <w:color w:val="auto"/>
                      <w:sz w:val="21"/>
                      <w:szCs w:val="21"/>
                      <w:lang w:val="en-US" w:eastAsia="zh-CN"/>
                    </w:rPr>
                    <w:t>不</w:t>
                  </w:r>
                  <w:r>
                    <w:rPr>
                      <w:rFonts w:hint="default" w:ascii="Times New Roman" w:hAnsi="Times New Roman" w:eastAsia="宋体" w:cs="Times New Roman"/>
                      <w:color w:val="auto"/>
                      <w:sz w:val="21"/>
                      <w:szCs w:val="21"/>
                      <w:lang w:val="en-US" w:eastAsia="zh-CN"/>
                    </w:rPr>
                    <w:t>达标</w:t>
                  </w:r>
                </w:p>
              </w:tc>
            </w:tr>
            <w:tr w14:paraId="018F0C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3" w:hRule="atLeast"/>
                <w:jc w:val="center"/>
              </w:trPr>
              <w:tc>
                <w:tcPr>
                  <w:tcW w:w="462" w:type="pct"/>
                  <w:tcBorders>
                    <w:tl2br w:val="nil"/>
                    <w:tr2bl w:val="nil"/>
                  </w:tcBorders>
                  <w:noWrap w:val="0"/>
                  <w:vAlign w:val="center"/>
                </w:tcPr>
                <w:p w14:paraId="282FD177">
                  <w:pPr>
                    <w:pStyle w:val="26"/>
                    <w:keepNext w:val="0"/>
                    <w:keepLines w:val="0"/>
                    <w:pageBreakBefore w:val="0"/>
                    <w:widowControl w:val="0"/>
                    <w:suppressLineNumbers w:val="0"/>
                    <w:kinsoku/>
                    <w:wordWrap w:val="0"/>
                    <w:overflowPunct/>
                    <w:topLinePunct w:val="0"/>
                    <w:autoSpaceDE/>
                    <w:autoSpaceDN/>
                    <w:bidi w:val="0"/>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CO</w:t>
                  </w:r>
                </w:p>
              </w:tc>
              <w:tc>
                <w:tcPr>
                  <w:tcW w:w="1521" w:type="pct"/>
                  <w:tcBorders>
                    <w:tl2br w:val="nil"/>
                    <w:tr2bl w:val="nil"/>
                  </w:tcBorders>
                  <w:noWrap w:val="0"/>
                  <w:vAlign w:val="center"/>
                </w:tcPr>
                <w:p w14:paraId="3ACD1791">
                  <w:pPr>
                    <w:pStyle w:val="26"/>
                    <w:keepNext w:val="0"/>
                    <w:keepLines w:val="0"/>
                    <w:pageBreakBefore w:val="0"/>
                    <w:widowControl w:val="0"/>
                    <w:suppressLineNumbers w:val="0"/>
                    <w:kinsoku/>
                    <w:wordWrap w:val="0"/>
                    <w:overflowPunct/>
                    <w:topLinePunct w:val="0"/>
                    <w:autoSpaceDE/>
                    <w:autoSpaceDN/>
                    <w:bidi w:val="0"/>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日均值第95百分位浓度</w:t>
                  </w:r>
                </w:p>
              </w:tc>
              <w:tc>
                <w:tcPr>
                  <w:tcW w:w="648" w:type="pct"/>
                  <w:tcBorders>
                    <w:tl2br w:val="nil"/>
                    <w:tr2bl w:val="nil"/>
                  </w:tcBorders>
                  <w:noWrap w:val="0"/>
                  <w:vAlign w:val="center"/>
                </w:tcPr>
                <w:p w14:paraId="17D5C960">
                  <w:pPr>
                    <w:pStyle w:val="26"/>
                    <w:keepNext w:val="0"/>
                    <w:keepLines w:val="0"/>
                    <w:pageBreakBefore w:val="0"/>
                    <w:widowControl w:val="0"/>
                    <w:suppressLineNumbers w:val="0"/>
                    <w:kinsoku/>
                    <w:wordWrap w:val="0"/>
                    <w:overflowPunct/>
                    <w:topLinePunct w:val="0"/>
                    <w:autoSpaceDE/>
                    <w:autoSpaceDN/>
                    <w:bidi w:val="0"/>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ascii="Times New Roman" w:eastAsia="宋体" w:cs="Times New Roman"/>
                      <w:color w:val="auto"/>
                      <w:sz w:val="21"/>
                      <w:szCs w:val="21"/>
                      <w:lang w:val="en-US" w:eastAsia="zh-CN"/>
                    </w:rPr>
                    <w:t>800</w:t>
                  </w:r>
                </w:p>
              </w:tc>
              <w:tc>
                <w:tcPr>
                  <w:tcW w:w="1216" w:type="pct"/>
                  <w:tcBorders>
                    <w:tl2br w:val="nil"/>
                    <w:tr2bl w:val="nil"/>
                  </w:tcBorders>
                  <w:noWrap w:val="0"/>
                  <w:vAlign w:val="center"/>
                </w:tcPr>
                <w:p w14:paraId="1B1002D8">
                  <w:pPr>
                    <w:pStyle w:val="27"/>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rPr>
                    <w:t>4</w:t>
                  </w:r>
                  <w:r>
                    <w:rPr>
                      <w:rFonts w:hint="eastAsia" w:cs="Times New Roman"/>
                      <w:color w:val="auto"/>
                      <w:sz w:val="21"/>
                      <w:szCs w:val="21"/>
                      <w:lang w:val="en-US" w:eastAsia="zh-CN"/>
                    </w:rPr>
                    <w:t>000</w:t>
                  </w:r>
                </w:p>
              </w:tc>
              <w:tc>
                <w:tcPr>
                  <w:tcW w:w="560" w:type="pct"/>
                  <w:tcBorders>
                    <w:tl2br w:val="nil"/>
                    <w:tr2bl w:val="nil"/>
                  </w:tcBorders>
                  <w:noWrap w:val="0"/>
                  <w:vAlign w:val="center"/>
                </w:tcPr>
                <w:p w14:paraId="354C6C7A">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i w:val="0"/>
                      <w:iCs w:val="0"/>
                      <w:color w:val="auto"/>
                      <w:kern w:val="0"/>
                      <w:sz w:val="21"/>
                      <w:szCs w:val="21"/>
                      <w:u w:val="none"/>
                      <w:lang w:val="en-US" w:eastAsia="zh-CN" w:bidi="ar"/>
                    </w:rPr>
                    <w:t>20</w:t>
                  </w:r>
                </w:p>
              </w:tc>
              <w:tc>
                <w:tcPr>
                  <w:tcW w:w="590" w:type="pct"/>
                  <w:tcBorders>
                    <w:tl2br w:val="nil"/>
                    <w:tr2bl w:val="nil"/>
                  </w:tcBorders>
                  <w:noWrap w:val="0"/>
                  <w:vAlign w:val="center"/>
                </w:tcPr>
                <w:p w14:paraId="60F582FB">
                  <w:pPr>
                    <w:pStyle w:val="26"/>
                    <w:keepNext w:val="0"/>
                    <w:keepLines w:val="0"/>
                    <w:pageBreakBefore w:val="0"/>
                    <w:widowControl w:val="0"/>
                    <w:suppressLineNumbers w:val="0"/>
                    <w:kinsoku/>
                    <w:wordWrap w:val="0"/>
                    <w:overflowPunct/>
                    <w:topLinePunct w:val="0"/>
                    <w:autoSpaceDE/>
                    <w:autoSpaceDN/>
                    <w:bidi w:val="0"/>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达标</w:t>
                  </w:r>
                </w:p>
              </w:tc>
            </w:tr>
            <w:tr w14:paraId="495094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3" w:hRule="atLeast"/>
                <w:jc w:val="center"/>
              </w:trPr>
              <w:tc>
                <w:tcPr>
                  <w:tcW w:w="462" w:type="pct"/>
                  <w:tcBorders>
                    <w:tl2br w:val="nil"/>
                    <w:tr2bl w:val="nil"/>
                  </w:tcBorders>
                  <w:noWrap w:val="0"/>
                  <w:vAlign w:val="center"/>
                </w:tcPr>
                <w:p w14:paraId="238ABAE2">
                  <w:pPr>
                    <w:pStyle w:val="26"/>
                    <w:keepNext w:val="0"/>
                    <w:keepLines w:val="0"/>
                    <w:pageBreakBefore w:val="0"/>
                    <w:widowControl w:val="0"/>
                    <w:suppressLineNumbers w:val="0"/>
                    <w:kinsoku/>
                    <w:wordWrap w:val="0"/>
                    <w:overflowPunct/>
                    <w:topLinePunct w:val="0"/>
                    <w:autoSpaceDE/>
                    <w:autoSpaceDN/>
                    <w:bidi w:val="0"/>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O</w:t>
                  </w:r>
                  <w:r>
                    <w:rPr>
                      <w:rFonts w:hint="default" w:ascii="Times New Roman" w:hAnsi="Times New Roman" w:eastAsia="宋体" w:cs="Times New Roman"/>
                      <w:color w:val="auto"/>
                      <w:sz w:val="21"/>
                      <w:szCs w:val="21"/>
                      <w:vertAlign w:val="subscript"/>
                      <w:lang w:val="en-US" w:eastAsia="zh-CN"/>
                    </w:rPr>
                    <w:t>3</w:t>
                  </w:r>
                </w:p>
              </w:tc>
              <w:tc>
                <w:tcPr>
                  <w:tcW w:w="1521" w:type="pct"/>
                  <w:tcBorders>
                    <w:tl2br w:val="nil"/>
                    <w:tr2bl w:val="nil"/>
                  </w:tcBorders>
                  <w:noWrap w:val="0"/>
                  <w:vAlign w:val="center"/>
                </w:tcPr>
                <w:p w14:paraId="04465E1D">
                  <w:pPr>
                    <w:pStyle w:val="26"/>
                    <w:keepNext w:val="0"/>
                    <w:keepLines w:val="0"/>
                    <w:pageBreakBefore w:val="0"/>
                    <w:widowControl w:val="0"/>
                    <w:suppressLineNumbers w:val="0"/>
                    <w:kinsoku/>
                    <w:wordWrap w:val="0"/>
                    <w:overflowPunct/>
                    <w:topLinePunct w:val="0"/>
                    <w:autoSpaceDE/>
                    <w:autoSpaceDN/>
                    <w:bidi w:val="0"/>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八小时平均浓度第90百分位浓度</w:t>
                  </w:r>
                </w:p>
              </w:tc>
              <w:tc>
                <w:tcPr>
                  <w:tcW w:w="648" w:type="pct"/>
                  <w:tcBorders>
                    <w:tl2br w:val="nil"/>
                    <w:tr2bl w:val="nil"/>
                  </w:tcBorders>
                  <w:noWrap w:val="0"/>
                  <w:vAlign w:val="center"/>
                </w:tcPr>
                <w:p w14:paraId="71BA89BF">
                  <w:pPr>
                    <w:pStyle w:val="26"/>
                    <w:keepNext w:val="0"/>
                    <w:keepLines w:val="0"/>
                    <w:pageBreakBefore w:val="0"/>
                    <w:widowControl w:val="0"/>
                    <w:suppressLineNumbers w:val="0"/>
                    <w:kinsoku/>
                    <w:wordWrap w:val="0"/>
                    <w:overflowPunct/>
                    <w:topLinePunct w:val="0"/>
                    <w:autoSpaceDE/>
                    <w:autoSpaceDN/>
                    <w:bidi w:val="0"/>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149</w:t>
                  </w:r>
                </w:p>
              </w:tc>
              <w:tc>
                <w:tcPr>
                  <w:tcW w:w="1216" w:type="pct"/>
                  <w:tcBorders>
                    <w:tl2br w:val="nil"/>
                    <w:tr2bl w:val="nil"/>
                  </w:tcBorders>
                  <w:noWrap w:val="0"/>
                  <w:vAlign w:val="center"/>
                </w:tcPr>
                <w:p w14:paraId="06A4DF75">
                  <w:pPr>
                    <w:pStyle w:val="27"/>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ind w:left="0" w:leftChars="0" w:right="0" w:rightChars="0" w:firstLine="0" w:firstLineChars="0"/>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rPr>
                    <w:t>160</w:t>
                  </w:r>
                </w:p>
              </w:tc>
              <w:tc>
                <w:tcPr>
                  <w:tcW w:w="560" w:type="pct"/>
                  <w:tcBorders>
                    <w:tl2br w:val="nil"/>
                    <w:tr2bl w:val="nil"/>
                  </w:tcBorders>
                  <w:noWrap w:val="0"/>
                  <w:vAlign w:val="center"/>
                </w:tcPr>
                <w:p w14:paraId="5EE11AD1">
                  <w:pPr>
                    <w:keepNext w:val="0"/>
                    <w:keepLines w:val="0"/>
                    <w:widowControl/>
                    <w:suppressLineNumbers w:val="0"/>
                    <w:spacing w:before="0" w:beforeAutospacing="0" w:after="0" w:afterAutospacing="0"/>
                    <w:ind w:left="0" w:right="0"/>
                    <w:jc w:val="center"/>
                    <w:textAlignment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i w:val="0"/>
                      <w:iCs w:val="0"/>
                      <w:color w:val="auto"/>
                      <w:kern w:val="0"/>
                      <w:sz w:val="21"/>
                      <w:szCs w:val="21"/>
                      <w:u w:val="none"/>
                      <w:lang w:val="en-US" w:eastAsia="zh-CN" w:bidi="ar"/>
                    </w:rPr>
                    <w:t>93.1</w:t>
                  </w:r>
                </w:p>
              </w:tc>
              <w:tc>
                <w:tcPr>
                  <w:tcW w:w="590" w:type="pct"/>
                  <w:tcBorders>
                    <w:tl2br w:val="nil"/>
                    <w:tr2bl w:val="nil"/>
                  </w:tcBorders>
                  <w:noWrap w:val="0"/>
                  <w:vAlign w:val="center"/>
                </w:tcPr>
                <w:p w14:paraId="6DD762E6">
                  <w:pPr>
                    <w:pStyle w:val="26"/>
                    <w:keepNext w:val="0"/>
                    <w:keepLines w:val="0"/>
                    <w:pageBreakBefore w:val="0"/>
                    <w:widowControl w:val="0"/>
                    <w:suppressLineNumbers w:val="0"/>
                    <w:kinsoku/>
                    <w:wordWrap w:val="0"/>
                    <w:overflowPunct/>
                    <w:topLinePunct w:val="0"/>
                    <w:autoSpaceDE/>
                    <w:autoSpaceDN/>
                    <w:bidi w:val="0"/>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达标</w:t>
                  </w:r>
                </w:p>
              </w:tc>
            </w:tr>
          </w:tbl>
          <w:p w14:paraId="349C760A">
            <w:pPr>
              <w:pStyle w:val="25"/>
              <w:widowControl w:val="0"/>
              <w:spacing w:line="240" w:lineRule="auto"/>
              <w:ind w:firstLine="0" w:firstLineChars="0"/>
              <w:jc w:val="center"/>
              <w:rPr>
                <w:rFonts w:hint="eastAsia"/>
                <w:b/>
                <w:bCs/>
                <w:color w:val="auto"/>
                <w:sz w:val="21"/>
                <w:szCs w:val="20"/>
              </w:rPr>
            </w:pPr>
          </w:p>
          <w:p w14:paraId="1B95D167">
            <w:pPr>
              <w:autoSpaceDE w:val="0"/>
              <w:autoSpaceDN w:val="0"/>
              <w:spacing w:line="360" w:lineRule="auto"/>
              <w:ind w:firstLine="480" w:firstLineChars="200"/>
              <w:rPr>
                <w:rFonts w:hint="default" w:ascii="Times New Roman" w:hAnsi="Times New Roman" w:eastAsia="宋体" w:cs="Times New Roman"/>
                <w:color w:val="auto"/>
                <w:kern w:val="0"/>
                <w:sz w:val="24"/>
                <w:szCs w:val="24"/>
                <w:lang w:val="en-US" w:eastAsia="zh-CN" w:bidi="ar"/>
              </w:rPr>
            </w:pPr>
            <w:r>
              <w:rPr>
                <w:rFonts w:hint="default" w:ascii="Times New Roman" w:hAnsi="Times New Roman" w:eastAsia="宋体" w:cs="Times New Roman"/>
                <w:color w:val="auto"/>
                <w:sz w:val="24"/>
                <w:szCs w:val="24"/>
              </w:rPr>
              <w:t>根据《2025 年淮南市生态环境质量状况公报》并结合《环境空气质量标准》（GB3095-2026）表 1 中过渡阶段二级浓度限值可知，二氧化硫（SO</w:t>
            </w:r>
            <w:r>
              <w:rPr>
                <w:rFonts w:hint="default" w:ascii="Times New Roman" w:hAnsi="Times New Roman" w:eastAsia="宋体" w:cs="Times New Roman"/>
                <w:color w:val="auto"/>
                <w:sz w:val="24"/>
                <w:szCs w:val="24"/>
                <w:vertAlign w:val="subscript"/>
              </w:rPr>
              <w:t>2</w:t>
            </w:r>
            <w:r>
              <w:rPr>
                <w:rFonts w:hint="default" w:ascii="Times New Roman" w:hAnsi="Times New Roman" w:eastAsia="宋体" w:cs="Times New Roman"/>
                <w:color w:val="auto"/>
                <w:sz w:val="24"/>
                <w:szCs w:val="24"/>
              </w:rPr>
              <w:t>）、二氧化氮（NO</w:t>
            </w:r>
            <w:r>
              <w:rPr>
                <w:rFonts w:hint="default" w:ascii="Times New Roman" w:hAnsi="Times New Roman" w:eastAsia="宋体" w:cs="Times New Roman"/>
                <w:color w:val="auto"/>
                <w:sz w:val="24"/>
                <w:szCs w:val="24"/>
                <w:vertAlign w:val="subscript"/>
              </w:rPr>
              <w:t>2</w:t>
            </w:r>
            <w:r>
              <w:rPr>
                <w:rFonts w:hint="default" w:ascii="Times New Roman" w:hAnsi="Times New Roman" w:eastAsia="宋体" w:cs="Times New Roman"/>
                <w:color w:val="auto"/>
                <w:sz w:val="24"/>
                <w:szCs w:val="24"/>
              </w:rPr>
              <w:t>）、一氧化碳（CO）、臭氧（O</w:t>
            </w:r>
            <w:r>
              <w:rPr>
                <w:rFonts w:hint="default" w:ascii="Times New Roman" w:hAnsi="Times New Roman" w:eastAsia="宋体" w:cs="Times New Roman"/>
                <w:color w:val="auto"/>
                <w:sz w:val="24"/>
                <w:szCs w:val="24"/>
                <w:vertAlign w:val="subscript"/>
              </w:rPr>
              <w:t>3</w:t>
            </w:r>
            <w:r>
              <w:rPr>
                <w:rFonts w:hint="default" w:ascii="Times New Roman" w:hAnsi="Times New Roman" w:eastAsia="宋体" w:cs="Times New Roman"/>
                <w:color w:val="auto"/>
                <w:sz w:val="24"/>
                <w:szCs w:val="24"/>
              </w:rPr>
              <w:t>）均符合《环境空气质量标准》（GB3095-2026）表 1 中过渡阶段二级浓度限值要求，细颗粒物（PM</w:t>
            </w:r>
            <w:r>
              <w:rPr>
                <w:rFonts w:hint="default" w:ascii="Times New Roman" w:hAnsi="Times New Roman" w:eastAsia="宋体" w:cs="Times New Roman"/>
                <w:color w:val="auto"/>
                <w:sz w:val="24"/>
                <w:szCs w:val="24"/>
                <w:vertAlign w:val="subscript"/>
              </w:rPr>
              <w:t>2.5</w:t>
            </w:r>
            <w:r>
              <w:rPr>
                <w:rFonts w:hint="default" w:ascii="Times New Roman" w:hAnsi="Times New Roman" w:eastAsia="宋体" w:cs="Times New Roman"/>
                <w:color w:val="auto"/>
                <w:sz w:val="24"/>
                <w:szCs w:val="24"/>
              </w:rPr>
              <w:t>）、可吸入颗粒物（PM</w:t>
            </w:r>
            <w:r>
              <w:rPr>
                <w:rFonts w:hint="default" w:ascii="Times New Roman" w:hAnsi="Times New Roman" w:eastAsia="宋体" w:cs="Times New Roman"/>
                <w:color w:val="auto"/>
                <w:sz w:val="24"/>
                <w:szCs w:val="24"/>
                <w:vertAlign w:val="subscript"/>
              </w:rPr>
              <w:t>10</w:t>
            </w:r>
            <w:r>
              <w:rPr>
                <w:rFonts w:hint="default" w:ascii="Times New Roman" w:hAnsi="Times New Roman" w:eastAsia="宋体" w:cs="Times New Roman"/>
                <w:color w:val="auto"/>
                <w:sz w:val="24"/>
                <w:szCs w:val="24"/>
              </w:rPr>
              <w:t>）年均浓度超过《环境空气质量标准》（GB3095-2026）表 1 中过渡阶段二级浓度限值要求。因此，项目所在评价区域为不达标区。</w:t>
            </w:r>
          </w:p>
          <w:p w14:paraId="07D677ED">
            <w:pPr>
              <w:autoSpaceDE w:val="0"/>
              <w:autoSpaceDN w:val="0"/>
              <w:spacing w:line="360" w:lineRule="auto"/>
              <w:ind w:firstLine="480" w:firstLineChars="200"/>
              <w:rPr>
                <w:color w:val="auto"/>
                <w:kern w:val="0"/>
                <w:sz w:val="24"/>
                <w:lang w:bidi="ar"/>
              </w:rPr>
            </w:pPr>
            <w:r>
              <w:rPr>
                <w:color w:val="auto"/>
                <w:kern w:val="0"/>
                <w:sz w:val="24"/>
                <w:lang w:bidi="ar"/>
              </w:rPr>
              <w:t>淮南市生态环境局就空气质量不达标提出一系列举措，依据《淮南市大气污染防治行动计划实施方案》等工作文件，淮南市通过集中专项整治</w:t>
            </w:r>
            <w:r>
              <w:rPr>
                <w:rFonts w:hint="eastAsia"/>
                <w:color w:val="auto"/>
                <w:kern w:val="0"/>
                <w:sz w:val="24"/>
                <w:lang w:bidi="ar"/>
              </w:rPr>
              <w:t>“</w:t>
            </w:r>
            <w:r>
              <w:rPr>
                <w:color w:val="auto"/>
                <w:kern w:val="0"/>
                <w:sz w:val="24"/>
                <w:lang w:bidi="ar"/>
              </w:rPr>
              <w:t>小散乱污</w:t>
            </w:r>
            <w:r>
              <w:rPr>
                <w:rFonts w:hint="eastAsia"/>
                <w:color w:val="auto"/>
                <w:kern w:val="0"/>
                <w:sz w:val="24"/>
                <w:lang w:bidi="ar"/>
              </w:rPr>
              <w:t>”</w:t>
            </w:r>
            <w:r>
              <w:rPr>
                <w:color w:val="auto"/>
                <w:kern w:val="0"/>
                <w:sz w:val="24"/>
                <w:lang w:bidi="ar"/>
              </w:rPr>
              <w:t>企业、企业清洁生产技术改造、小锅炉升级改造、燃煤机组超低排放改造，整治散装物料堆场，督促企业完成挥发性有机物整改任务，强化建筑施工扬尘监管，加强道路扬尘清理、责令餐饮油烟单位安装油烟净化装置，取缔室外露天烧烤点，开展秸秆禁烧，淘汰黄标车，禁限放烟花爆竹等措施改善环境空气质量。</w:t>
            </w:r>
          </w:p>
          <w:p w14:paraId="1DA96C5F">
            <w:pPr>
              <w:autoSpaceDE w:val="0"/>
              <w:autoSpaceDN w:val="0"/>
              <w:spacing w:line="360" w:lineRule="auto"/>
              <w:ind w:firstLine="482" w:firstLineChars="200"/>
              <w:rPr>
                <w:b/>
                <w:bCs/>
                <w:sz w:val="24"/>
                <w:highlight w:val="none"/>
              </w:rPr>
            </w:pPr>
            <w:r>
              <w:rPr>
                <w:rFonts w:hint="eastAsia"/>
                <w:b/>
                <w:bCs/>
                <w:sz w:val="24"/>
                <w:highlight w:val="none"/>
                <w:lang w:eastAsia="zh-CN"/>
              </w:rPr>
              <w:t>2.</w:t>
            </w:r>
            <w:r>
              <w:rPr>
                <w:b/>
                <w:bCs/>
                <w:sz w:val="24"/>
                <w:highlight w:val="none"/>
              </w:rPr>
              <w:t>地表水环境质量现状</w:t>
            </w:r>
          </w:p>
          <w:p w14:paraId="6EA9FFF6">
            <w:pPr>
              <w:autoSpaceDE w:val="0"/>
              <w:autoSpaceDN w:val="0"/>
              <w:spacing w:line="360" w:lineRule="auto"/>
              <w:ind w:firstLine="480" w:firstLineChars="200"/>
              <w:rPr>
                <w:rFonts w:hint="eastAsia"/>
                <w:color w:val="auto"/>
                <w:sz w:val="24"/>
              </w:rPr>
            </w:pPr>
            <w:r>
              <w:rPr>
                <w:kern w:val="0"/>
                <w:sz w:val="24"/>
              </w:rPr>
              <w:t>本项目周边地表水为</w:t>
            </w:r>
            <w:r>
              <w:rPr>
                <w:rFonts w:hint="eastAsia"/>
                <w:kern w:val="0"/>
                <w:sz w:val="24"/>
                <w:lang w:val="en-US" w:eastAsia="zh-CN"/>
              </w:rPr>
              <w:t>泥河</w:t>
            </w:r>
            <w:r>
              <w:rPr>
                <w:kern w:val="0"/>
                <w:sz w:val="24"/>
              </w:rPr>
              <w:t>，</w:t>
            </w:r>
            <w:r>
              <w:rPr>
                <w:color w:val="auto"/>
                <w:kern w:val="0"/>
                <w:sz w:val="24"/>
                <w:lang w:bidi="ar"/>
              </w:rPr>
              <w:t>根据淮南市人民政府发布的《2025 年淮南市环境质量状况公报》</w:t>
            </w:r>
            <w:r>
              <w:rPr>
                <w:rFonts w:hint="eastAsia"/>
                <w:color w:val="auto"/>
                <w:kern w:val="0"/>
                <w:sz w:val="24"/>
                <w:lang w:bidi="ar"/>
              </w:rPr>
              <w:t>：</w:t>
            </w:r>
            <w:r>
              <w:rPr>
                <w:rFonts w:hint="eastAsia"/>
                <w:color w:val="auto"/>
                <w:sz w:val="24"/>
              </w:rPr>
              <w:t>2025年，全市地表水24个监测断面中优良水质比例为95.8%，Ⅳ类水质比例4.2%，总体水质状况优，比上年上升了4.1个百分点。</w:t>
            </w:r>
          </w:p>
          <w:p w14:paraId="14CCB978">
            <w:pPr>
              <w:autoSpaceDE w:val="0"/>
              <w:autoSpaceDN w:val="0"/>
              <w:spacing w:line="360" w:lineRule="auto"/>
              <w:ind w:firstLine="480" w:firstLineChars="200"/>
              <w:rPr>
                <w:rFonts w:hint="eastAsia"/>
                <w:color w:val="auto"/>
                <w:sz w:val="24"/>
              </w:rPr>
            </w:pPr>
            <w:r>
              <w:rPr>
                <w:rFonts w:hint="eastAsia"/>
                <w:color w:val="auto"/>
                <w:sz w:val="24"/>
              </w:rPr>
              <w:t>考核我市的8个国控断面中优良水质比例为87</w:t>
            </w:r>
            <w:r>
              <w:rPr>
                <w:rFonts w:hint="default" w:ascii="Times New Roman" w:hAnsi="Times New Roman" w:cs="Times New Roman"/>
                <w:color w:val="auto"/>
                <w:sz w:val="24"/>
              </w:rPr>
              <w:t>.5%，Ⅳ类水质</w:t>
            </w:r>
            <w:r>
              <w:rPr>
                <w:rFonts w:hint="eastAsia"/>
                <w:color w:val="auto"/>
                <w:sz w:val="24"/>
              </w:rPr>
              <w:t>比例12.5%，总体水质状况良好；考核我市的11个省控断面中优良水质比例为100%，总体水质状况优。</w:t>
            </w:r>
          </w:p>
          <w:p w14:paraId="3B4C43AE">
            <w:pPr>
              <w:autoSpaceDE w:val="0"/>
              <w:autoSpaceDN w:val="0"/>
              <w:spacing w:line="360" w:lineRule="auto"/>
              <w:ind w:firstLine="480" w:firstLineChars="200"/>
              <w:rPr>
                <w:rFonts w:hint="eastAsia"/>
                <w:color w:val="auto"/>
                <w:sz w:val="24"/>
              </w:rPr>
            </w:pPr>
            <w:r>
              <w:rPr>
                <w:rFonts w:hint="eastAsia"/>
                <w:color w:val="auto"/>
                <w:sz w:val="24"/>
              </w:rPr>
              <w:t>河流：淮河干流水质状况为优，</w:t>
            </w:r>
            <w:r>
              <w:rPr>
                <w:rFonts w:hint="eastAsia"/>
                <w:b w:val="0"/>
                <w:bCs w:val="0"/>
                <w:color w:val="auto"/>
                <w:sz w:val="24"/>
              </w:rPr>
              <w:t>东淝河、</w:t>
            </w:r>
            <w:r>
              <w:rPr>
                <w:rFonts w:hint="eastAsia"/>
                <w:color w:val="auto"/>
                <w:sz w:val="24"/>
              </w:rPr>
              <w:t>西淝河、永幸河、陡涧河水质状况为优，架河</w:t>
            </w:r>
            <w:r>
              <w:rPr>
                <w:rFonts w:hint="eastAsia"/>
                <w:b/>
                <w:bCs/>
                <w:color w:val="auto"/>
                <w:sz w:val="24"/>
              </w:rPr>
              <w:t>、泥河</w:t>
            </w:r>
            <w:r>
              <w:rPr>
                <w:rFonts w:hint="eastAsia"/>
                <w:color w:val="auto"/>
                <w:sz w:val="24"/>
              </w:rPr>
              <w:t>、万小河、瓦西干渠、丁家沟和便民沟水质状况为良好。20个监测断面中优良水质比例为100%，与去年持平。袁庄水厂、东部城区水源地、西淝河闸下、窑口大桥和白洋淀渡口断面水质均有所好转（Ⅲ类→Ⅱ类），其他断面水质保持稳定。</w:t>
            </w:r>
          </w:p>
          <w:p w14:paraId="5268199C">
            <w:pPr>
              <w:autoSpaceDE/>
              <w:autoSpaceDN/>
              <w:spacing w:line="360" w:lineRule="auto"/>
              <w:ind w:firstLine="482" w:firstLineChars="200"/>
              <w:rPr>
                <w:b/>
                <w:bCs/>
                <w:sz w:val="24"/>
                <w:highlight w:val="none"/>
              </w:rPr>
            </w:pPr>
            <w:r>
              <w:rPr>
                <w:rFonts w:hint="eastAsia"/>
                <w:b/>
                <w:bCs/>
                <w:sz w:val="24"/>
                <w:highlight w:val="none"/>
                <w:lang w:eastAsia="zh-CN"/>
              </w:rPr>
              <w:t>3.</w:t>
            </w:r>
            <w:r>
              <w:rPr>
                <w:rFonts w:hint="eastAsia"/>
                <w:b/>
                <w:bCs/>
                <w:sz w:val="24"/>
                <w:highlight w:val="none"/>
              </w:rPr>
              <w:t>声环境</w:t>
            </w:r>
          </w:p>
          <w:p w14:paraId="19E948BA">
            <w:pPr>
              <w:autoSpaceDE w:val="0"/>
              <w:autoSpaceDN w:val="0"/>
              <w:spacing w:line="360" w:lineRule="auto"/>
              <w:ind w:firstLine="480" w:firstLineChars="200"/>
              <w:rPr>
                <w:rFonts w:hint="eastAsia"/>
                <w:color w:val="auto"/>
                <w:kern w:val="0"/>
                <w:sz w:val="24"/>
              </w:rPr>
            </w:pPr>
            <w:r>
              <w:rPr>
                <w:rFonts w:hint="eastAsia"/>
                <w:color w:val="auto"/>
                <w:kern w:val="0"/>
                <w:sz w:val="24"/>
              </w:rPr>
              <w:t>根据《建设项目环境影响报告表编制技术指南（污染影响类）（试行）》中要求：厂界外周边50m范围内存在声环境保护目标的建设项目，应监测保护目标声环境质量现状并评价达标情况。</w:t>
            </w:r>
          </w:p>
          <w:p w14:paraId="311867A8">
            <w:pPr>
              <w:autoSpaceDE w:val="0"/>
              <w:autoSpaceDN w:val="0"/>
              <w:spacing w:line="360" w:lineRule="auto"/>
              <w:ind w:firstLine="480" w:firstLineChars="200"/>
              <w:rPr>
                <w:rFonts w:hint="eastAsia"/>
                <w:color w:val="auto"/>
                <w:kern w:val="0"/>
                <w:sz w:val="24"/>
                <w:lang w:eastAsia="zh-CN"/>
              </w:rPr>
            </w:pPr>
            <w:r>
              <w:rPr>
                <w:rFonts w:hint="eastAsia"/>
                <w:color w:val="auto"/>
                <w:kern w:val="0"/>
                <w:sz w:val="24"/>
              </w:rPr>
              <w:t>根据现场调查，厂界外周边50m范围内存在环境保护目标，因此</w:t>
            </w:r>
            <w:r>
              <w:rPr>
                <w:rFonts w:hint="eastAsia"/>
                <w:color w:val="auto"/>
                <w:kern w:val="0"/>
                <w:sz w:val="24"/>
                <w:lang w:eastAsia="zh-CN"/>
              </w:rPr>
              <w:t>须</w:t>
            </w:r>
            <w:r>
              <w:rPr>
                <w:rFonts w:hint="eastAsia"/>
                <w:color w:val="auto"/>
                <w:kern w:val="0"/>
                <w:sz w:val="24"/>
              </w:rPr>
              <w:t>做声环境质量现状监测。</w:t>
            </w:r>
            <w:r>
              <w:rPr>
                <w:rFonts w:hint="eastAsia"/>
                <w:color w:val="auto"/>
                <w:kern w:val="0"/>
                <w:sz w:val="24"/>
                <w:lang w:eastAsia="zh-CN"/>
              </w:rPr>
              <w:t>本次</w:t>
            </w:r>
            <w:r>
              <w:rPr>
                <w:rFonts w:hint="eastAsia"/>
                <w:color w:val="auto"/>
                <w:kern w:val="0"/>
                <w:sz w:val="24"/>
                <w:highlight w:val="none"/>
                <w:lang w:eastAsia="zh-CN"/>
              </w:rPr>
              <w:t>评价委托</w:t>
            </w:r>
            <w:r>
              <w:rPr>
                <w:rFonts w:hint="eastAsia"/>
                <w:color w:val="auto"/>
                <w:kern w:val="0"/>
                <w:sz w:val="24"/>
                <w:highlight w:val="none"/>
                <w:lang w:val="en-US" w:eastAsia="zh-CN"/>
              </w:rPr>
              <w:t>六安科建检测技术有限公司</w:t>
            </w:r>
            <w:r>
              <w:rPr>
                <w:rFonts w:hint="eastAsia"/>
                <w:color w:val="auto"/>
                <w:kern w:val="0"/>
                <w:sz w:val="24"/>
                <w:highlight w:val="none"/>
                <w:lang w:eastAsia="zh-CN"/>
              </w:rPr>
              <w:t>对项目周边</w:t>
            </w:r>
            <w:r>
              <w:rPr>
                <w:rFonts w:hint="eastAsia"/>
                <w:color w:val="auto"/>
                <w:kern w:val="0"/>
                <w:sz w:val="24"/>
                <w:lang w:eastAsia="zh-CN"/>
              </w:rPr>
              <w:t>敏感点进行了监测，监测点位与结果如下。</w:t>
            </w:r>
          </w:p>
          <w:p w14:paraId="70DADE34">
            <w:pPr>
              <w:spacing w:line="360" w:lineRule="auto"/>
              <w:ind w:firstLine="480" w:firstLineChars="200"/>
              <w:rPr>
                <w:sz w:val="24"/>
                <w:szCs w:val="32"/>
                <w:highlight w:val="none"/>
              </w:rPr>
            </w:pPr>
            <w:r>
              <w:rPr>
                <w:rFonts w:hint="eastAsia"/>
                <w:sz w:val="24"/>
                <w:szCs w:val="32"/>
                <w:highlight w:val="none"/>
                <w:lang w:val="en-US" w:eastAsia="zh-CN"/>
              </w:rPr>
              <w:t>（1</w:t>
            </w:r>
            <w:r>
              <w:rPr>
                <w:sz w:val="24"/>
                <w:szCs w:val="32"/>
                <w:highlight w:val="none"/>
              </w:rPr>
              <w:t>）噪声现状监测布点见下表。</w:t>
            </w:r>
          </w:p>
          <w:p w14:paraId="60DA40C2">
            <w:pPr>
              <w:adjustRightInd w:val="0"/>
              <w:snapToGrid w:val="0"/>
              <w:jc w:val="center"/>
              <w:rPr>
                <w:b/>
                <w:bCs/>
                <w:sz w:val="21"/>
                <w:szCs w:val="21"/>
                <w:highlight w:val="none"/>
              </w:rPr>
            </w:pPr>
            <w:r>
              <w:rPr>
                <w:b/>
                <w:bCs/>
                <w:sz w:val="21"/>
                <w:szCs w:val="21"/>
                <w:highlight w:val="none"/>
              </w:rPr>
              <w:t>表</w:t>
            </w:r>
            <w:r>
              <w:rPr>
                <w:rFonts w:hint="eastAsia"/>
                <w:b/>
                <w:bCs/>
                <w:sz w:val="21"/>
                <w:szCs w:val="21"/>
                <w:highlight w:val="none"/>
                <w:lang w:val="en-US" w:eastAsia="zh-CN"/>
              </w:rPr>
              <w:t>3-2</w:t>
            </w:r>
            <w:r>
              <w:rPr>
                <w:b/>
                <w:bCs/>
                <w:sz w:val="21"/>
                <w:szCs w:val="21"/>
                <w:highlight w:val="none"/>
              </w:rPr>
              <w:t xml:space="preserve">  声环境现状监测点位</w:t>
            </w:r>
          </w:p>
          <w:tbl>
            <w:tblPr>
              <w:tblStyle w:val="14"/>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037"/>
              <w:gridCol w:w="1440"/>
              <w:gridCol w:w="5930"/>
            </w:tblGrid>
            <w:tr w14:paraId="205CB3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1" w:hRule="atLeast"/>
                <w:jc w:val="center"/>
              </w:trPr>
              <w:tc>
                <w:tcPr>
                  <w:tcW w:w="616" w:type="pct"/>
                  <w:noWrap w:val="0"/>
                  <w:vAlign w:val="center"/>
                </w:tcPr>
                <w:p w14:paraId="3A6FCAC3">
                  <w:pPr>
                    <w:snapToGrid w:val="0"/>
                    <w:jc w:val="center"/>
                    <w:rPr>
                      <w:b/>
                      <w:bCs/>
                      <w:snapToGrid w:val="0"/>
                      <w:szCs w:val="21"/>
                      <w:highlight w:val="none"/>
                    </w:rPr>
                  </w:pPr>
                  <w:r>
                    <w:rPr>
                      <w:b/>
                      <w:bCs/>
                      <w:snapToGrid w:val="0"/>
                      <w:szCs w:val="21"/>
                      <w:highlight w:val="none"/>
                    </w:rPr>
                    <w:t>测点编号</w:t>
                  </w:r>
                </w:p>
              </w:tc>
              <w:tc>
                <w:tcPr>
                  <w:tcW w:w="856" w:type="pct"/>
                  <w:noWrap w:val="0"/>
                  <w:vAlign w:val="center"/>
                </w:tcPr>
                <w:p w14:paraId="6E06C418">
                  <w:pPr>
                    <w:snapToGrid w:val="0"/>
                    <w:jc w:val="center"/>
                    <w:rPr>
                      <w:b/>
                      <w:bCs/>
                      <w:snapToGrid w:val="0"/>
                      <w:szCs w:val="21"/>
                      <w:highlight w:val="none"/>
                    </w:rPr>
                  </w:pPr>
                  <w:r>
                    <w:rPr>
                      <w:b/>
                      <w:bCs/>
                      <w:snapToGrid w:val="0"/>
                      <w:szCs w:val="21"/>
                      <w:highlight w:val="none"/>
                    </w:rPr>
                    <w:t>测点名称</w:t>
                  </w:r>
                </w:p>
              </w:tc>
              <w:tc>
                <w:tcPr>
                  <w:tcW w:w="3526" w:type="pct"/>
                  <w:noWrap w:val="0"/>
                  <w:vAlign w:val="center"/>
                </w:tcPr>
                <w:p w14:paraId="751A501C">
                  <w:pPr>
                    <w:jc w:val="center"/>
                    <w:rPr>
                      <w:b/>
                      <w:bCs/>
                      <w:snapToGrid w:val="0"/>
                      <w:szCs w:val="21"/>
                      <w:highlight w:val="none"/>
                    </w:rPr>
                  </w:pPr>
                  <w:r>
                    <w:rPr>
                      <w:b/>
                      <w:bCs/>
                      <w:snapToGrid w:val="0"/>
                      <w:szCs w:val="21"/>
                      <w:highlight w:val="none"/>
                    </w:rPr>
                    <w:t>监测点功能区</w:t>
                  </w:r>
                </w:p>
              </w:tc>
            </w:tr>
            <w:tr w14:paraId="267CE1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5" w:hRule="atLeast"/>
                <w:jc w:val="center"/>
              </w:trPr>
              <w:tc>
                <w:tcPr>
                  <w:tcW w:w="616" w:type="pct"/>
                  <w:noWrap w:val="0"/>
                  <w:vAlign w:val="center"/>
                </w:tcPr>
                <w:p w14:paraId="5C0096A4">
                  <w:pPr>
                    <w:jc w:val="center"/>
                    <w:rPr>
                      <w:color w:val="000000"/>
                      <w:szCs w:val="21"/>
                      <w:highlight w:val="none"/>
                    </w:rPr>
                  </w:pPr>
                  <w:r>
                    <w:rPr>
                      <w:color w:val="000000"/>
                      <w:szCs w:val="21"/>
                      <w:highlight w:val="none"/>
                    </w:rPr>
                    <w:t>N</w:t>
                  </w:r>
                  <w:r>
                    <w:rPr>
                      <w:rFonts w:hint="eastAsia"/>
                      <w:color w:val="000000"/>
                      <w:szCs w:val="21"/>
                      <w:highlight w:val="none"/>
                    </w:rPr>
                    <w:t>1</w:t>
                  </w:r>
                </w:p>
              </w:tc>
              <w:tc>
                <w:tcPr>
                  <w:tcW w:w="856" w:type="pct"/>
                  <w:noWrap w:val="0"/>
                  <w:vAlign w:val="center"/>
                </w:tcPr>
                <w:p w14:paraId="2DF67839">
                  <w:pPr>
                    <w:jc w:val="center"/>
                    <w:rPr>
                      <w:rFonts w:hint="default" w:eastAsia="宋体"/>
                      <w:color w:val="000000"/>
                      <w:szCs w:val="21"/>
                      <w:highlight w:val="none"/>
                      <w:lang w:val="en-US" w:eastAsia="zh-CN"/>
                    </w:rPr>
                  </w:pPr>
                  <w:r>
                    <w:rPr>
                      <w:rFonts w:hint="eastAsia"/>
                      <w:color w:val="000000"/>
                      <w:szCs w:val="21"/>
                      <w:highlight w:val="none"/>
                      <w:lang w:val="en-US" w:eastAsia="zh-CN"/>
                    </w:rPr>
                    <w:t>康馨院小区</w:t>
                  </w:r>
                </w:p>
              </w:tc>
              <w:tc>
                <w:tcPr>
                  <w:tcW w:w="3526" w:type="pct"/>
                  <w:vMerge w:val="restart"/>
                  <w:noWrap w:val="0"/>
                  <w:vAlign w:val="center"/>
                </w:tcPr>
                <w:p w14:paraId="131AE692">
                  <w:pPr>
                    <w:snapToGrid w:val="0"/>
                    <w:jc w:val="center"/>
                    <w:rPr>
                      <w:color w:val="000000"/>
                      <w:szCs w:val="21"/>
                      <w:highlight w:val="none"/>
                    </w:rPr>
                  </w:pPr>
                  <w:r>
                    <w:rPr>
                      <w:color w:val="000000"/>
                      <w:szCs w:val="21"/>
                      <w:highlight w:val="none"/>
                    </w:rPr>
                    <w:t>《声环境质量标准》（G</w:t>
                  </w:r>
                  <w:r>
                    <w:rPr>
                      <w:rFonts w:hint="eastAsia"/>
                      <w:color w:val="000000"/>
                      <w:szCs w:val="21"/>
                      <w:highlight w:val="none"/>
                      <w:lang w:val="en-US" w:eastAsia="zh-CN"/>
                    </w:rPr>
                    <w:t>B</w:t>
                  </w:r>
                  <w:r>
                    <w:rPr>
                      <w:color w:val="000000"/>
                      <w:szCs w:val="21"/>
                      <w:highlight w:val="none"/>
                    </w:rPr>
                    <w:t>3096-2008）</w:t>
                  </w:r>
                  <w:r>
                    <w:rPr>
                      <w:rFonts w:hint="eastAsia"/>
                      <w:color w:val="000000"/>
                      <w:szCs w:val="21"/>
                      <w:highlight w:val="none"/>
                      <w:lang w:val="en-US" w:eastAsia="zh-CN"/>
                    </w:rPr>
                    <w:t>1</w:t>
                  </w:r>
                  <w:r>
                    <w:rPr>
                      <w:color w:val="000000"/>
                      <w:szCs w:val="21"/>
                      <w:highlight w:val="none"/>
                    </w:rPr>
                    <w:t>类声环境功能区</w:t>
                  </w:r>
                </w:p>
              </w:tc>
            </w:tr>
            <w:tr w14:paraId="03E308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5" w:hRule="atLeast"/>
                <w:jc w:val="center"/>
              </w:trPr>
              <w:tc>
                <w:tcPr>
                  <w:tcW w:w="616" w:type="pct"/>
                  <w:noWrap w:val="0"/>
                  <w:vAlign w:val="center"/>
                </w:tcPr>
                <w:p w14:paraId="2649B056">
                  <w:pPr>
                    <w:jc w:val="center"/>
                    <w:rPr>
                      <w:color w:val="000000"/>
                      <w:szCs w:val="21"/>
                      <w:highlight w:val="none"/>
                    </w:rPr>
                  </w:pPr>
                  <w:r>
                    <w:rPr>
                      <w:color w:val="000000"/>
                      <w:szCs w:val="21"/>
                      <w:highlight w:val="none"/>
                    </w:rPr>
                    <w:t>N2</w:t>
                  </w:r>
                </w:p>
              </w:tc>
              <w:tc>
                <w:tcPr>
                  <w:tcW w:w="856" w:type="pct"/>
                  <w:noWrap w:val="0"/>
                  <w:vAlign w:val="center"/>
                </w:tcPr>
                <w:p w14:paraId="2649F1C3">
                  <w:pPr>
                    <w:jc w:val="center"/>
                    <w:rPr>
                      <w:rFonts w:hint="default" w:eastAsia="宋体"/>
                      <w:color w:val="000000"/>
                      <w:szCs w:val="21"/>
                      <w:highlight w:val="none"/>
                      <w:lang w:val="en-US" w:eastAsia="zh-CN"/>
                    </w:rPr>
                  </w:pPr>
                  <w:r>
                    <w:rPr>
                      <w:rFonts w:hint="eastAsia"/>
                      <w:color w:val="000000"/>
                      <w:szCs w:val="21"/>
                      <w:highlight w:val="none"/>
                      <w:lang w:val="en-US" w:eastAsia="zh-CN"/>
                    </w:rPr>
                    <w:t>潘三新村小区</w:t>
                  </w:r>
                </w:p>
              </w:tc>
              <w:tc>
                <w:tcPr>
                  <w:tcW w:w="3526" w:type="pct"/>
                  <w:vMerge w:val="continue"/>
                  <w:noWrap w:val="0"/>
                  <w:vAlign w:val="center"/>
                </w:tcPr>
                <w:p w14:paraId="32028BDF">
                  <w:pPr>
                    <w:snapToGrid w:val="0"/>
                    <w:jc w:val="center"/>
                    <w:rPr>
                      <w:color w:val="000000"/>
                      <w:szCs w:val="21"/>
                      <w:highlight w:val="none"/>
                    </w:rPr>
                  </w:pPr>
                </w:p>
              </w:tc>
            </w:tr>
            <w:tr w14:paraId="5368DC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60" w:hRule="atLeast"/>
                <w:jc w:val="center"/>
              </w:trPr>
              <w:tc>
                <w:tcPr>
                  <w:tcW w:w="616" w:type="pct"/>
                  <w:noWrap w:val="0"/>
                  <w:vAlign w:val="center"/>
                </w:tcPr>
                <w:p w14:paraId="6110B383">
                  <w:pPr>
                    <w:jc w:val="center"/>
                    <w:rPr>
                      <w:color w:val="000000"/>
                      <w:szCs w:val="21"/>
                      <w:highlight w:val="none"/>
                    </w:rPr>
                  </w:pPr>
                  <w:r>
                    <w:rPr>
                      <w:color w:val="000000"/>
                      <w:szCs w:val="21"/>
                      <w:highlight w:val="none"/>
                    </w:rPr>
                    <w:t>N3</w:t>
                  </w:r>
                </w:p>
              </w:tc>
              <w:tc>
                <w:tcPr>
                  <w:tcW w:w="856" w:type="pct"/>
                  <w:noWrap w:val="0"/>
                  <w:vAlign w:val="center"/>
                </w:tcPr>
                <w:p w14:paraId="027B1845">
                  <w:pPr>
                    <w:jc w:val="center"/>
                    <w:rPr>
                      <w:rFonts w:hint="default" w:eastAsia="宋体"/>
                      <w:color w:val="000000"/>
                      <w:szCs w:val="21"/>
                      <w:highlight w:val="none"/>
                      <w:lang w:val="en-US" w:eastAsia="zh-CN"/>
                    </w:rPr>
                  </w:pPr>
                  <w:r>
                    <w:rPr>
                      <w:rFonts w:hint="eastAsia"/>
                      <w:color w:val="000000"/>
                      <w:szCs w:val="21"/>
                      <w:highlight w:val="none"/>
                      <w:lang w:val="en-US" w:eastAsia="zh-CN"/>
                    </w:rPr>
                    <w:t>医院东侧商铺</w:t>
                  </w:r>
                </w:p>
              </w:tc>
              <w:tc>
                <w:tcPr>
                  <w:tcW w:w="3526" w:type="pct"/>
                  <w:noWrap w:val="0"/>
                  <w:vAlign w:val="center"/>
                </w:tcPr>
                <w:p w14:paraId="5426FCF8">
                  <w:pPr>
                    <w:snapToGrid w:val="0"/>
                    <w:jc w:val="center"/>
                    <w:rPr>
                      <w:color w:val="000000"/>
                      <w:szCs w:val="21"/>
                      <w:highlight w:val="none"/>
                    </w:rPr>
                  </w:pPr>
                  <w:r>
                    <w:rPr>
                      <w:color w:val="000000"/>
                      <w:szCs w:val="21"/>
                      <w:highlight w:val="none"/>
                    </w:rPr>
                    <w:t>《声环境质量标准》（G</w:t>
                  </w:r>
                  <w:r>
                    <w:rPr>
                      <w:rFonts w:hint="eastAsia"/>
                      <w:color w:val="000000"/>
                      <w:szCs w:val="21"/>
                      <w:highlight w:val="none"/>
                      <w:lang w:val="en-US" w:eastAsia="zh-CN"/>
                    </w:rPr>
                    <w:t>B</w:t>
                  </w:r>
                  <w:r>
                    <w:rPr>
                      <w:color w:val="000000"/>
                      <w:szCs w:val="21"/>
                      <w:highlight w:val="none"/>
                    </w:rPr>
                    <w:t>3096-2008）</w:t>
                  </w:r>
                  <w:r>
                    <w:rPr>
                      <w:rFonts w:hint="eastAsia"/>
                      <w:color w:val="000000"/>
                      <w:szCs w:val="21"/>
                      <w:highlight w:val="none"/>
                      <w:lang w:val="en-US" w:eastAsia="zh-CN"/>
                    </w:rPr>
                    <w:t>2</w:t>
                  </w:r>
                  <w:r>
                    <w:rPr>
                      <w:color w:val="000000"/>
                      <w:szCs w:val="21"/>
                      <w:highlight w:val="none"/>
                    </w:rPr>
                    <w:t>类声环境功能区</w:t>
                  </w:r>
                </w:p>
              </w:tc>
            </w:tr>
          </w:tbl>
          <w:p w14:paraId="0D1C2BE3">
            <w:pPr>
              <w:pStyle w:val="2"/>
              <w:keepNext w:val="0"/>
              <w:keepLines w:val="0"/>
              <w:pageBreakBefore w:val="0"/>
              <w:widowControl w:val="0"/>
              <w:kinsoku/>
              <w:wordWrap/>
              <w:overflowPunct/>
              <w:topLinePunct w:val="0"/>
              <w:autoSpaceDE/>
              <w:autoSpaceDN/>
              <w:bidi w:val="0"/>
              <w:adjustRightInd w:val="0"/>
              <w:snapToGrid/>
              <w:spacing w:line="240" w:lineRule="auto"/>
              <w:ind w:left="0" w:leftChars="0" w:firstLine="0"/>
              <w:jc w:val="center"/>
              <w:textAlignment w:val="auto"/>
              <w:rPr>
                <w:rFonts w:hint="default"/>
                <w:b/>
                <w:bCs/>
                <w:szCs w:val="21"/>
                <w:lang w:val="en-US" w:eastAsia="zh-CN"/>
              </w:rPr>
            </w:pPr>
            <w:r>
              <w:rPr>
                <w:rFonts w:hint="eastAsia"/>
                <w:b/>
                <w:bCs/>
                <w:color w:val="auto"/>
                <w:kern w:val="0"/>
                <w:sz w:val="21"/>
                <w:szCs w:val="21"/>
                <w:lang w:eastAsia="zh-CN"/>
              </w:rPr>
              <w:t>表</w:t>
            </w:r>
            <w:r>
              <w:rPr>
                <w:rFonts w:hint="eastAsia"/>
                <w:b/>
                <w:bCs/>
                <w:color w:val="auto"/>
                <w:kern w:val="0"/>
                <w:sz w:val="21"/>
                <w:szCs w:val="21"/>
                <w:lang w:val="en-US" w:eastAsia="zh-CN"/>
              </w:rPr>
              <w:t>3-3 声环境监测结果</w:t>
            </w:r>
          </w:p>
          <w:tbl>
            <w:tblPr>
              <w:tblStyle w:val="15"/>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28"/>
              <w:gridCol w:w="4552"/>
              <w:gridCol w:w="1245"/>
              <w:gridCol w:w="1182"/>
            </w:tblGrid>
            <w:tr w14:paraId="21B801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4" w:hRule="atLeast"/>
                <w:tblHeader/>
              </w:trPr>
              <w:tc>
                <w:tcPr>
                  <w:tcW w:w="849" w:type="pct"/>
                  <w:vMerge w:val="restart"/>
                  <w:noWrap w:val="0"/>
                  <w:vAlign w:val="center"/>
                </w:tcPr>
                <w:p w14:paraId="23206F61">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eastAsia="宋体" w:cs="Times New Roman"/>
                      <w:b/>
                      <w:bCs/>
                      <w:sz w:val="21"/>
                      <w:szCs w:val="21"/>
                      <w:vertAlign w:val="baseline"/>
                      <w:lang w:val="en-US" w:eastAsia="zh-CN"/>
                    </w:rPr>
                  </w:pPr>
                  <w:r>
                    <w:rPr>
                      <w:rFonts w:hint="default" w:ascii="Times New Roman" w:hAnsi="Times New Roman" w:eastAsia="宋体" w:cs="Times New Roman"/>
                      <w:b/>
                      <w:bCs/>
                      <w:sz w:val="21"/>
                      <w:szCs w:val="21"/>
                      <w:vertAlign w:val="baseline"/>
                      <w:lang w:val="en-US" w:eastAsia="zh-CN"/>
                    </w:rPr>
                    <w:t>测点编号</w:t>
                  </w:r>
                </w:p>
              </w:tc>
              <w:tc>
                <w:tcPr>
                  <w:tcW w:w="2707" w:type="pct"/>
                  <w:vMerge w:val="restart"/>
                  <w:noWrap w:val="0"/>
                  <w:vAlign w:val="center"/>
                </w:tcPr>
                <w:p w14:paraId="48545AC5">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eastAsia="宋体" w:cs="Times New Roman"/>
                      <w:b/>
                      <w:bCs/>
                      <w:sz w:val="21"/>
                      <w:szCs w:val="21"/>
                      <w:vertAlign w:val="baseline"/>
                      <w:lang w:val="en-US" w:eastAsia="zh-CN"/>
                    </w:rPr>
                  </w:pPr>
                  <w:r>
                    <w:rPr>
                      <w:rFonts w:hint="default" w:ascii="Times New Roman" w:hAnsi="Times New Roman" w:eastAsia="宋体" w:cs="Times New Roman"/>
                      <w:b/>
                      <w:bCs/>
                      <w:sz w:val="21"/>
                      <w:szCs w:val="21"/>
                      <w:vertAlign w:val="baseline"/>
                      <w:lang w:val="en-US" w:eastAsia="zh-CN"/>
                    </w:rPr>
                    <w:t>检测点位</w:t>
                  </w:r>
                </w:p>
              </w:tc>
              <w:tc>
                <w:tcPr>
                  <w:tcW w:w="1443" w:type="pct"/>
                  <w:gridSpan w:val="2"/>
                  <w:noWrap w:val="0"/>
                  <w:vAlign w:val="center"/>
                </w:tcPr>
                <w:p w14:paraId="108B9DDF">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eastAsia="宋体" w:cs="Times New Roman"/>
                      <w:b/>
                      <w:bCs/>
                      <w:sz w:val="21"/>
                      <w:szCs w:val="21"/>
                      <w:vertAlign w:val="baseline"/>
                      <w:lang w:val="en-US" w:eastAsia="zh-CN"/>
                    </w:rPr>
                  </w:pPr>
                  <w:r>
                    <w:rPr>
                      <w:rFonts w:hint="default" w:ascii="Times New Roman" w:hAnsi="Times New Roman" w:eastAsia="宋体" w:cs="Times New Roman"/>
                      <w:b/>
                      <w:bCs/>
                      <w:sz w:val="21"/>
                      <w:szCs w:val="21"/>
                      <w:vertAlign w:val="baseline"/>
                      <w:lang w:val="en-US" w:eastAsia="zh-CN"/>
                    </w:rPr>
                    <w:t>等效声级Leq dB(A)</w:t>
                  </w:r>
                </w:p>
              </w:tc>
            </w:tr>
            <w:tr w14:paraId="0209B0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trPr>
              <w:tc>
                <w:tcPr>
                  <w:tcW w:w="849" w:type="pct"/>
                  <w:vMerge w:val="continue"/>
                  <w:noWrap w:val="0"/>
                  <w:vAlign w:val="center"/>
                </w:tcPr>
                <w:p w14:paraId="6B092CAB">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eastAsia="宋体" w:cs="Times New Roman"/>
                      <w:b/>
                      <w:bCs/>
                      <w:sz w:val="21"/>
                      <w:szCs w:val="21"/>
                      <w:vertAlign w:val="baseline"/>
                      <w:lang w:val="en-US" w:eastAsia="zh-CN"/>
                    </w:rPr>
                  </w:pPr>
                </w:p>
              </w:tc>
              <w:tc>
                <w:tcPr>
                  <w:tcW w:w="2707" w:type="pct"/>
                  <w:vMerge w:val="continue"/>
                  <w:noWrap w:val="0"/>
                  <w:vAlign w:val="center"/>
                </w:tcPr>
                <w:p w14:paraId="4403912B">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eastAsia="宋体" w:cs="Times New Roman"/>
                      <w:b/>
                      <w:bCs/>
                      <w:sz w:val="21"/>
                      <w:szCs w:val="21"/>
                      <w:vertAlign w:val="baseline"/>
                      <w:lang w:val="en-US" w:eastAsia="zh-CN"/>
                    </w:rPr>
                  </w:pPr>
                </w:p>
              </w:tc>
              <w:tc>
                <w:tcPr>
                  <w:tcW w:w="1443" w:type="pct"/>
                  <w:gridSpan w:val="2"/>
                  <w:noWrap w:val="0"/>
                  <w:vAlign w:val="center"/>
                </w:tcPr>
                <w:p w14:paraId="5B77D28F">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eastAsia="宋体" w:cs="Times New Roman"/>
                      <w:b/>
                      <w:bCs/>
                      <w:color w:val="auto"/>
                      <w:sz w:val="21"/>
                      <w:szCs w:val="21"/>
                      <w:vertAlign w:val="baseline"/>
                      <w:lang w:val="en-US" w:eastAsia="zh-CN"/>
                    </w:rPr>
                  </w:pPr>
                  <w:r>
                    <w:rPr>
                      <w:rFonts w:hint="eastAsia" w:eastAsia="宋体" w:cs="Times New Roman"/>
                      <w:b/>
                      <w:bCs/>
                      <w:color w:val="auto"/>
                      <w:sz w:val="21"/>
                      <w:szCs w:val="21"/>
                      <w:vertAlign w:val="baseline"/>
                      <w:lang w:val="en-US" w:eastAsia="zh-CN"/>
                    </w:rPr>
                    <w:t>202</w:t>
                  </w:r>
                  <w:r>
                    <w:rPr>
                      <w:rFonts w:hint="eastAsia" w:cs="Times New Roman"/>
                      <w:b/>
                      <w:bCs/>
                      <w:color w:val="auto"/>
                      <w:sz w:val="21"/>
                      <w:szCs w:val="21"/>
                      <w:vertAlign w:val="baseline"/>
                      <w:lang w:val="en-US" w:eastAsia="zh-CN"/>
                    </w:rPr>
                    <w:t>6.10.12</w:t>
                  </w:r>
                </w:p>
              </w:tc>
            </w:tr>
            <w:tr w14:paraId="3CF197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trPr>
              <w:tc>
                <w:tcPr>
                  <w:tcW w:w="849" w:type="pct"/>
                  <w:vMerge w:val="continue"/>
                  <w:noWrap w:val="0"/>
                  <w:vAlign w:val="center"/>
                </w:tcPr>
                <w:p w14:paraId="7D612468">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eastAsia="宋体" w:cs="Times New Roman"/>
                      <w:b/>
                      <w:bCs/>
                      <w:sz w:val="21"/>
                      <w:szCs w:val="21"/>
                      <w:vertAlign w:val="baseline"/>
                      <w:lang w:val="en-US" w:eastAsia="zh-CN"/>
                    </w:rPr>
                  </w:pPr>
                </w:p>
              </w:tc>
              <w:tc>
                <w:tcPr>
                  <w:tcW w:w="2707" w:type="pct"/>
                  <w:vMerge w:val="continue"/>
                  <w:noWrap w:val="0"/>
                  <w:vAlign w:val="center"/>
                </w:tcPr>
                <w:p w14:paraId="0CF13E02">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eastAsia="宋体" w:cs="Times New Roman"/>
                      <w:b/>
                      <w:bCs/>
                      <w:sz w:val="21"/>
                      <w:szCs w:val="21"/>
                      <w:vertAlign w:val="baseline"/>
                      <w:lang w:val="en-US" w:eastAsia="zh-CN"/>
                    </w:rPr>
                  </w:pPr>
                </w:p>
              </w:tc>
              <w:tc>
                <w:tcPr>
                  <w:tcW w:w="740" w:type="pct"/>
                  <w:noWrap w:val="0"/>
                  <w:vAlign w:val="center"/>
                </w:tcPr>
                <w:p w14:paraId="55E04FFB">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bCs/>
                      <w:kern w:val="2"/>
                      <w:sz w:val="21"/>
                      <w:szCs w:val="21"/>
                      <w:vertAlign w:val="baseline"/>
                      <w:lang w:val="en-US" w:eastAsia="zh-CN" w:bidi="ar-SA"/>
                    </w:rPr>
                  </w:pPr>
                  <w:r>
                    <w:rPr>
                      <w:rFonts w:hint="default" w:ascii="Times New Roman" w:hAnsi="Times New Roman" w:eastAsia="宋体" w:cs="Times New Roman"/>
                      <w:b/>
                      <w:bCs/>
                      <w:sz w:val="21"/>
                      <w:szCs w:val="21"/>
                      <w:vertAlign w:val="baseline"/>
                      <w:lang w:val="en-US" w:eastAsia="zh-CN"/>
                    </w:rPr>
                    <w:t>昼间</w:t>
                  </w:r>
                </w:p>
              </w:tc>
              <w:tc>
                <w:tcPr>
                  <w:tcW w:w="702" w:type="pct"/>
                  <w:noWrap w:val="0"/>
                  <w:vAlign w:val="center"/>
                </w:tcPr>
                <w:p w14:paraId="3FF716EB">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Times New Roman" w:hAnsi="Times New Roman" w:eastAsia="宋体" w:cs="Times New Roman"/>
                      <w:b/>
                      <w:bCs/>
                      <w:sz w:val="21"/>
                      <w:szCs w:val="21"/>
                      <w:vertAlign w:val="baseline"/>
                      <w:lang w:val="en-US" w:eastAsia="zh-CN"/>
                    </w:rPr>
                  </w:pPr>
                  <w:r>
                    <w:rPr>
                      <w:rFonts w:hint="eastAsia" w:eastAsia="宋体" w:cs="Times New Roman"/>
                      <w:b/>
                      <w:bCs/>
                      <w:sz w:val="21"/>
                      <w:szCs w:val="21"/>
                      <w:vertAlign w:val="baseline"/>
                      <w:lang w:val="en-US" w:eastAsia="zh-CN"/>
                    </w:rPr>
                    <w:t>夜间</w:t>
                  </w:r>
                </w:p>
              </w:tc>
            </w:tr>
            <w:tr w14:paraId="666A96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849" w:type="pct"/>
                  <w:noWrap w:val="0"/>
                  <w:vAlign w:val="center"/>
                </w:tcPr>
                <w:p w14:paraId="37A74F0B">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eastAsia="宋体" w:cs="Times New Roman"/>
                      <w:color w:val="auto"/>
                      <w:sz w:val="21"/>
                      <w:szCs w:val="21"/>
                      <w:vertAlign w:val="baseline"/>
                      <w:lang w:val="en-US" w:eastAsia="zh-CN"/>
                    </w:rPr>
                  </w:pPr>
                  <w:r>
                    <w:rPr>
                      <w:rFonts w:hint="eastAsia" w:eastAsia="宋体" w:cs="Times New Roman"/>
                      <w:color w:val="auto"/>
                      <w:sz w:val="21"/>
                      <w:szCs w:val="21"/>
                      <w:vertAlign w:val="baseline"/>
                      <w:lang w:val="en-US" w:eastAsia="zh-CN"/>
                    </w:rPr>
                    <w:t>N1</w:t>
                  </w:r>
                </w:p>
              </w:tc>
              <w:tc>
                <w:tcPr>
                  <w:tcW w:w="2707" w:type="pct"/>
                  <w:noWrap w:val="0"/>
                  <w:vAlign w:val="center"/>
                </w:tcPr>
                <w:p w14:paraId="7D12AB1B">
                  <w:pPr>
                    <w:jc w:val="center"/>
                    <w:rPr>
                      <w:rFonts w:hint="default" w:ascii="Times New Roman" w:hAnsi="Times New Roman" w:eastAsia="宋体" w:cs="Times New Roman"/>
                      <w:color w:val="auto"/>
                      <w:kern w:val="2"/>
                      <w:sz w:val="21"/>
                      <w:szCs w:val="21"/>
                      <w:vertAlign w:val="baseline"/>
                      <w:lang w:val="en-US" w:eastAsia="zh-CN" w:bidi="ar-SA"/>
                    </w:rPr>
                  </w:pPr>
                  <w:r>
                    <w:rPr>
                      <w:rFonts w:hint="eastAsia"/>
                      <w:color w:val="000000"/>
                      <w:szCs w:val="21"/>
                      <w:highlight w:val="none"/>
                      <w:lang w:val="en-US" w:eastAsia="zh-CN"/>
                    </w:rPr>
                    <w:t>康馨院小区</w:t>
                  </w:r>
                </w:p>
              </w:tc>
              <w:tc>
                <w:tcPr>
                  <w:tcW w:w="740" w:type="pct"/>
                  <w:noWrap w:val="0"/>
                  <w:vAlign w:val="center"/>
                </w:tcPr>
                <w:p w14:paraId="1C94F102">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cs="Times New Roman"/>
                      <w:color w:val="auto"/>
                      <w:sz w:val="21"/>
                      <w:szCs w:val="21"/>
                      <w:vertAlign w:val="baseline"/>
                      <w:lang w:val="en-US" w:eastAsia="zh-CN"/>
                    </w:rPr>
                    <w:t>52.4</w:t>
                  </w:r>
                </w:p>
              </w:tc>
              <w:tc>
                <w:tcPr>
                  <w:tcW w:w="702" w:type="pct"/>
                  <w:noWrap w:val="0"/>
                  <w:vAlign w:val="center"/>
                </w:tcPr>
                <w:p w14:paraId="5EC7C1E9">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cs="Times New Roman"/>
                      <w:color w:val="auto"/>
                      <w:sz w:val="21"/>
                      <w:szCs w:val="21"/>
                      <w:vertAlign w:val="baseline"/>
                      <w:lang w:val="en-US" w:eastAsia="zh-CN"/>
                    </w:rPr>
                    <w:t>41.6</w:t>
                  </w:r>
                </w:p>
              </w:tc>
            </w:tr>
            <w:tr w14:paraId="73013A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849" w:type="pct"/>
                  <w:noWrap w:val="0"/>
                  <w:vAlign w:val="center"/>
                </w:tcPr>
                <w:p w14:paraId="11BE5A22">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eastAsia="宋体" w:cs="Times New Roman"/>
                      <w:color w:val="auto"/>
                      <w:sz w:val="21"/>
                      <w:szCs w:val="21"/>
                      <w:vertAlign w:val="baseline"/>
                      <w:lang w:val="en-US" w:eastAsia="zh-CN"/>
                    </w:rPr>
                  </w:pPr>
                  <w:r>
                    <w:rPr>
                      <w:rFonts w:hint="eastAsia" w:eastAsia="宋体" w:cs="Times New Roman"/>
                      <w:color w:val="auto"/>
                      <w:sz w:val="21"/>
                      <w:szCs w:val="21"/>
                      <w:vertAlign w:val="baseline"/>
                      <w:lang w:val="en-US" w:eastAsia="zh-CN"/>
                    </w:rPr>
                    <w:t>N2</w:t>
                  </w:r>
                </w:p>
              </w:tc>
              <w:tc>
                <w:tcPr>
                  <w:tcW w:w="2707" w:type="pct"/>
                  <w:noWrap w:val="0"/>
                  <w:vAlign w:val="center"/>
                </w:tcPr>
                <w:p w14:paraId="61C597E8">
                  <w:pPr>
                    <w:jc w:val="center"/>
                    <w:rPr>
                      <w:rFonts w:hint="eastAsia" w:ascii="Times New Roman" w:hAnsi="Times New Roman" w:eastAsia="宋体" w:cs="Times New Roman"/>
                      <w:color w:val="auto"/>
                      <w:kern w:val="2"/>
                      <w:sz w:val="21"/>
                      <w:szCs w:val="21"/>
                      <w:vertAlign w:val="baseline"/>
                      <w:lang w:val="en-US" w:eastAsia="zh-CN" w:bidi="ar-SA"/>
                    </w:rPr>
                  </w:pPr>
                  <w:r>
                    <w:rPr>
                      <w:rFonts w:hint="eastAsia"/>
                      <w:color w:val="000000"/>
                      <w:szCs w:val="21"/>
                      <w:highlight w:val="none"/>
                      <w:lang w:val="en-US" w:eastAsia="zh-CN"/>
                    </w:rPr>
                    <w:t>潘三新村小区</w:t>
                  </w:r>
                </w:p>
              </w:tc>
              <w:tc>
                <w:tcPr>
                  <w:tcW w:w="740" w:type="pct"/>
                  <w:noWrap w:val="0"/>
                  <w:vAlign w:val="center"/>
                </w:tcPr>
                <w:p w14:paraId="7C7DF08C">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cs="Times New Roman"/>
                      <w:color w:val="auto"/>
                      <w:sz w:val="21"/>
                      <w:szCs w:val="21"/>
                      <w:vertAlign w:val="baseline"/>
                      <w:lang w:val="en-US" w:eastAsia="zh-CN"/>
                    </w:rPr>
                    <w:t>51.4</w:t>
                  </w:r>
                </w:p>
              </w:tc>
              <w:tc>
                <w:tcPr>
                  <w:tcW w:w="702" w:type="pct"/>
                  <w:noWrap w:val="0"/>
                  <w:vAlign w:val="center"/>
                </w:tcPr>
                <w:p w14:paraId="19DEF560">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cs="Times New Roman"/>
                      <w:color w:val="auto"/>
                      <w:sz w:val="21"/>
                      <w:szCs w:val="21"/>
                      <w:vertAlign w:val="baseline"/>
                      <w:lang w:val="en-US" w:eastAsia="zh-CN"/>
                    </w:rPr>
                    <w:t>43.3</w:t>
                  </w:r>
                </w:p>
              </w:tc>
            </w:tr>
            <w:tr w14:paraId="4BB121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trPr>
              <w:tc>
                <w:tcPr>
                  <w:tcW w:w="849" w:type="pct"/>
                  <w:noWrap w:val="0"/>
                  <w:vAlign w:val="center"/>
                </w:tcPr>
                <w:p w14:paraId="7888F552">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eastAsia="宋体" w:cs="Times New Roman"/>
                      <w:color w:val="auto"/>
                      <w:sz w:val="21"/>
                      <w:szCs w:val="21"/>
                      <w:vertAlign w:val="baseline"/>
                      <w:lang w:val="en-US" w:eastAsia="zh-CN"/>
                    </w:rPr>
                  </w:pPr>
                  <w:r>
                    <w:rPr>
                      <w:rFonts w:hint="eastAsia" w:eastAsia="宋体" w:cs="Times New Roman"/>
                      <w:color w:val="auto"/>
                      <w:sz w:val="21"/>
                      <w:szCs w:val="21"/>
                      <w:vertAlign w:val="baseline"/>
                      <w:lang w:val="en-US" w:eastAsia="zh-CN"/>
                    </w:rPr>
                    <w:t>N3</w:t>
                  </w:r>
                </w:p>
              </w:tc>
              <w:tc>
                <w:tcPr>
                  <w:tcW w:w="2707" w:type="pct"/>
                  <w:noWrap w:val="0"/>
                  <w:vAlign w:val="center"/>
                </w:tcPr>
                <w:p w14:paraId="51A46C31">
                  <w:pPr>
                    <w:jc w:val="center"/>
                    <w:rPr>
                      <w:rFonts w:hint="default" w:ascii="Times New Roman" w:hAnsi="Times New Roman" w:eastAsia="宋体" w:cs="Times New Roman"/>
                      <w:color w:val="auto"/>
                      <w:kern w:val="2"/>
                      <w:sz w:val="21"/>
                      <w:szCs w:val="21"/>
                      <w:vertAlign w:val="baseline"/>
                      <w:lang w:val="en-US" w:eastAsia="zh-CN" w:bidi="ar-SA"/>
                    </w:rPr>
                  </w:pPr>
                  <w:r>
                    <w:rPr>
                      <w:rFonts w:hint="eastAsia"/>
                      <w:color w:val="000000"/>
                      <w:szCs w:val="21"/>
                      <w:highlight w:val="none"/>
                      <w:lang w:val="en-US" w:eastAsia="zh-CN"/>
                    </w:rPr>
                    <w:t>医院东侧商铺</w:t>
                  </w:r>
                </w:p>
              </w:tc>
              <w:tc>
                <w:tcPr>
                  <w:tcW w:w="740" w:type="pct"/>
                  <w:noWrap w:val="0"/>
                  <w:vAlign w:val="center"/>
                </w:tcPr>
                <w:p w14:paraId="3ABE2001">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cs="Times New Roman"/>
                      <w:color w:val="auto"/>
                      <w:sz w:val="21"/>
                      <w:szCs w:val="21"/>
                      <w:vertAlign w:val="baseline"/>
                      <w:lang w:val="en-US" w:eastAsia="zh-CN"/>
                    </w:rPr>
                    <w:t>48.0</w:t>
                  </w:r>
                </w:p>
              </w:tc>
              <w:tc>
                <w:tcPr>
                  <w:tcW w:w="702" w:type="pct"/>
                  <w:noWrap w:val="0"/>
                  <w:vAlign w:val="center"/>
                </w:tcPr>
                <w:p w14:paraId="6F330497">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cs="Times New Roman"/>
                      <w:color w:val="auto"/>
                      <w:sz w:val="21"/>
                      <w:szCs w:val="21"/>
                      <w:vertAlign w:val="baseline"/>
                      <w:lang w:val="en-US" w:eastAsia="zh-CN"/>
                    </w:rPr>
                    <w:t>44.6</w:t>
                  </w:r>
                </w:p>
              </w:tc>
            </w:tr>
          </w:tbl>
          <w:p w14:paraId="6240D05F">
            <w:pPr>
              <w:spacing w:line="360" w:lineRule="auto"/>
              <w:ind w:firstLine="420" w:firstLineChars="200"/>
            </w:pPr>
            <w:r>
              <w:drawing>
                <wp:anchor distT="0" distB="0" distL="114300" distR="114300" simplePos="0" relativeHeight="251667456" behindDoc="0" locked="0" layoutInCell="1" allowOverlap="1">
                  <wp:simplePos x="0" y="0"/>
                  <wp:positionH relativeFrom="column">
                    <wp:posOffset>4238625</wp:posOffset>
                  </wp:positionH>
                  <wp:positionV relativeFrom="paragraph">
                    <wp:posOffset>-6350</wp:posOffset>
                  </wp:positionV>
                  <wp:extent cx="571500" cy="577850"/>
                  <wp:effectExtent l="0" t="0" r="0" b="12700"/>
                  <wp:wrapNone/>
                  <wp:docPr id="9"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2"/>
                          <pic:cNvPicPr>
                            <a:picLocks noChangeAspect="1"/>
                          </pic:cNvPicPr>
                        </pic:nvPicPr>
                        <pic:blipFill>
                          <a:blip r:embed="rId12"/>
                          <a:stretch>
                            <a:fillRect/>
                          </a:stretch>
                        </pic:blipFill>
                        <pic:spPr>
                          <a:xfrm>
                            <a:off x="0" y="0"/>
                            <a:ext cx="571500" cy="577850"/>
                          </a:xfrm>
                          <a:prstGeom prst="rect">
                            <a:avLst/>
                          </a:prstGeom>
                          <a:noFill/>
                          <a:ln>
                            <a:noFill/>
                          </a:ln>
                        </pic:spPr>
                      </pic:pic>
                    </a:graphicData>
                  </a:graphic>
                </wp:anchor>
              </w:drawing>
            </w:r>
            <w:r>
              <w:drawing>
                <wp:inline distT="0" distB="0" distL="114300" distR="114300">
                  <wp:extent cx="4552950" cy="3829050"/>
                  <wp:effectExtent l="0" t="0" r="0" b="0"/>
                  <wp:docPr id="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pic:cNvPicPr>
                            <a:picLocks noChangeAspect="1"/>
                          </pic:cNvPicPr>
                        </pic:nvPicPr>
                        <pic:blipFill>
                          <a:blip r:embed="rId13"/>
                          <a:stretch>
                            <a:fillRect/>
                          </a:stretch>
                        </pic:blipFill>
                        <pic:spPr>
                          <a:xfrm>
                            <a:off x="0" y="0"/>
                            <a:ext cx="4552950" cy="3829050"/>
                          </a:xfrm>
                          <a:prstGeom prst="rect">
                            <a:avLst/>
                          </a:prstGeom>
                          <a:noFill/>
                          <a:ln>
                            <a:noFill/>
                          </a:ln>
                        </pic:spPr>
                      </pic:pic>
                    </a:graphicData>
                  </a:graphic>
                </wp:inline>
              </w:drawing>
            </w:r>
          </w:p>
          <w:p w14:paraId="22B7233C">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eastAsia="宋体"/>
                <w:b/>
                <w:bCs/>
                <w:lang w:val="en-US" w:eastAsia="zh-CN"/>
              </w:rPr>
            </w:pPr>
            <w:r>
              <w:rPr>
                <w:rFonts w:hint="eastAsia" w:eastAsia="宋体"/>
                <w:b/>
                <w:bCs/>
                <w:lang w:eastAsia="zh-CN"/>
              </w:rPr>
              <w:t>图</w:t>
            </w:r>
            <w:r>
              <w:rPr>
                <w:rFonts w:hint="eastAsia" w:eastAsia="宋体"/>
                <w:b/>
                <w:bCs/>
                <w:lang w:val="en-US" w:eastAsia="zh-CN"/>
              </w:rPr>
              <w:t>3-1 声环境监测点位图</w:t>
            </w:r>
            <w:r>
              <w:drawing>
                <wp:anchor distT="0" distB="0" distL="114300" distR="114300" simplePos="0" relativeHeight="251666432" behindDoc="0" locked="0" layoutInCell="1" allowOverlap="1">
                  <wp:simplePos x="0" y="0"/>
                  <wp:positionH relativeFrom="column">
                    <wp:posOffset>10265410</wp:posOffset>
                  </wp:positionH>
                  <wp:positionV relativeFrom="paragraph">
                    <wp:posOffset>378460</wp:posOffset>
                  </wp:positionV>
                  <wp:extent cx="671830" cy="549275"/>
                  <wp:effectExtent l="0" t="0" r="13970" b="3175"/>
                  <wp:wrapNone/>
                  <wp:docPr id="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2"/>
                          <pic:cNvPicPr>
                            <a:picLocks noChangeAspect="1"/>
                          </pic:cNvPicPr>
                        </pic:nvPicPr>
                        <pic:blipFill>
                          <a:blip r:embed="rId14"/>
                          <a:srcRect b="17619"/>
                          <a:stretch>
                            <a:fillRect/>
                          </a:stretch>
                        </pic:blipFill>
                        <pic:spPr>
                          <a:xfrm>
                            <a:off x="0" y="0"/>
                            <a:ext cx="671830" cy="549275"/>
                          </a:xfrm>
                          <a:prstGeom prst="rect">
                            <a:avLst/>
                          </a:prstGeom>
                          <a:noFill/>
                          <a:ln>
                            <a:noFill/>
                          </a:ln>
                        </pic:spPr>
                      </pic:pic>
                    </a:graphicData>
                  </a:graphic>
                </wp:anchor>
              </w:drawing>
            </w:r>
            <w:r>
              <w:drawing>
                <wp:anchor distT="0" distB="0" distL="114300" distR="114300" simplePos="0" relativeHeight="251665408" behindDoc="0" locked="0" layoutInCell="1" allowOverlap="1">
                  <wp:simplePos x="0" y="0"/>
                  <wp:positionH relativeFrom="column">
                    <wp:posOffset>10113010</wp:posOffset>
                  </wp:positionH>
                  <wp:positionV relativeFrom="paragraph">
                    <wp:posOffset>226060</wp:posOffset>
                  </wp:positionV>
                  <wp:extent cx="671830" cy="549275"/>
                  <wp:effectExtent l="0" t="0" r="13970" b="3175"/>
                  <wp:wrapNone/>
                  <wp:docPr id="5"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3"/>
                          <pic:cNvPicPr>
                            <a:picLocks noChangeAspect="1"/>
                          </pic:cNvPicPr>
                        </pic:nvPicPr>
                        <pic:blipFill>
                          <a:blip r:embed="rId14"/>
                          <a:srcRect b="17619"/>
                          <a:stretch>
                            <a:fillRect/>
                          </a:stretch>
                        </pic:blipFill>
                        <pic:spPr>
                          <a:xfrm>
                            <a:off x="0" y="0"/>
                            <a:ext cx="671830" cy="549275"/>
                          </a:xfrm>
                          <a:prstGeom prst="rect">
                            <a:avLst/>
                          </a:prstGeom>
                          <a:noFill/>
                          <a:ln>
                            <a:noFill/>
                          </a:ln>
                        </pic:spPr>
                      </pic:pic>
                    </a:graphicData>
                  </a:graphic>
                </wp:anchor>
              </w:drawing>
            </w:r>
            <w:r>
              <w:drawing>
                <wp:anchor distT="0" distB="0" distL="114300" distR="114300" simplePos="0" relativeHeight="251664384" behindDoc="0" locked="0" layoutInCell="1" allowOverlap="1">
                  <wp:simplePos x="0" y="0"/>
                  <wp:positionH relativeFrom="column">
                    <wp:posOffset>9960610</wp:posOffset>
                  </wp:positionH>
                  <wp:positionV relativeFrom="paragraph">
                    <wp:posOffset>73660</wp:posOffset>
                  </wp:positionV>
                  <wp:extent cx="671830" cy="549275"/>
                  <wp:effectExtent l="0" t="0" r="13970" b="3175"/>
                  <wp:wrapNone/>
                  <wp:docPr id="7"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3"/>
                          <pic:cNvPicPr>
                            <a:picLocks noChangeAspect="1"/>
                          </pic:cNvPicPr>
                        </pic:nvPicPr>
                        <pic:blipFill>
                          <a:blip r:embed="rId14"/>
                          <a:srcRect b="17619"/>
                          <a:stretch>
                            <a:fillRect/>
                          </a:stretch>
                        </pic:blipFill>
                        <pic:spPr>
                          <a:xfrm>
                            <a:off x="0" y="0"/>
                            <a:ext cx="671830" cy="549275"/>
                          </a:xfrm>
                          <a:prstGeom prst="rect">
                            <a:avLst/>
                          </a:prstGeom>
                          <a:noFill/>
                          <a:ln>
                            <a:noFill/>
                          </a:ln>
                        </pic:spPr>
                      </pic:pic>
                    </a:graphicData>
                  </a:graphic>
                </wp:anchor>
              </w:drawing>
            </w:r>
          </w:p>
          <w:p w14:paraId="4E446735">
            <w:pPr>
              <w:pStyle w:val="7"/>
              <w:spacing w:line="360" w:lineRule="auto"/>
              <w:ind w:firstLine="480" w:firstLineChars="200"/>
              <w:rPr>
                <w:rFonts w:hint="default"/>
                <w:sz w:val="24"/>
                <w:szCs w:val="24"/>
                <w:lang w:val="en-US" w:eastAsia="zh-CN"/>
              </w:rPr>
            </w:pPr>
            <w:r>
              <w:rPr>
                <w:rFonts w:hint="eastAsia"/>
                <w:sz w:val="24"/>
                <w:szCs w:val="24"/>
                <w:lang w:val="en-US" w:eastAsia="zh-CN"/>
              </w:rPr>
              <w:t>根据现场监测的结果，本项目敏感点康馨苑小区、潘三新村小区声环境昼间、</w:t>
            </w:r>
            <w:r>
              <w:rPr>
                <w:rFonts w:hint="eastAsia"/>
                <w:color w:val="auto"/>
                <w:sz w:val="24"/>
                <w:szCs w:val="24"/>
                <w:lang w:val="en-US" w:eastAsia="zh-CN"/>
              </w:rPr>
              <w:t>夜间均满足1类区声</w:t>
            </w:r>
            <w:r>
              <w:rPr>
                <w:rFonts w:hint="eastAsia"/>
                <w:sz w:val="24"/>
                <w:szCs w:val="24"/>
                <w:lang w:val="en-US" w:eastAsia="zh-CN"/>
              </w:rPr>
              <w:t>环境标准。医院东侧商铺声环境昼间、</w:t>
            </w:r>
            <w:r>
              <w:rPr>
                <w:rFonts w:hint="eastAsia"/>
                <w:color w:val="auto"/>
                <w:sz w:val="24"/>
                <w:szCs w:val="24"/>
                <w:lang w:val="en-US" w:eastAsia="zh-CN"/>
              </w:rPr>
              <w:t>夜间均满足2类区声</w:t>
            </w:r>
            <w:r>
              <w:rPr>
                <w:rFonts w:hint="eastAsia"/>
                <w:sz w:val="24"/>
                <w:szCs w:val="24"/>
                <w:lang w:val="en-US" w:eastAsia="zh-CN"/>
              </w:rPr>
              <w:t>环境标准</w:t>
            </w:r>
          </w:p>
          <w:p w14:paraId="590DFA0B">
            <w:pPr>
              <w:autoSpaceDE w:val="0"/>
              <w:autoSpaceDN w:val="0"/>
              <w:spacing w:line="360" w:lineRule="auto"/>
              <w:ind w:firstLine="482" w:firstLineChars="200"/>
              <w:rPr>
                <w:b/>
                <w:bCs/>
                <w:sz w:val="24"/>
              </w:rPr>
            </w:pPr>
            <w:r>
              <w:rPr>
                <w:rFonts w:hint="eastAsia"/>
                <w:b/>
                <w:bCs/>
                <w:sz w:val="24"/>
                <w:lang w:eastAsia="zh-CN"/>
              </w:rPr>
              <w:t>4.</w:t>
            </w:r>
            <w:r>
              <w:rPr>
                <w:rFonts w:hint="eastAsia"/>
                <w:b/>
                <w:bCs/>
                <w:sz w:val="24"/>
              </w:rPr>
              <w:t>地下水环境</w:t>
            </w:r>
          </w:p>
          <w:p w14:paraId="18FF27BA">
            <w:pPr>
              <w:keepNext w:val="0"/>
              <w:keepLines w:val="0"/>
              <w:widowControl/>
              <w:suppressLineNumbers w:val="0"/>
              <w:autoSpaceDE w:val="0"/>
              <w:autoSpaceDN w:val="0"/>
              <w:spacing w:line="360" w:lineRule="auto"/>
              <w:ind w:firstLine="480" w:firstLineChars="200"/>
              <w:jc w:val="left"/>
            </w:pPr>
            <w:r>
              <w:rPr>
                <w:sz w:val="24"/>
              </w:rPr>
              <w:t>根据《建设项目环境影响报告表编制技术指南（污染影响类）</w:t>
            </w:r>
            <w:r>
              <w:rPr>
                <w:rFonts w:hint="eastAsia"/>
                <w:sz w:val="24"/>
                <w:lang w:eastAsia="zh-CN"/>
              </w:rPr>
              <w:t>（试行）》</w:t>
            </w:r>
            <w:r>
              <w:rPr>
                <w:sz w:val="24"/>
              </w:rPr>
              <w:t>，原则上对地下水和土壤可不开展环境质量现状调查，本项目运营期地面进行防渗处理，正常工况下不存在地下水和土壤污染途径。因此，本次不需开展地下水和</w:t>
            </w:r>
            <w:r>
              <w:rPr>
                <w:rFonts w:hint="eastAsia"/>
                <w:sz w:val="24"/>
                <w:lang w:eastAsia="zh-CN"/>
              </w:rPr>
              <w:t>土壤环境</w:t>
            </w:r>
            <w:r>
              <w:rPr>
                <w:sz w:val="24"/>
              </w:rPr>
              <w:t>现状监测。</w:t>
            </w:r>
          </w:p>
          <w:p w14:paraId="2A001A87">
            <w:pPr>
              <w:autoSpaceDE w:val="0"/>
              <w:autoSpaceDN w:val="0"/>
              <w:spacing w:line="360" w:lineRule="auto"/>
              <w:ind w:firstLine="482" w:firstLineChars="200"/>
              <w:rPr>
                <w:b/>
                <w:bCs/>
                <w:sz w:val="24"/>
              </w:rPr>
            </w:pPr>
            <w:r>
              <w:rPr>
                <w:rFonts w:hint="eastAsia"/>
                <w:b/>
                <w:bCs/>
                <w:sz w:val="24"/>
                <w:lang w:eastAsia="zh-CN"/>
              </w:rPr>
              <w:t>5.</w:t>
            </w:r>
            <w:r>
              <w:rPr>
                <w:rFonts w:hint="eastAsia"/>
                <w:b/>
                <w:bCs/>
                <w:sz w:val="24"/>
              </w:rPr>
              <w:t>生态环境</w:t>
            </w:r>
          </w:p>
          <w:p w14:paraId="3BB3582F">
            <w:pPr>
              <w:autoSpaceDE w:val="0"/>
              <w:autoSpaceDN w:val="0"/>
              <w:spacing w:line="360" w:lineRule="auto"/>
              <w:ind w:firstLine="480" w:firstLineChars="200"/>
            </w:pPr>
            <w:r>
              <w:rPr>
                <w:kern w:val="0"/>
                <w:sz w:val="24"/>
              </w:rPr>
              <w:t>本项目用地范围内无生态环境保护目标，根据《建设项目环境影响报告表编制技术指南（污染影响类）</w:t>
            </w:r>
            <w:r>
              <w:rPr>
                <w:rFonts w:hint="eastAsia"/>
                <w:kern w:val="0"/>
                <w:sz w:val="24"/>
                <w:lang w:eastAsia="zh-CN"/>
              </w:rPr>
              <w:t>（试行）》</w:t>
            </w:r>
            <w:r>
              <w:rPr>
                <w:kern w:val="0"/>
                <w:sz w:val="24"/>
              </w:rPr>
              <w:t>，可不进行生态环境现状调查。</w:t>
            </w:r>
          </w:p>
        </w:tc>
      </w:tr>
      <w:tr w14:paraId="1B9EBA1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69" w:hRule="atLeast"/>
          <w:jc w:val="center"/>
        </w:trPr>
        <w:tc>
          <w:tcPr>
            <w:tcW w:w="425" w:type="dxa"/>
            <w:noWrap w:val="0"/>
            <w:vAlign w:val="center"/>
          </w:tcPr>
          <w:p w14:paraId="7F977B2E">
            <w:pPr>
              <w:adjustRightInd w:val="0"/>
              <w:snapToGrid w:val="0"/>
              <w:jc w:val="center"/>
              <w:rPr>
                <w:rFonts w:hint="eastAsia" w:ascii="宋体" w:hAnsi="宋体" w:cs="宋体"/>
                <w:kern w:val="0"/>
                <w:szCs w:val="21"/>
              </w:rPr>
            </w:pPr>
            <w:r>
              <w:rPr>
                <w:rFonts w:hint="eastAsia" w:ascii="宋体" w:hAnsi="宋体" w:cs="宋体"/>
                <w:kern w:val="0"/>
                <w:szCs w:val="21"/>
              </w:rPr>
              <w:t>环境</w:t>
            </w:r>
          </w:p>
          <w:p w14:paraId="68BD5E6B">
            <w:pPr>
              <w:adjustRightInd w:val="0"/>
              <w:snapToGrid w:val="0"/>
              <w:jc w:val="center"/>
              <w:rPr>
                <w:rFonts w:hint="eastAsia" w:ascii="宋体" w:hAnsi="宋体" w:cs="宋体"/>
                <w:kern w:val="0"/>
                <w:szCs w:val="21"/>
              </w:rPr>
            </w:pPr>
            <w:r>
              <w:rPr>
                <w:rFonts w:hint="eastAsia" w:ascii="宋体" w:hAnsi="宋体" w:cs="宋体"/>
                <w:kern w:val="0"/>
                <w:szCs w:val="21"/>
              </w:rPr>
              <w:t>保护</w:t>
            </w:r>
          </w:p>
          <w:p w14:paraId="0CE75A96">
            <w:pPr>
              <w:adjustRightInd w:val="0"/>
              <w:snapToGrid w:val="0"/>
              <w:jc w:val="center"/>
              <w:rPr>
                <w:rFonts w:hint="eastAsia" w:ascii="宋体" w:hAnsi="宋体" w:cs="宋体"/>
                <w:kern w:val="0"/>
                <w:szCs w:val="21"/>
              </w:rPr>
            </w:pPr>
            <w:r>
              <w:rPr>
                <w:rFonts w:hint="eastAsia" w:ascii="宋体" w:hAnsi="宋体" w:cs="宋体"/>
                <w:kern w:val="0"/>
                <w:szCs w:val="21"/>
              </w:rPr>
              <w:t>目标</w:t>
            </w:r>
          </w:p>
        </w:tc>
        <w:tc>
          <w:tcPr>
            <w:tcW w:w="8636" w:type="dxa"/>
            <w:noWrap w:val="0"/>
            <w:vAlign w:val="top"/>
          </w:tcPr>
          <w:p w14:paraId="16C5CB30">
            <w:pPr>
              <w:adjustRightInd w:val="0"/>
              <w:snapToGrid w:val="0"/>
              <w:spacing w:line="360" w:lineRule="auto"/>
              <w:ind w:firstLine="482" w:firstLineChars="200"/>
              <w:rPr>
                <w:b/>
                <w:bCs/>
                <w:sz w:val="24"/>
              </w:rPr>
            </w:pPr>
            <w:r>
              <w:rPr>
                <w:b/>
                <w:bCs/>
                <w:sz w:val="24"/>
              </w:rPr>
              <w:t>本项目主要环境保护目标如下</w:t>
            </w:r>
          </w:p>
          <w:p w14:paraId="0565C5F9">
            <w:pPr>
              <w:jc w:val="center"/>
            </w:pPr>
            <w:r>
              <w:rPr>
                <w:b/>
                <w:bCs/>
                <w:szCs w:val="21"/>
              </w:rPr>
              <w:t>表3-</w:t>
            </w:r>
            <w:r>
              <w:rPr>
                <w:rFonts w:hint="eastAsia"/>
                <w:b/>
                <w:bCs/>
                <w:szCs w:val="21"/>
                <w:lang w:val="en-US" w:eastAsia="zh-CN"/>
              </w:rPr>
              <w:t>4</w:t>
            </w:r>
            <w:r>
              <w:rPr>
                <w:b/>
                <w:bCs/>
                <w:szCs w:val="21"/>
              </w:rPr>
              <w:t xml:space="preserve">  环境保护目标一览表</w:t>
            </w:r>
          </w:p>
          <w:tbl>
            <w:tblPr>
              <w:tblStyle w:val="14"/>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9"/>
              <w:gridCol w:w="1140"/>
              <w:gridCol w:w="1005"/>
              <w:gridCol w:w="806"/>
              <w:gridCol w:w="679"/>
              <w:gridCol w:w="1080"/>
              <w:gridCol w:w="1260"/>
              <w:gridCol w:w="784"/>
              <w:gridCol w:w="902"/>
            </w:tblGrid>
            <w:tr w14:paraId="0AFFE9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45" w:type="pct"/>
                  <w:vMerge w:val="restart"/>
                  <w:noWrap w:val="0"/>
                  <w:vAlign w:val="center"/>
                </w:tcPr>
                <w:p w14:paraId="1A98484E">
                  <w:pPr>
                    <w:pStyle w:val="19"/>
                    <w:spacing w:line="240" w:lineRule="auto"/>
                    <w:ind w:firstLine="0"/>
                    <w:jc w:val="center"/>
                    <w:rPr>
                      <w:rFonts w:ascii="Times New Roman"/>
                      <w:sz w:val="21"/>
                      <w:szCs w:val="21"/>
                    </w:rPr>
                  </w:pPr>
                  <w:r>
                    <w:rPr>
                      <w:rFonts w:ascii="Times New Roman"/>
                      <w:sz w:val="21"/>
                      <w:szCs w:val="21"/>
                    </w:rPr>
                    <w:t>类别</w:t>
                  </w:r>
                </w:p>
              </w:tc>
              <w:tc>
                <w:tcPr>
                  <w:tcW w:w="678" w:type="pct"/>
                  <w:vMerge w:val="restart"/>
                  <w:noWrap w:val="0"/>
                  <w:vAlign w:val="center"/>
                </w:tcPr>
                <w:p w14:paraId="41B5A681">
                  <w:pPr>
                    <w:pStyle w:val="19"/>
                    <w:spacing w:line="240" w:lineRule="auto"/>
                    <w:ind w:firstLine="0"/>
                    <w:jc w:val="center"/>
                    <w:rPr>
                      <w:rFonts w:ascii="Times New Roman"/>
                      <w:sz w:val="21"/>
                      <w:szCs w:val="21"/>
                    </w:rPr>
                  </w:pPr>
                  <w:r>
                    <w:rPr>
                      <w:rFonts w:ascii="Times New Roman"/>
                      <w:sz w:val="21"/>
                      <w:szCs w:val="21"/>
                    </w:rPr>
                    <w:t>名称</w:t>
                  </w:r>
                </w:p>
              </w:tc>
              <w:tc>
                <w:tcPr>
                  <w:tcW w:w="1077" w:type="pct"/>
                  <w:gridSpan w:val="2"/>
                  <w:noWrap w:val="0"/>
                  <w:vAlign w:val="center"/>
                </w:tcPr>
                <w:p w14:paraId="77540F9E">
                  <w:pPr>
                    <w:pStyle w:val="19"/>
                    <w:spacing w:line="240" w:lineRule="auto"/>
                    <w:ind w:firstLine="0"/>
                    <w:jc w:val="center"/>
                    <w:rPr>
                      <w:rFonts w:ascii="Times New Roman"/>
                      <w:sz w:val="21"/>
                      <w:szCs w:val="21"/>
                    </w:rPr>
                  </w:pPr>
                  <w:r>
                    <w:rPr>
                      <w:rFonts w:ascii="Times New Roman"/>
                      <w:sz w:val="21"/>
                      <w:szCs w:val="21"/>
                    </w:rPr>
                    <w:t>坐标</w:t>
                  </w:r>
                </w:p>
              </w:tc>
              <w:tc>
                <w:tcPr>
                  <w:tcW w:w="403" w:type="pct"/>
                  <w:vMerge w:val="restart"/>
                  <w:noWrap w:val="0"/>
                  <w:vAlign w:val="center"/>
                </w:tcPr>
                <w:p w14:paraId="5D27F2C0">
                  <w:pPr>
                    <w:pStyle w:val="19"/>
                    <w:spacing w:line="240" w:lineRule="auto"/>
                    <w:ind w:firstLine="0"/>
                    <w:jc w:val="center"/>
                    <w:rPr>
                      <w:rFonts w:ascii="Times New Roman"/>
                      <w:sz w:val="21"/>
                      <w:szCs w:val="21"/>
                    </w:rPr>
                  </w:pPr>
                  <w:r>
                    <w:rPr>
                      <w:rFonts w:ascii="Times New Roman"/>
                      <w:sz w:val="21"/>
                      <w:szCs w:val="21"/>
                    </w:rPr>
                    <w:t>保护</w:t>
                  </w:r>
                </w:p>
                <w:p w14:paraId="2BD8533F">
                  <w:pPr>
                    <w:pStyle w:val="19"/>
                    <w:spacing w:line="240" w:lineRule="auto"/>
                    <w:ind w:firstLine="0"/>
                    <w:jc w:val="center"/>
                    <w:rPr>
                      <w:rFonts w:ascii="Times New Roman"/>
                      <w:sz w:val="21"/>
                      <w:szCs w:val="21"/>
                    </w:rPr>
                  </w:pPr>
                  <w:r>
                    <w:rPr>
                      <w:rFonts w:ascii="Times New Roman"/>
                      <w:sz w:val="21"/>
                      <w:szCs w:val="21"/>
                    </w:rPr>
                    <w:t>对象</w:t>
                  </w:r>
                </w:p>
              </w:tc>
              <w:tc>
                <w:tcPr>
                  <w:tcW w:w="642" w:type="pct"/>
                  <w:vMerge w:val="restart"/>
                  <w:noWrap w:val="0"/>
                  <w:vAlign w:val="center"/>
                </w:tcPr>
                <w:p w14:paraId="39185E80">
                  <w:pPr>
                    <w:pStyle w:val="19"/>
                    <w:spacing w:line="240" w:lineRule="auto"/>
                    <w:ind w:firstLine="0"/>
                    <w:jc w:val="center"/>
                    <w:rPr>
                      <w:rFonts w:ascii="Times New Roman"/>
                      <w:sz w:val="21"/>
                      <w:szCs w:val="21"/>
                    </w:rPr>
                  </w:pPr>
                  <w:r>
                    <w:rPr>
                      <w:rFonts w:ascii="Times New Roman"/>
                      <w:sz w:val="21"/>
                      <w:szCs w:val="21"/>
                    </w:rPr>
                    <w:t>保护</w:t>
                  </w:r>
                </w:p>
                <w:p w14:paraId="01DB3FD4">
                  <w:pPr>
                    <w:pStyle w:val="19"/>
                    <w:spacing w:line="240" w:lineRule="auto"/>
                    <w:ind w:firstLine="0"/>
                    <w:jc w:val="center"/>
                    <w:rPr>
                      <w:rFonts w:ascii="Times New Roman"/>
                      <w:sz w:val="21"/>
                      <w:szCs w:val="21"/>
                    </w:rPr>
                  </w:pPr>
                  <w:r>
                    <w:rPr>
                      <w:rFonts w:ascii="Times New Roman"/>
                      <w:sz w:val="21"/>
                      <w:szCs w:val="21"/>
                    </w:rPr>
                    <w:t>内容</w:t>
                  </w:r>
                </w:p>
              </w:tc>
              <w:tc>
                <w:tcPr>
                  <w:tcW w:w="749" w:type="pct"/>
                  <w:vMerge w:val="restart"/>
                  <w:noWrap w:val="0"/>
                  <w:vAlign w:val="center"/>
                </w:tcPr>
                <w:p w14:paraId="1BAC7BC7">
                  <w:pPr>
                    <w:pStyle w:val="19"/>
                    <w:spacing w:line="240" w:lineRule="auto"/>
                    <w:ind w:firstLine="0"/>
                    <w:jc w:val="center"/>
                    <w:rPr>
                      <w:rFonts w:ascii="Times New Roman"/>
                      <w:sz w:val="21"/>
                      <w:szCs w:val="21"/>
                    </w:rPr>
                  </w:pPr>
                  <w:r>
                    <w:rPr>
                      <w:rFonts w:ascii="Times New Roman"/>
                      <w:sz w:val="21"/>
                      <w:szCs w:val="21"/>
                    </w:rPr>
                    <w:t>环境功能</w:t>
                  </w:r>
                </w:p>
              </w:tc>
              <w:tc>
                <w:tcPr>
                  <w:tcW w:w="466" w:type="pct"/>
                  <w:vMerge w:val="restart"/>
                  <w:noWrap w:val="0"/>
                  <w:vAlign w:val="center"/>
                </w:tcPr>
                <w:p w14:paraId="1A2FCCBE">
                  <w:pPr>
                    <w:pStyle w:val="19"/>
                    <w:spacing w:line="240" w:lineRule="auto"/>
                    <w:ind w:firstLine="0"/>
                    <w:jc w:val="center"/>
                    <w:rPr>
                      <w:rFonts w:ascii="Times New Roman"/>
                      <w:sz w:val="21"/>
                      <w:szCs w:val="21"/>
                    </w:rPr>
                  </w:pPr>
                  <w:r>
                    <w:rPr>
                      <w:rFonts w:ascii="Times New Roman"/>
                      <w:sz w:val="21"/>
                      <w:szCs w:val="21"/>
                    </w:rPr>
                    <w:t>相对厂址方位</w:t>
                  </w:r>
                </w:p>
              </w:tc>
              <w:tc>
                <w:tcPr>
                  <w:tcW w:w="536" w:type="pct"/>
                  <w:vMerge w:val="restart"/>
                  <w:noWrap w:val="0"/>
                  <w:vAlign w:val="center"/>
                </w:tcPr>
                <w:p w14:paraId="343845BF">
                  <w:pPr>
                    <w:pStyle w:val="19"/>
                    <w:spacing w:line="240" w:lineRule="auto"/>
                    <w:ind w:firstLine="0"/>
                    <w:jc w:val="center"/>
                    <w:rPr>
                      <w:rFonts w:ascii="Times New Roman"/>
                      <w:sz w:val="21"/>
                      <w:szCs w:val="21"/>
                    </w:rPr>
                  </w:pPr>
                  <w:r>
                    <w:rPr>
                      <w:rFonts w:ascii="Times New Roman"/>
                      <w:sz w:val="21"/>
                      <w:szCs w:val="21"/>
                    </w:rPr>
                    <w:t>相对厂界距离/m</w:t>
                  </w:r>
                </w:p>
              </w:tc>
            </w:tr>
            <w:tr w14:paraId="330B01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45" w:type="pct"/>
                  <w:vMerge w:val="continue"/>
                  <w:noWrap w:val="0"/>
                  <w:vAlign w:val="center"/>
                </w:tcPr>
                <w:p w14:paraId="76FB7CEA">
                  <w:pPr>
                    <w:pStyle w:val="19"/>
                    <w:spacing w:line="240" w:lineRule="auto"/>
                    <w:ind w:firstLine="0"/>
                    <w:jc w:val="center"/>
                    <w:rPr>
                      <w:rFonts w:ascii="Times New Roman"/>
                      <w:sz w:val="21"/>
                      <w:szCs w:val="21"/>
                    </w:rPr>
                  </w:pPr>
                </w:p>
              </w:tc>
              <w:tc>
                <w:tcPr>
                  <w:tcW w:w="678" w:type="pct"/>
                  <w:vMerge w:val="continue"/>
                  <w:noWrap w:val="0"/>
                  <w:vAlign w:val="center"/>
                </w:tcPr>
                <w:p w14:paraId="5EF09B12">
                  <w:pPr>
                    <w:pStyle w:val="19"/>
                    <w:spacing w:line="240" w:lineRule="auto"/>
                    <w:ind w:firstLine="0"/>
                    <w:jc w:val="center"/>
                    <w:rPr>
                      <w:rFonts w:ascii="Times New Roman"/>
                      <w:sz w:val="21"/>
                      <w:szCs w:val="21"/>
                    </w:rPr>
                  </w:pPr>
                </w:p>
              </w:tc>
              <w:tc>
                <w:tcPr>
                  <w:tcW w:w="597" w:type="pct"/>
                  <w:noWrap w:val="0"/>
                  <w:vAlign w:val="center"/>
                </w:tcPr>
                <w:p w14:paraId="3F62798B">
                  <w:pPr>
                    <w:pStyle w:val="19"/>
                    <w:spacing w:line="240" w:lineRule="auto"/>
                    <w:ind w:firstLine="0"/>
                    <w:jc w:val="center"/>
                    <w:rPr>
                      <w:rFonts w:ascii="Times New Roman"/>
                      <w:sz w:val="21"/>
                      <w:szCs w:val="21"/>
                    </w:rPr>
                  </w:pPr>
                  <w:r>
                    <w:rPr>
                      <w:rFonts w:ascii="Times New Roman"/>
                      <w:sz w:val="21"/>
                      <w:szCs w:val="21"/>
                    </w:rPr>
                    <w:t>经度</w:t>
                  </w:r>
                </w:p>
              </w:tc>
              <w:tc>
                <w:tcPr>
                  <w:tcW w:w="479" w:type="pct"/>
                  <w:noWrap w:val="0"/>
                  <w:vAlign w:val="center"/>
                </w:tcPr>
                <w:p w14:paraId="5F29B0FD">
                  <w:pPr>
                    <w:pStyle w:val="19"/>
                    <w:spacing w:line="240" w:lineRule="auto"/>
                    <w:ind w:firstLine="0"/>
                    <w:jc w:val="center"/>
                    <w:rPr>
                      <w:rFonts w:ascii="Times New Roman"/>
                      <w:sz w:val="21"/>
                      <w:szCs w:val="21"/>
                    </w:rPr>
                  </w:pPr>
                  <w:r>
                    <w:rPr>
                      <w:rFonts w:ascii="Times New Roman"/>
                      <w:sz w:val="21"/>
                      <w:szCs w:val="21"/>
                    </w:rPr>
                    <w:t>纬度</w:t>
                  </w:r>
                </w:p>
              </w:tc>
              <w:tc>
                <w:tcPr>
                  <w:tcW w:w="403" w:type="pct"/>
                  <w:vMerge w:val="continue"/>
                  <w:noWrap w:val="0"/>
                  <w:vAlign w:val="center"/>
                </w:tcPr>
                <w:p w14:paraId="7B172382">
                  <w:pPr>
                    <w:pStyle w:val="19"/>
                    <w:spacing w:line="240" w:lineRule="auto"/>
                    <w:ind w:firstLine="0"/>
                    <w:jc w:val="center"/>
                    <w:rPr>
                      <w:rFonts w:ascii="Times New Roman"/>
                      <w:sz w:val="21"/>
                      <w:szCs w:val="21"/>
                    </w:rPr>
                  </w:pPr>
                </w:p>
              </w:tc>
              <w:tc>
                <w:tcPr>
                  <w:tcW w:w="642" w:type="pct"/>
                  <w:vMerge w:val="continue"/>
                  <w:noWrap w:val="0"/>
                  <w:vAlign w:val="center"/>
                </w:tcPr>
                <w:p w14:paraId="5E3ED88E">
                  <w:pPr>
                    <w:pStyle w:val="19"/>
                    <w:spacing w:line="240" w:lineRule="auto"/>
                    <w:ind w:firstLine="0"/>
                    <w:jc w:val="center"/>
                    <w:rPr>
                      <w:rFonts w:ascii="Times New Roman"/>
                      <w:sz w:val="21"/>
                      <w:szCs w:val="21"/>
                    </w:rPr>
                  </w:pPr>
                </w:p>
              </w:tc>
              <w:tc>
                <w:tcPr>
                  <w:tcW w:w="749" w:type="pct"/>
                  <w:vMerge w:val="continue"/>
                  <w:noWrap w:val="0"/>
                  <w:vAlign w:val="center"/>
                </w:tcPr>
                <w:p w14:paraId="1E805FBD">
                  <w:pPr>
                    <w:pStyle w:val="19"/>
                    <w:spacing w:line="240" w:lineRule="auto"/>
                    <w:ind w:firstLine="0"/>
                    <w:jc w:val="center"/>
                    <w:rPr>
                      <w:rFonts w:ascii="Times New Roman"/>
                      <w:sz w:val="21"/>
                      <w:szCs w:val="21"/>
                    </w:rPr>
                  </w:pPr>
                </w:p>
              </w:tc>
              <w:tc>
                <w:tcPr>
                  <w:tcW w:w="466" w:type="pct"/>
                  <w:vMerge w:val="continue"/>
                  <w:noWrap w:val="0"/>
                  <w:vAlign w:val="center"/>
                </w:tcPr>
                <w:p w14:paraId="7894F5D2">
                  <w:pPr>
                    <w:pStyle w:val="19"/>
                    <w:spacing w:line="240" w:lineRule="auto"/>
                    <w:ind w:firstLine="0"/>
                    <w:jc w:val="center"/>
                    <w:rPr>
                      <w:rFonts w:ascii="Times New Roman"/>
                      <w:sz w:val="21"/>
                      <w:szCs w:val="21"/>
                    </w:rPr>
                  </w:pPr>
                </w:p>
              </w:tc>
              <w:tc>
                <w:tcPr>
                  <w:tcW w:w="536" w:type="pct"/>
                  <w:vMerge w:val="continue"/>
                  <w:noWrap w:val="0"/>
                  <w:vAlign w:val="center"/>
                </w:tcPr>
                <w:p w14:paraId="1F49BE69">
                  <w:pPr>
                    <w:pStyle w:val="19"/>
                    <w:spacing w:line="240" w:lineRule="auto"/>
                    <w:ind w:firstLine="0"/>
                    <w:jc w:val="center"/>
                    <w:rPr>
                      <w:rFonts w:ascii="Times New Roman"/>
                      <w:sz w:val="21"/>
                      <w:szCs w:val="21"/>
                    </w:rPr>
                  </w:pPr>
                </w:p>
              </w:tc>
            </w:tr>
            <w:tr w14:paraId="5562CD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45" w:type="pct"/>
                  <w:vMerge w:val="restart"/>
                  <w:noWrap w:val="0"/>
                  <w:vAlign w:val="center"/>
                </w:tcPr>
                <w:p w14:paraId="321AFF7A">
                  <w:pPr>
                    <w:pStyle w:val="19"/>
                    <w:spacing w:line="240" w:lineRule="auto"/>
                    <w:ind w:firstLine="0"/>
                    <w:jc w:val="center"/>
                    <w:rPr>
                      <w:rFonts w:ascii="Times New Roman"/>
                      <w:sz w:val="21"/>
                      <w:szCs w:val="21"/>
                    </w:rPr>
                  </w:pPr>
                  <w:bookmarkStart w:id="4" w:name="OLE_LINK47" w:colFirst="1" w:colLast="5"/>
                </w:p>
                <w:p w14:paraId="117B11A0">
                  <w:pPr>
                    <w:pStyle w:val="19"/>
                    <w:spacing w:line="240" w:lineRule="auto"/>
                    <w:ind w:firstLine="0"/>
                    <w:jc w:val="center"/>
                    <w:rPr>
                      <w:rFonts w:ascii="Times New Roman"/>
                      <w:sz w:val="21"/>
                      <w:szCs w:val="21"/>
                    </w:rPr>
                  </w:pPr>
                </w:p>
                <w:p w14:paraId="77FF6101">
                  <w:pPr>
                    <w:pStyle w:val="19"/>
                    <w:spacing w:line="240" w:lineRule="auto"/>
                    <w:ind w:firstLine="0"/>
                    <w:jc w:val="center"/>
                    <w:rPr>
                      <w:rFonts w:ascii="Times New Roman"/>
                      <w:sz w:val="21"/>
                      <w:szCs w:val="21"/>
                    </w:rPr>
                  </w:pPr>
                </w:p>
                <w:p w14:paraId="2DCEA7CB">
                  <w:pPr>
                    <w:pStyle w:val="19"/>
                    <w:spacing w:line="240" w:lineRule="auto"/>
                    <w:ind w:firstLine="0"/>
                    <w:jc w:val="center"/>
                    <w:rPr>
                      <w:rFonts w:ascii="Times New Roman"/>
                      <w:sz w:val="21"/>
                      <w:szCs w:val="21"/>
                    </w:rPr>
                  </w:pPr>
                </w:p>
                <w:p w14:paraId="29BE68F7">
                  <w:pPr>
                    <w:pStyle w:val="19"/>
                    <w:spacing w:line="240" w:lineRule="auto"/>
                    <w:ind w:firstLine="0"/>
                    <w:jc w:val="center"/>
                    <w:rPr>
                      <w:rFonts w:ascii="Times New Roman"/>
                      <w:sz w:val="21"/>
                      <w:szCs w:val="21"/>
                    </w:rPr>
                  </w:pPr>
                </w:p>
                <w:p w14:paraId="49DD2FFE">
                  <w:pPr>
                    <w:pStyle w:val="19"/>
                    <w:spacing w:line="240" w:lineRule="auto"/>
                    <w:ind w:firstLine="0"/>
                    <w:jc w:val="center"/>
                    <w:rPr>
                      <w:rFonts w:ascii="Times New Roman"/>
                      <w:sz w:val="21"/>
                      <w:szCs w:val="21"/>
                    </w:rPr>
                  </w:pPr>
                </w:p>
                <w:p w14:paraId="3BBD0E4D">
                  <w:pPr>
                    <w:pStyle w:val="19"/>
                    <w:spacing w:line="240" w:lineRule="auto"/>
                    <w:ind w:firstLine="0"/>
                    <w:jc w:val="center"/>
                    <w:rPr>
                      <w:rFonts w:ascii="Times New Roman"/>
                      <w:sz w:val="21"/>
                      <w:szCs w:val="21"/>
                    </w:rPr>
                  </w:pPr>
                </w:p>
                <w:p w14:paraId="31E42387">
                  <w:pPr>
                    <w:pStyle w:val="19"/>
                    <w:spacing w:line="240" w:lineRule="auto"/>
                    <w:ind w:firstLine="0"/>
                    <w:jc w:val="center"/>
                    <w:rPr>
                      <w:rFonts w:ascii="Times New Roman"/>
                      <w:sz w:val="21"/>
                      <w:szCs w:val="21"/>
                    </w:rPr>
                  </w:pPr>
                </w:p>
                <w:p w14:paraId="3EA14795">
                  <w:pPr>
                    <w:pStyle w:val="19"/>
                    <w:spacing w:line="240" w:lineRule="auto"/>
                    <w:ind w:firstLine="0"/>
                    <w:jc w:val="center"/>
                    <w:rPr>
                      <w:rFonts w:ascii="Times New Roman"/>
                      <w:sz w:val="21"/>
                      <w:szCs w:val="21"/>
                    </w:rPr>
                  </w:pPr>
                </w:p>
                <w:p w14:paraId="0F153C68">
                  <w:pPr>
                    <w:pStyle w:val="19"/>
                    <w:spacing w:line="240" w:lineRule="auto"/>
                    <w:ind w:firstLine="0"/>
                    <w:jc w:val="center"/>
                    <w:rPr>
                      <w:rFonts w:ascii="Times New Roman"/>
                      <w:sz w:val="21"/>
                      <w:szCs w:val="21"/>
                    </w:rPr>
                  </w:pPr>
                  <w:r>
                    <w:rPr>
                      <w:rFonts w:ascii="Times New Roman"/>
                      <w:sz w:val="21"/>
                      <w:szCs w:val="21"/>
                    </w:rPr>
                    <w:t>大气</w:t>
                  </w:r>
                </w:p>
                <w:p w14:paraId="5885640B">
                  <w:pPr>
                    <w:pStyle w:val="19"/>
                    <w:spacing w:line="240" w:lineRule="auto"/>
                    <w:ind w:firstLine="0"/>
                    <w:jc w:val="both"/>
                    <w:rPr>
                      <w:rFonts w:ascii="Times New Roman"/>
                      <w:sz w:val="21"/>
                      <w:szCs w:val="21"/>
                    </w:rPr>
                  </w:pPr>
                </w:p>
              </w:tc>
              <w:tc>
                <w:tcPr>
                  <w:tcW w:w="678" w:type="pct"/>
                  <w:noWrap w:val="0"/>
                  <w:vAlign w:val="center"/>
                </w:tcPr>
                <w:p w14:paraId="78E600F1">
                  <w:pPr>
                    <w:widowControl/>
                    <w:adjustRightInd w:val="0"/>
                    <w:snapToGrid w:val="0"/>
                    <w:jc w:val="center"/>
                    <w:rPr>
                      <w:rFonts w:hint="eastAsia" w:ascii="Times New Roman" w:eastAsia="宋体"/>
                      <w:sz w:val="21"/>
                      <w:szCs w:val="21"/>
                      <w:highlight w:val="yellow"/>
                      <w:lang w:eastAsia="zh-CN"/>
                    </w:rPr>
                  </w:pPr>
                  <w:r>
                    <w:rPr>
                      <w:rFonts w:hint="eastAsia"/>
                      <w:kern w:val="0"/>
                      <w:szCs w:val="21"/>
                      <w:lang w:val="en-US" w:eastAsia="zh-CN"/>
                    </w:rPr>
                    <w:t>康馨苑小区</w:t>
                  </w:r>
                </w:p>
              </w:tc>
              <w:tc>
                <w:tcPr>
                  <w:tcW w:w="597" w:type="pct"/>
                  <w:noWrap w:val="0"/>
                  <w:vAlign w:val="center"/>
                </w:tcPr>
                <w:p w14:paraId="3F559BC0">
                  <w:pPr>
                    <w:pStyle w:val="19"/>
                    <w:spacing w:line="240" w:lineRule="auto"/>
                    <w:ind w:firstLine="0"/>
                    <w:jc w:val="center"/>
                    <w:rPr>
                      <w:rFonts w:hint="default" w:ascii="Times New Roman" w:eastAsia="宋体"/>
                      <w:sz w:val="21"/>
                      <w:szCs w:val="21"/>
                      <w:highlight w:val="none"/>
                      <w:lang w:val="en-US" w:eastAsia="zh-CN"/>
                    </w:rPr>
                  </w:pPr>
                  <w:r>
                    <w:rPr>
                      <w:rFonts w:hint="eastAsia" w:ascii="Times New Roman"/>
                      <w:sz w:val="21"/>
                      <w:szCs w:val="21"/>
                      <w:highlight w:val="none"/>
                    </w:rPr>
                    <w:t>116.741364</w:t>
                  </w:r>
                </w:p>
              </w:tc>
              <w:tc>
                <w:tcPr>
                  <w:tcW w:w="479" w:type="pct"/>
                  <w:noWrap w:val="0"/>
                  <w:vAlign w:val="center"/>
                </w:tcPr>
                <w:p w14:paraId="00DB62D7">
                  <w:pPr>
                    <w:pStyle w:val="19"/>
                    <w:spacing w:line="240" w:lineRule="auto"/>
                    <w:ind w:firstLine="0"/>
                    <w:jc w:val="center"/>
                    <w:rPr>
                      <w:rFonts w:hint="default" w:ascii="Times New Roman" w:eastAsia="宋体"/>
                      <w:sz w:val="21"/>
                      <w:szCs w:val="21"/>
                      <w:highlight w:val="none"/>
                      <w:lang w:val="en-US" w:eastAsia="zh-CN"/>
                    </w:rPr>
                  </w:pPr>
                  <w:r>
                    <w:rPr>
                      <w:rFonts w:hint="eastAsia" w:ascii="Times New Roman"/>
                      <w:sz w:val="21"/>
                      <w:szCs w:val="21"/>
                      <w:highlight w:val="none"/>
                      <w:lang w:val="en-US" w:eastAsia="zh-CN"/>
                    </w:rPr>
                    <w:t>32.815714</w:t>
                  </w:r>
                </w:p>
              </w:tc>
              <w:tc>
                <w:tcPr>
                  <w:tcW w:w="403" w:type="pct"/>
                  <w:noWrap w:val="0"/>
                  <w:vAlign w:val="center"/>
                </w:tcPr>
                <w:p w14:paraId="76A3DDE1">
                  <w:pPr>
                    <w:pStyle w:val="19"/>
                    <w:spacing w:line="240" w:lineRule="auto"/>
                    <w:ind w:firstLine="0"/>
                    <w:jc w:val="center"/>
                    <w:rPr>
                      <w:rFonts w:hint="eastAsia" w:ascii="Times New Roman" w:eastAsia="宋体"/>
                      <w:sz w:val="21"/>
                      <w:szCs w:val="21"/>
                      <w:highlight w:val="yellow"/>
                      <w:lang w:eastAsia="zh-CN"/>
                    </w:rPr>
                  </w:pPr>
                  <w:r>
                    <w:rPr>
                      <w:rFonts w:hint="eastAsia" w:ascii="Times New Roman"/>
                      <w:sz w:val="21"/>
                      <w:szCs w:val="21"/>
                      <w:highlight w:val="none"/>
                      <w:lang w:eastAsia="zh-CN"/>
                    </w:rPr>
                    <w:t>居民</w:t>
                  </w:r>
                </w:p>
              </w:tc>
              <w:tc>
                <w:tcPr>
                  <w:tcW w:w="642" w:type="pct"/>
                  <w:noWrap w:val="0"/>
                  <w:vAlign w:val="center"/>
                </w:tcPr>
                <w:p w14:paraId="562A9092">
                  <w:pPr>
                    <w:widowControl/>
                    <w:adjustRightInd w:val="0"/>
                    <w:snapToGrid w:val="0"/>
                    <w:jc w:val="center"/>
                    <w:rPr>
                      <w:rFonts w:hint="default" w:ascii="Times New Roman" w:eastAsia="宋体"/>
                      <w:sz w:val="21"/>
                      <w:szCs w:val="21"/>
                      <w:highlight w:val="yellow"/>
                      <w:lang w:val="en-US" w:eastAsia="zh-CN"/>
                    </w:rPr>
                  </w:pPr>
                  <w:r>
                    <w:rPr>
                      <w:rFonts w:hint="eastAsia"/>
                      <w:kern w:val="0"/>
                      <w:szCs w:val="21"/>
                      <w:lang w:val="en-US" w:eastAsia="zh-CN"/>
                    </w:rPr>
                    <w:t>200</w:t>
                  </w:r>
                  <w:r>
                    <w:rPr>
                      <w:kern w:val="0"/>
                      <w:szCs w:val="21"/>
                    </w:rPr>
                    <w:t>户/</w:t>
                  </w:r>
                  <w:r>
                    <w:rPr>
                      <w:rFonts w:hint="eastAsia"/>
                      <w:kern w:val="0"/>
                      <w:szCs w:val="21"/>
                      <w:lang w:val="en-US" w:eastAsia="zh-CN"/>
                    </w:rPr>
                    <w:t>700</w:t>
                  </w:r>
                  <w:r>
                    <w:rPr>
                      <w:kern w:val="0"/>
                      <w:szCs w:val="21"/>
                    </w:rPr>
                    <w:t>人</w:t>
                  </w:r>
                </w:p>
              </w:tc>
              <w:tc>
                <w:tcPr>
                  <w:tcW w:w="749" w:type="pct"/>
                  <w:vMerge w:val="restart"/>
                  <w:noWrap w:val="0"/>
                  <w:vAlign w:val="center"/>
                </w:tcPr>
                <w:p w14:paraId="0FA7B8A6">
                  <w:pPr>
                    <w:pStyle w:val="19"/>
                    <w:spacing w:line="240" w:lineRule="auto"/>
                    <w:ind w:firstLine="0"/>
                    <w:jc w:val="center"/>
                    <w:rPr>
                      <w:rFonts w:ascii="Times New Roman"/>
                      <w:sz w:val="21"/>
                      <w:szCs w:val="21"/>
                      <w:highlight w:val="none"/>
                    </w:rPr>
                  </w:pPr>
                </w:p>
                <w:p w14:paraId="4103B645">
                  <w:pPr>
                    <w:pStyle w:val="19"/>
                    <w:spacing w:line="240" w:lineRule="auto"/>
                    <w:ind w:firstLine="0"/>
                    <w:jc w:val="center"/>
                    <w:rPr>
                      <w:rFonts w:ascii="Times New Roman"/>
                      <w:sz w:val="21"/>
                      <w:szCs w:val="21"/>
                      <w:highlight w:val="none"/>
                    </w:rPr>
                  </w:pPr>
                </w:p>
                <w:p w14:paraId="33957BBC">
                  <w:pPr>
                    <w:pStyle w:val="19"/>
                    <w:spacing w:line="240" w:lineRule="auto"/>
                    <w:ind w:firstLine="0"/>
                    <w:jc w:val="center"/>
                    <w:rPr>
                      <w:rFonts w:ascii="Times New Roman"/>
                      <w:sz w:val="21"/>
                      <w:szCs w:val="21"/>
                      <w:highlight w:val="none"/>
                    </w:rPr>
                  </w:pPr>
                </w:p>
                <w:p w14:paraId="225DD785">
                  <w:pPr>
                    <w:pStyle w:val="19"/>
                    <w:spacing w:line="240" w:lineRule="auto"/>
                    <w:ind w:firstLine="0"/>
                    <w:jc w:val="center"/>
                    <w:rPr>
                      <w:rFonts w:ascii="Times New Roman"/>
                      <w:sz w:val="21"/>
                      <w:szCs w:val="21"/>
                      <w:highlight w:val="none"/>
                    </w:rPr>
                  </w:pPr>
                </w:p>
                <w:p w14:paraId="1977AF17">
                  <w:pPr>
                    <w:pStyle w:val="19"/>
                    <w:spacing w:line="240" w:lineRule="auto"/>
                    <w:ind w:firstLine="0"/>
                    <w:jc w:val="center"/>
                    <w:rPr>
                      <w:rFonts w:ascii="Times New Roman"/>
                      <w:sz w:val="21"/>
                      <w:szCs w:val="21"/>
                      <w:highlight w:val="none"/>
                    </w:rPr>
                  </w:pPr>
                </w:p>
                <w:p w14:paraId="056BCB4F">
                  <w:pPr>
                    <w:pStyle w:val="19"/>
                    <w:spacing w:line="240" w:lineRule="auto"/>
                    <w:ind w:firstLine="0"/>
                    <w:jc w:val="center"/>
                    <w:rPr>
                      <w:rFonts w:ascii="Times New Roman"/>
                      <w:sz w:val="21"/>
                      <w:szCs w:val="21"/>
                      <w:highlight w:val="none"/>
                    </w:rPr>
                  </w:pPr>
                </w:p>
                <w:p w14:paraId="13A928AC">
                  <w:pPr>
                    <w:pStyle w:val="19"/>
                    <w:spacing w:line="240" w:lineRule="auto"/>
                    <w:ind w:firstLine="0"/>
                    <w:jc w:val="center"/>
                    <w:rPr>
                      <w:rFonts w:ascii="Times New Roman"/>
                      <w:sz w:val="21"/>
                      <w:szCs w:val="21"/>
                      <w:highlight w:val="none"/>
                    </w:rPr>
                  </w:pPr>
                </w:p>
                <w:p w14:paraId="62BDB0C0">
                  <w:pPr>
                    <w:pStyle w:val="19"/>
                    <w:spacing w:line="240" w:lineRule="auto"/>
                    <w:ind w:firstLine="0"/>
                    <w:jc w:val="center"/>
                    <w:rPr>
                      <w:rFonts w:ascii="Times New Roman"/>
                      <w:sz w:val="21"/>
                      <w:szCs w:val="21"/>
                      <w:highlight w:val="none"/>
                    </w:rPr>
                  </w:pPr>
                </w:p>
                <w:p w14:paraId="75BF33E4">
                  <w:pPr>
                    <w:pStyle w:val="19"/>
                    <w:spacing w:line="240" w:lineRule="auto"/>
                    <w:ind w:firstLine="0"/>
                    <w:jc w:val="center"/>
                    <w:rPr>
                      <w:rFonts w:hint="eastAsia" w:ascii="Times New Roman" w:eastAsia="宋体"/>
                      <w:sz w:val="21"/>
                      <w:szCs w:val="21"/>
                      <w:highlight w:val="none"/>
                      <w:lang w:eastAsia="zh-CN"/>
                    </w:rPr>
                  </w:pPr>
                  <w:r>
                    <w:rPr>
                      <w:rFonts w:ascii="Times New Roman"/>
                      <w:sz w:val="21"/>
                      <w:szCs w:val="21"/>
                      <w:highlight w:val="none"/>
                    </w:rPr>
                    <w:t>《环境空气质量标准》</w:t>
                  </w:r>
                  <w:r>
                    <w:rPr>
                      <w:rFonts w:hint="eastAsia" w:ascii="Times New Roman"/>
                      <w:sz w:val="21"/>
                      <w:szCs w:val="21"/>
                      <w:highlight w:val="none"/>
                      <w:lang w:eastAsia="zh-CN"/>
                    </w:rPr>
                    <w:t>（</w:t>
                  </w:r>
                  <w:r>
                    <w:rPr>
                      <w:rFonts w:ascii="Times New Roman"/>
                      <w:sz w:val="21"/>
                      <w:szCs w:val="21"/>
                      <w:highlight w:val="none"/>
                    </w:rPr>
                    <w:t>GB3095-20</w:t>
                  </w:r>
                  <w:r>
                    <w:rPr>
                      <w:rFonts w:hint="eastAsia" w:ascii="Times New Roman"/>
                      <w:sz w:val="21"/>
                      <w:szCs w:val="21"/>
                      <w:highlight w:val="none"/>
                      <w:lang w:val="en-US" w:eastAsia="zh-CN"/>
                    </w:rPr>
                    <w:t>26</w:t>
                  </w:r>
                  <w:r>
                    <w:rPr>
                      <w:rFonts w:hint="eastAsia" w:ascii="Times New Roman"/>
                      <w:sz w:val="21"/>
                      <w:szCs w:val="21"/>
                      <w:highlight w:val="none"/>
                      <w:lang w:eastAsia="zh-CN"/>
                    </w:rPr>
                    <w:t>）</w:t>
                  </w:r>
                </w:p>
              </w:tc>
              <w:tc>
                <w:tcPr>
                  <w:tcW w:w="466" w:type="pct"/>
                  <w:noWrap w:val="0"/>
                  <w:vAlign w:val="center"/>
                </w:tcPr>
                <w:p w14:paraId="314CAD7D">
                  <w:pPr>
                    <w:pStyle w:val="19"/>
                    <w:spacing w:line="240" w:lineRule="auto"/>
                    <w:ind w:firstLine="0"/>
                    <w:jc w:val="center"/>
                    <w:rPr>
                      <w:rFonts w:hint="default" w:ascii="Times New Roman" w:eastAsia="宋体"/>
                      <w:sz w:val="21"/>
                      <w:szCs w:val="21"/>
                      <w:highlight w:val="none"/>
                      <w:lang w:val="en-US" w:eastAsia="zh-CN"/>
                    </w:rPr>
                  </w:pPr>
                  <w:r>
                    <w:rPr>
                      <w:rFonts w:hint="eastAsia" w:ascii="Times New Roman"/>
                      <w:sz w:val="21"/>
                      <w:szCs w:val="21"/>
                      <w:highlight w:val="none"/>
                      <w:lang w:val="en-US" w:eastAsia="zh-CN"/>
                    </w:rPr>
                    <w:t>西侧</w:t>
                  </w:r>
                </w:p>
              </w:tc>
              <w:tc>
                <w:tcPr>
                  <w:tcW w:w="536" w:type="pct"/>
                  <w:noWrap w:val="0"/>
                  <w:vAlign w:val="center"/>
                </w:tcPr>
                <w:p w14:paraId="39F50E97">
                  <w:pPr>
                    <w:pStyle w:val="19"/>
                    <w:spacing w:line="240" w:lineRule="auto"/>
                    <w:ind w:firstLine="0"/>
                    <w:jc w:val="center"/>
                    <w:rPr>
                      <w:rFonts w:hint="default" w:ascii="Times New Roman" w:eastAsia="宋体"/>
                      <w:color w:val="auto"/>
                      <w:sz w:val="21"/>
                      <w:szCs w:val="21"/>
                      <w:highlight w:val="none"/>
                      <w:lang w:val="en-US" w:eastAsia="zh-CN"/>
                    </w:rPr>
                  </w:pPr>
                  <w:r>
                    <w:rPr>
                      <w:rFonts w:hint="eastAsia" w:ascii="Times New Roman"/>
                      <w:color w:val="auto"/>
                      <w:sz w:val="21"/>
                      <w:szCs w:val="21"/>
                      <w:highlight w:val="none"/>
                      <w:lang w:val="en-US" w:eastAsia="zh-CN"/>
                    </w:rPr>
                    <w:t>40</w:t>
                  </w:r>
                </w:p>
              </w:tc>
            </w:tr>
            <w:bookmarkEnd w:id="4"/>
            <w:tr w14:paraId="5390CA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45" w:type="pct"/>
                  <w:vMerge w:val="continue"/>
                  <w:noWrap w:val="0"/>
                  <w:vAlign w:val="center"/>
                </w:tcPr>
                <w:p w14:paraId="39F8DCD0">
                  <w:pPr>
                    <w:pStyle w:val="19"/>
                    <w:spacing w:line="240" w:lineRule="auto"/>
                    <w:ind w:firstLine="0"/>
                    <w:jc w:val="center"/>
                    <w:rPr>
                      <w:rFonts w:ascii="Times New Roman"/>
                      <w:sz w:val="21"/>
                      <w:szCs w:val="21"/>
                    </w:rPr>
                  </w:pPr>
                </w:p>
              </w:tc>
              <w:tc>
                <w:tcPr>
                  <w:tcW w:w="678" w:type="pct"/>
                  <w:noWrap w:val="0"/>
                  <w:vAlign w:val="center"/>
                </w:tcPr>
                <w:p w14:paraId="7ECA7388">
                  <w:pPr>
                    <w:widowControl/>
                    <w:adjustRightInd w:val="0"/>
                    <w:snapToGrid w:val="0"/>
                    <w:jc w:val="center"/>
                    <w:rPr>
                      <w:rFonts w:hint="eastAsia" w:ascii="Times New Roman" w:eastAsia="宋体"/>
                      <w:sz w:val="21"/>
                      <w:szCs w:val="21"/>
                      <w:highlight w:val="none"/>
                      <w:lang w:val="en-US" w:eastAsia="zh-CN"/>
                    </w:rPr>
                  </w:pPr>
                  <w:r>
                    <w:rPr>
                      <w:rFonts w:hint="eastAsia"/>
                      <w:kern w:val="0"/>
                      <w:szCs w:val="21"/>
                      <w:highlight w:val="none"/>
                      <w:lang w:val="en-US" w:eastAsia="zh-CN"/>
                    </w:rPr>
                    <w:t>前岗</w:t>
                  </w:r>
                </w:p>
              </w:tc>
              <w:tc>
                <w:tcPr>
                  <w:tcW w:w="597" w:type="pct"/>
                  <w:noWrap w:val="0"/>
                  <w:vAlign w:val="center"/>
                </w:tcPr>
                <w:p w14:paraId="6DF46A5B">
                  <w:pPr>
                    <w:pStyle w:val="19"/>
                    <w:spacing w:line="240" w:lineRule="auto"/>
                    <w:ind w:firstLine="0"/>
                    <w:jc w:val="center"/>
                    <w:rPr>
                      <w:rFonts w:hint="default" w:ascii="Times New Roman" w:eastAsia="宋体"/>
                      <w:sz w:val="21"/>
                      <w:szCs w:val="21"/>
                      <w:lang w:val="en-US" w:eastAsia="zh-CN"/>
                    </w:rPr>
                  </w:pPr>
                  <w:r>
                    <w:rPr>
                      <w:rFonts w:hint="eastAsia" w:ascii="Times New Roman"/>
                      <w:sz w:val="21"/>
                      <w:szCs w:val="21"/>
                    </w:rPr>
                    <w:t>116.738516</w:t>
                  </w:r>
                </w:p>
              </w:tc>
              <w:tc>
                <w:tcPr>
                  <w:tcW w:w="479" w:type="pct"/>
                  <w:noWrap w:val="0"/>
                  <w:vAlign w:val="center"/>
                </w:tcPr>
                <w:p w14:paraId="0445FB2A">
                  <w:pPr>
                    <w:pStyle w:val="19"/>
                    <w:spacing w:line="240" w:lineRule="auto"/>
                    <w:ind w:firstLine="0"/>
                    <w:jc w:val="center"/>
                    <w:rPr>
                      <w:rFonts w:hint="default" w:ascii="Times New Roman" w:eastAsia="宋体"/>
                      <w:sz w:val="21"/>
                      <w:szCs w:val="21"/>
                      <w:lang w:val="en-US" w:eastAsia="zh-CN"/>
                    </w:rPr>
                  </w:pPr>
                  <w:r>
                    <w:rPr>
                      <w:rFonts w:hint="eastAsia" w:ascii="Times New Roman"/>
                      <w:sz w:val="21"/>
                      <w:szCs w:val="21"/>
                    </w:rPr>
                    <w:t>32.817829</w:t>
                  </w:r>
                </w:p>
              </w:tc>
              <w:tc>
                <w:tcPr>
                  <w:tcW w:w="403" w:type="pct"/>
                  <w:noWrap w:val="0"/>
                  <w:vAlign w:val="center"/>
                </w:tcPr>
                <w:p w14:paraId="0D172B27">
                  <w:pPr>
                    <w:pStyle w:val="19"/>
                    <w:spacing w:line="240" w:lineRule="auto"/>
                    <w:ind w:firstLine="0"/>
                    <w:jc w:val="center"/>
                    <w:rPr>
                      <w:rFonts w:hint="eastAsia" w:ascii="Times New Roman" w:eastAsia="宋体"/>
                      <w:sz w:val="21"/>
                      <w:szCs w:val="21"/>
                      <w:lang w:eastAsia="zh-CN"/>
                    </w:rPr>
                  </w:pPr>
                  <w:r>
                    <w:rPr>
                      <w:rFonts w:hint="eastAsia" w:ascii="Times New Roman"/>
                      <w:sz w:val="21"/>
                      <w:szCs w:val="21"/>
                      <w:lang w:eastAsia="zh-CN"/>
                    </w:rPr>
                    <w:t>居民</w:t>
                  </w:r>
                </w:p>
              </w:tc>
              <w:tc>
                <w:tcPr>
                  <w:tcW w:w="642" w:type="pct"/>
                  <w:noWrap w:val="0"/>
                  <w:vAlign w:val="center"/>
                </w:tcPr>
                <w:p w14:paraId="6C463726">
                  <w:pPr>
                    <w:widowControl/>
                    <w:adjustRightInd w:val="0"/>
                    <w:snapToGrid w:val="0"/>
                    <w:jc w:val="center"/>
                    <w:rPr>
                      <w:rFonts w:hint="default" w:ascii="Times New Roman" w:eastAsia="宋体"/>
                      <w:sz w:val="21"/>
                      <w:szCs w:val="21"/>
                      <w:lang w:val="en-US" w:eastAsia="zh-CN"/>
                    </w:rPr>
                  </w:pPr>
                  <w:r>
                    <w:rPr>
                      <w:rFonts w:hint="eastAsia"/>
                      <w:kern w:val="0"/>
                      <w:szCs w:val="21"/>
                      <w:lang w:val="en-US" w:eastAsia="zh-CN"/>
                    </w:rPr>
                    <w:t>35</w:t>
                  </w:r>
                  <w:r>
                    <w:rPr>
                      <w:kern w:val="0"/>
                      <w:szCs w:val="21"/>
                    </w:rPr>
                    <w:t>户/</w:t>
                  </w:r>
                  <w:r>
                    <w:rPr>
                      <w:rFonts w:hint="eastAsia"/>
                      <w:kern w:val="0"/>
                      <w:szCs w:val="21"/>
                      <w:lang w:val="en-US" w:eastAsia="zh-CN"/>
                    </w:rPr>
                    <w:t>120</w:t>
                  </w:r>
                  <w:r>
                    <w:rPr>
                      <w:kern w:val="0"/>
                      <w:szCs w:val="21"/>
                    </w:rPr>
                    <w:t>人</w:t>
                  </w:r>
                </w:p>
              </w:tc>
              <w:tc>
                <w:tcPr>
                  <w:tcW w:w="749" w:type="pct"/>
                  <w:vMerge w:val="continue"/>
                  <w:noWrap w:val="0"/>
                  <w:vAlign w:val="center"/>
                </w:tcPr>
                <w:p w14:paraId="30502490">
                  <w:pPr>
                    <w:pStyle w:val="19"/>
                    <w:spacing w:line="240" w:lineRule="auto"/>
                    <w:ind w:firstLine="0"/>
                    <w:jc w:val="center"/>
                    <w:rPr>
                      <w:rFonts w:ascii="Times New Roman"/>
                      <w:sz w:val="21"/>
                      <w:szCs w:val="21"/>
                    </w:rPr>
                  </w:pPr>
                </w:p>
              </w:tc>
              <w:tc>
                <w:tcPr>
                  <w:tcW w:w="466" w:type="pct"/>
                  <w:noWrap w:val="0"/>
                  <w:vAlign w:val="center"/>
                </w:tcPr>
                <w:p w14:paraId="0CEE55F6">
                  <w:pPr>
                    <w:pStyle w:val="19"/>
                    <w:spacing w:line="240" w:lineRule="auto"/>
                    <w:ind w:firstLine="0"/>
                    <w:jc w:val="center"/>
                    <w:rPr>
                      <w:rFonts w:hint="default" w:ascii="Times New Roman" w:eastAsia="宋体"/>
                      <w:sz w:val="21"/>
                      <w:szCs w:val="21"/>
                      <w:lang w:val="en-US" w:eastAsia="zh-CN"/>
                    </w:rPr>
                  </w:pPr>
                  <w:r>
                    <w:rPr>
                      <w:rFonts w:hint="eastAsia" w:ascii="Times New Roman"/>
                      <w:sz w:val="21"/>
                      <w:szCs w:val="21"/>
                      <w:lang w:val="en-US" w:eastAsia="zh-CN"/>
                    </w:rPr>
                    <w:t>西侧</w:t>
                  </w:r>
                </w:p>
              </w:tc>
              <w:tc>
                <w:tcPr>
                  <w:tcW w:w="536" w:type="pct"/>
                  <w:noWrap w:val="0"/>
                  <w:vAlign w:val="center"/>
                </w:tcPr>
                <w:p w14:paraId="3A3C1CC7">
                  <w:pPr>
                    <w:pStyle w:val="19"/>
                    <w:spacing w:line="240" w:lineRule="auto"/>
                    <w:ind w:firstLine="0"/>
                    <w:jc w:val="center"/>
                    <w:rPr>
                      <w:rFonts w:hint="default" w:ascii="Times New Roman" w:eastAsia="宋体"/>
                      <w:color w:val="auto"/>
                      <w:sz w:val="21"/>
                      <w:szCs w:val="21"/>
                      <w:lang w:val="en-US" w:eastAsia="zh-CN"/>
                    </w:rPr>
                  </w:pPr>
                  <w:r>
                    <w:rPr>
                      <w:rFonts w:hint="eastAsia" w:ascii="Times New Roman"/>
                      <w:color w:val="auto"/>
                      <w:sz w:val="21"/>
                      <w:szCs w:val="21"/>
                      <w:lang w:val="en-US" w:eastAsia="zh-CN"/>
                    </w:rPr>
                    <w:t>360</w:t>
                  </w:r>
                </w:p>
              </w:tc>
            </w:tr>
            <w:tr w14:paraId="4C5A9B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45" w:type="pct"/>
                  <w:vMerge w:val="continue"/>
                  <w:noWrap w:val="0"/>
                  <w:vAlign w:val="center"/>
                </w:tcPr>
                <w:p w14:paraId="7FA8C964">
                  <w:pPr>
                    <w:pStyle w:val="19"/>
                    <w:spacing w:line="240" w:lineRule="auto"/>
                    <w:ind w:firstLine="0"/>
                    <w:jc w:val="center"/>
                    <w:rPr>
                      <w:rFonts w:ascii="Times New Roman"/>
                      <w:sz w:val="21"/>
                      <w:szCs w:val="21"/>
                    </w:rPr>
                  </w:pPr>
                </w:p>
              </w:tc>
              <w:tc>
                <w:tcPr>
                  <w:tcW w:w="678" w:type="pct"/>
                  <w:noWrap w:val="0"/>
                  <w:vAlign w:val="center"/>
                </w:tcPr>
                <w:p w14:paraId="56F605C4">
                  <w:pPr>
                    <w:widowControl/>
                    <w:adjustRightInd w:val="0"/>
                    <w:snapToGrid w:val="0"/>
                    <w:jc w:val="center"/>
                    <w:rPr>
                      <w:rFonts w:hint="eastAsia" w:eastAsia="宋体"/>
                      <w:kern w:val="0"/>
                      <w:szCs w:val="21"/>
                      <w:highlight w:val="none"/>
                      <w:lang w:eastAsia="zh-CN"/>
                    </w:rPr>
                  </w:pPr>
                  <w:r>
                    <w:rPr>
                      <w:rFonts w:hint="eastAsia"/>
                      <w:kern w:val="0"/>
                      <w:szCs w:val="21"/>
                      <w:highlight w:val="none"/>
                      <w:lang w:val="en-US" w:eastAsia="zh-CN"/>
                    </w:rPr>
                    <w:t>庙后村</w:t>
                  </w:r>
                </w:p>
              </w:tc>
              <w:tc>
                <w:tcPr>
                  <w:tcW w:w="597" w:type="pct"/>
                  <w:noWrap w:val="0"/>
                  <w:vAlign w:val="center"/>
                </w:tcPr>
                <w:p w14:paraId="436ACCDB">
                  <w:pPr>
                    <w:pStyle w:val="19"/>
                    <w:spacing w:line="240" w:lineRule="auto"/>
                    <w:ind w:firstLine="0"/>
                    <w:jc w:val="center"/>
                    <w:rPr>
                      <w:rFonts w:hint="default" w:ascii="Times New Roman" w:eastAsia="宋体"/>
                      <w:sz w:val="21"/>
                      <w:szCs w:val="21"/>
                      <w:lang w:val="en-US" w:eastAsia="zh-CN"/>
                    </w:rPr>
                  </w:pPr>
                  <w:r>
                    <w:rPr>
                      <w:rFonts w:hint="eastAsia" w:ascii="Times New Roman"/>
                      <w:sz w:val="21"/>
                      <w:szCs w:val="21"/>
                      <w:lang w:val="en-US" w:eastAsia="zh-CN"/>
                    </w:rPr>
                    <w:t>116.740930</w:t>
                  </w:r>
                </w:p>
              </w:tc>
              <w:tc>
                <w:tcPr>
                  <w:tcW w:w="479" w:type="pct"/>
                  <w:noWrap w:val="0"/>
                  <w:vAlign w:val="center"/>
                </w:tcPr>
                <w:p w14:paraId="3D264C9D">
                  <w:pPr>
                    <w:pStyle w:val="19"/>
                    <w:spacing w:line="240" w:lineRule="auto"/>
                    <w:ind w:firstLine="0"/>
                    <w:jc w:val="center"/>
                    <w:rPr>
                      <w:rFonts w:hint="default" w:ascii="Times New Roman" w:eastAsia="宋体"/>
                      <w:sz w:val="21"/>
                      <w:szCs w:val="21"/>
                      <w:lang w:val="en-US" w:eastAsia="zh-CN"/>
                    </w:rPr>
                  </w:pPr>
                  <w:r>
                    <w:rPr>
                      <w:rFonts w:hint="eastAsia" w:ascii="Times New Roman"/>
                      <w:sz w:val="21"/>
                      <w:szCs w:val="21"/>
                      <w:lang w:val="en-US" w:eastAsia="zh-CN"/>
                    </w:rPr>
                    <w:t>32.813401</w:t>
                  </w:r>
                </w:p>
              </w:tc>
              <w:tc>
                <w:tcPr>
                  <w:tcW w:w="403" w:type="pct"/>
                  <w:noWrap w:val="0"/>
                  <w:vAlign w:val="center"/>
                </w:tcPr>
                <w:p w14:paraId="62D55773">
                  <w:pPr>
                    <w:pStyle w:val="19"/>
                    <w:spacing w:line="240" w:lineRule="auto"/>
                    <w:ind w:firstLine="0"/>
                    <w:jc w:val="center"/>
                    <w:rPr>
                      <w:rFonts w:hint="eastAsia" w:ascii="Times New Roman"/>
                      <w:sz w:val="21"/>
                      <w:szCs w:val="21"/>
                      <w:lang w:eastAsia="zh-CN"/>
                    </w:rPr>
                  </w:pPr>
                  <w:r>
                    <w:rPr>
                      <w:rFonts w:hint="eastAsia" w:ascii="Times New Roman"/>
                      <w:sz w:val="21"/>
                      <w:szCs w:val="21"/>
                      <w:lang w:eastAsia="zh-CN"/>
                    </w:rPr>
                    <w:t>居民</w:t>
                  </w:r>
                </w:p>
              </w:tc>
              <w:tc>
                <w:tcPr>
                  <w:tcW w:w="642" w:type="pct"/>
                  <w:noWrap w:val="0"/>
                  <w:vAlign w:val="center"/>
                </w:tcPr>
                <w:p w14:paraId="3617BD1B">
                  <w:pPr>
                    <w:widowControl/>
                    <w:adjustRightInd w:val="0"/>
                    <w:snapToGrid w:val="0"/>
                    <w:jc w:val="center"/>
                    <w:rPr>
                      <w:rFonts w:hint="default" w:eastAsia="宋体"/>
                      <w:kern w:val="0"/>
                      <w:szCs w:val="21"/>
                      <w:lang w:val="en-US" w:eastAsia="zh-CN"/>
                    </w:rPr>
                  </w:pPr>
                  <w:r>
                    <w:rPr>
                      <w:rFonts w:hint="eastAsia"/>
                      <w:kern w:val="0"/>
                      <w:szCs w:val="21"/>
                      <w:lang w:val="en-US" w:eastAsia="zh-CN"/>
                    </w:rPr>
                    <w:t>100户/350人</w:t>
                  </w:r>
                </w:p>
              </w:tc>
              <w:tc>
                <w:tcPr>
                  <w:tcW w:w="749" w:type="pct"/>
                  <w:vMerge w:val="continue"/>
                  <w:noWrap w:val="0"/>
                  <w:vAlign w:val="center"/>
                </w:tcPr>
                <w:p w14:paraId="1AD4F5BA">
                  <w:pPr>
                    <w:pStyle w:val="19"/>
                    <w:spacing w:line="240" w:lineRule="auto"/>
                    <w:ind w:firstLine="0"/>
                    <w:jc w:val="center"/>
                    <w:rPr>
                      <w:rFonts w:ascii="Times New Roman"/>
                      <w:sz w:val="21"/>
                      <w:szCs w:val="21"/>
                    </w:rPr>
                  </w:pPr>
                </w:p>
              </w:tc>
              <w:tc>
                <w:tcPr>
                  <w:tcW w:w="466" w:type="pct"/>
                  <w:noWrap w:val="0"/>
                  <w:vAlign w:val="center"/>
                </w:tcPr>
                <w:p w14:paraId="3CF4A196">
                  <w:pPr>
                    <w:pStyle w:val="19"/>
                    <w:spacing w:line="240" w:lineRule="auto"/>
                    <w:ind w:firstLine="0"/>
                    <w:jc w:val="center"/>
                    <w:rPr>
                      <w:rFonts w:hint="default" w:ascii="Times New Roman"/>
                      <w:sz w:val="21"/>
                      <w:szCs w:val="21"/>
                      <w:lang w:val="en-US" w:eastAsia="zh-CN"/>
                    </w:rPr>
                  </w:pPr>
                  <w:r>
                    <w:rPr>
                      <w:rFonts w:hint="eastAsia" w:ascii="Times New Roman"/>
                      <w:sz w:val="21"/>
                      <w:szCs w:val="21"/>
                      <w:lang w:val="en-US" w:eastAsia="zh-CN"/>
                    </w:rPr>
                    <w:t>西南侧</w:t>
                  </w:r>
                </w:p>
              </w:tc>
              <w:tc>
                <w:tcPr>
                  <w:tcW w:w="536" w:type="pct"/>
                  <w:noWrap w:val="0"/>
                  <w:vAlign w:val="center"/>
                </w:tcPr>
                <w:p w14:paraId="6D636424">
                  <w:pPr>
                    <w:pStyle w:val="19"/>
                    <w:spacing w:line="240" w:lineRule="auto"/>
                    <w:ind w:firstLine="0"/>
                    <w:jc w:val="center"/>
                    <w:rPr>
                      <w:rFonts w:hint="default" w:ascii="Times New Roman"/>
                      <w:color w:val="auto"/>
                      <w:sz w:val="21"/>
                      <w:szCs w:val="21"/>
                      <w:lang w:val="en-US" w:eastAsia="zh-CN"/>
                    </w:rPr>
                  </w:pPr>
                  <w:r>
                    <w:rPr>
                      <w:rFonts w:hint="eastAsia" w:ascii="Times New Roman"/>
                      <w:color w:val="auto"/>
                      <w:sz w:val="21"/>
                      <w:szCs w:val="21"/>
                      <w:lang w:val="en-US" w:eastAsia="zh-CN"/>
                    </w:rPr>
                    <w:t>170</w:t>
                  </w:r>
                </w:p>
              </w:tc>
            </w:tr>
            <w:tr w14:paraId="4A849C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3" w:hRule="atLeast"/>
                <w:jc w:val="center"/>
              </w:trPr>
              <w:tc>
                <w:tcPr>
                  <w:tcW w:w="445" w:type="pct"/>
                  <w:vMerge w:val="continue"/>
                  <w:noWrap w:val="0"/>
                  <w:vAlign w:val="center"/>
                </w:tcPr>
                <w:p w14:paraId="5E47A994">
                  <w:pPr>
                    <w:pStyle w:val="19"/>
                    <w:spacing w:line="240" w:lineRule="auto"/>
                    <w:ind w:firstLine="0"/>
                    <w:jc w:val="center"/>
                    <w:rPr>
                      <w:rFonts w:ascii="Times New Roman"/>
                      <w:sz w:val="21"/>
                      <w:szCs w:val="21"/>
                    </w:rPr>
                  </w:pPr>
                </w:p>
              </w:tc>
              <w:tc>
                <w:tcPr>
                  <w:tcW w:w="678" w:type="pct"/>
                  <w:noWrap w:val="0"/>
                  <w:vAlign w:val="center"/>
                </w:tcPr>
                <w:p w14:paraId="3904C800">
                  <w:pPr>
                    <w:widowControl/>
                    <w:adjustRightInd w:val="0"/>
                    <w:snapToGrid w:val="0"/>
                    <w:jc w:val="center"/>
                    <w:rPr>
                      <w:rFonts w:hint="eastAsia" w:ascii="Times New Roman"/>
                      <w:sz w:val="21"/>
                      <w:szCs w:val="21"/>
                      <w:lang w:eastAsia="zh-CN"/>
                    </w:rPr>
                  </w:pPr>
                  <w:r>
                    <w:rPr>
                      <w:rFonts w:hint="eastAsia"/>
                      <w:kern w:val="0"/>
                      <w:szCs w:val="21"/>
                      <w:lang w:val="en-US" w:eastAsia="zh-CN"/>
                    </w:rPr>
                    <w:t>潘三新村小区</w:t>
                  </w:r>
                </w:p>
              </w:tc>
              <w:tc>
                <w:tcPr>
                  <w:tcW w:w="597" w:type="pct"/>
                  <w:noWrap w:val="0"/>
                  <w:vAlign w:val="center"/>
                </w:tcPr>
                <w:p w14:paraId="2F458AFB">
                  <w:pPr>
                    <w:pStyle w:val="19"/>
                    <w:spacing w:line="240" w:lineRule="auto"/>
                    <w:ind w:firstLine="0"/>
                    <w:jc w:val="center"/>
                    <w:rPr>
                      <w:rFonts w:hint="default" w:ascii="Times New Roman" w:eastAsia="宋体"/>
                      <w:sz w:val="21"/>
                      <w:szCs w:val="21"/>
                      <w:lang w:val="en-US" w:eastAsia="zh-CN"/>
                    </w:rPr>
                  </w:pPr>
                  <w:r>
                    <w:rPr>
                      <w:rFonts w:hint="eastAsia" w:ascii="Times New Roman"/>
                      <w:sz w:val="21"/>
                      <w:szCs w:val="21"/>
                      <w:lang w:val="en-US" w:eastAsia="zh-CN"/>
                    </w:rPr>
                    <w:t>116.742201</w:t>
                  </w:r>
                </w:p>
              </w:tc>
              <w:tc>
                <w:tcPr>
                  <w:tcW w:w="479" w:type="pct"/>
                  <w:noWrap w:val="0"/>
                  <w:vAlign w:val="center"/>
                </w:tcPr>
                <w:p w14:paraId="4E1BE72D">
                  <w:pPr>
                    <w:pStyle w:val="19"/>
                    <w:spacing w:line="240" w:lineRule="auto"/>
                    <w:ind w:firstLine="0"/>
                    <w:jc w:val="center"/>
                    <w:rPr>
                      <w:rFonts w:hint="default" w:ascii="Times New Roman" w:eastAsia="宋体"/>
                      <w:sz w:val="21"/>
                      <w:szCs w:val="21"/>
                      <w:lang w:val="en-US" w:eastAsia="zh-CN"/>
                    </w:rPr>
                  </w:pPr>
                  <w:r>
                    <w:rPr>
                      <w:rFonts w:hint="eastAsia" w:ascii="Times New Roman"/>
                      <w:sz w:val="21"/>
                      <w:szCs w:val="21"/>
                      <w:lang w:val="en-US" w:eastAsia="zh-CN"/>
                    </w:rPr>
                    <w:t>32.814718</w:t>
                  </w:r>
                </w:p>
              </w:tc>
              <w:tc>
                <w:tcPr>
                  <w:tcW w:w="403" w:type="pct"/>
                  <w:noWrap w:val="0"/>
                  <w:vAlign w:val="center"/>
                </w:tcPr>
                <w:p w14:paraId="7E4627DD">
                  <w:pPr>
                    <w:pStyle w:val="19"/>
                    <w:spacing w:line="240" w:lineRule="auto"/>
                    <w:ind w:firstLine="0"/>
                    <w:jc w:val="center"/>
                    <w:rPr>
                      <w:rFonts w:hint="eastAsia" w:ascii="Times New Roman"/>
                      <w:sz w:val="21"/>
                      <w:szCs w:val="21"/>
                      <w:lang w:eastAsia="zh-CN"/>
                    </w:rPr>
                  </w:pPr>
                  <w:r>
                    <w:rPr>
                      <w:rFonts w:hint="eastAsia" w:ascii="Times New Roman"/>
                      <w:sz w:val="21"/>
                      <w:szCs w:val="21"/>
                      <w:lang w:eastAsia="zh-CN"/>
                    </w:rPr>
                    <w:t>居民</w:t>
                  </w:r>
                </w:p>
              </w:tc>
              <w:tc>
                <w:tcPr>
                  <w:tcW w:w="642" w:type="pct"/>
                  <w:noWrap w:val="0"/>
                  <w:vAlign w:val="center"/>
                </w:tcPr>
                <w:p w14:paraId="585247C0">
                  <w:pPr>
                    <w:widowControl/>
                    <w:adjustRightInd w:val="0"/>
                    <w:snapToGrid w:val="0"/>
                    <w:jc w:val="center"/>
                    <w:rPr>
                      <w:rFonts w:hint="default" w:ascii="Times New Roman"/>
                      <w:sz w:val="21"/>
                      <w:szCs w:val="21"/>
                      <w:lang w:val="en-US" w:eastAsia="zh-CN"/>
                    </w:rPr>
                  </w:pPr>
                  <w:r>
                    <w:rPr>
                      <w:kern w:val="0"/>
                      <w:szCs w:val="21"/>
                    </w:rPr>
                    <w:t>4</w:t>
                  </w:r>
                  <w:r>
                    <w:rPr>
                      <w:rFonts w:hint="eastAsia"/>
                      <w:kern w:val="0"/>
                      <w:szCs w:val="21"/>
                      <w:lang w:val="en-US" w:eastAsia="zh-CN"/>
                    </w:rPr>
                    <w:t>00</w:t>
                  </w:r>
                  <w:r>
                    <w:rPr>
                      <w:kern w:val="0"/>
                      <w:szCs w:val="21"/>
                    </w:rPr>
                    <w:t>户/</w:t>
                  </w:r>
                  <w:r>
                    <w:rPr>
                      <w:rFonts w:hint="eastAsia"/>
                      <w:kern w:val="0"/>
                      <w:szCs w:val="21"/>
                      <w:lang w:val="en-US" w:eastAsia="zh-CN"/>
                    </w:rPr>
                    <w:t>1200</w:t>
                  </w:r>
                  <w:r>
                    <w:rPr>
                      <w:kern w:val="0"/>
                      <w:szCs w:val="21"/>
                    </w:rPr>
                    <w:t>人</w:t>
                  </w:r>
                </w:p>
              </w:tc>
              <w:tc>
                <w:tcPr>
                  <w:tcW w:w="749" w:type="pct"/>
                  <w:vMerge w:val="continue"/>
                  <w:noWrap w:val="0"/>
                  <w:vAlign w:val="center"/>
                </w:tcPr>
                <w:p w14:paraId="01DC6961">
                  <w:pPr>
                    <w:pStyle w:val="19"/>
                    <w:spacing w:line="240" w:lineRule="auto"/>
                    <w:ind w:firstLine="0"/>
                    <w:jc w:val="center"/>
                    <w:rPr>
                      <w:rFonts w:ascii="Times New Roman"/>
                      <w:sz w:val="21"/>
                      <w:szCs w:val="21"/>
                    </w:rPr>
                  </w:pPr>
                </w:p>
              </w:tc>
              <w:tc>
                <w:tcPr>
                  <w:tcW w:w="466" w:type="pct"/>
                  <w:noWrap w:val="0"/>
                  <w:vAlign w:val="center"/>
                </w:tcPr>
                <w:p w14:paraId="6FED28DA">
                  <w:pPr>
                    <w:widowControl/>
                    <w:adjustRightInd w:val="0"/>
                    <w:snapToGrid w:val="0"/>
                    <w:jc w:val="center"/>
                    <w:rPr>
                      <w:rFonts w:hint="default" w:ascii="Times New Roman" w:eastAsia="宋体"/>
                      <w:sz w:val="21"/>
                      <w:szCs w:val="21"/>
                      <w:lang w:val="en-US" w:eastAsia="zh-CN"/>
                    </w:rPr>
                  </w:pPr>
                  <w:r>
                    <w:rPr>
                      <w:rFonts w:hint="eastAsia"/>
                      <w:kern w:val="0"/>
                      <w:szCs w:val="21"/>
                      <w:lang w:val="en-US" w:eastAsia="zh-CN"/>
                    </w:rPr>
                    <w:t>南侧</w:t>
                  </w:r>
                </w:p>
              </w:tc>
              <w:tc>
                <w:tcPr>
                  <w:tcW w:w="536" w:type="pct"/>
                  <w:noWrap w:val="0"/>
                  <w:vAlign w:val="center"/>
                </w:tcPr>
                <w:p w14:paraId="52A1514F">
                  <w:pPr>
                    <w:pStyle w:val="19"/>
                    <w:spacing w:line="240" w:lineRule="auto"/>
                    <w:ind w:firstLine="0"/>
                    <w:jc w:val="center"/>
                    <w:rPr>
                      <w:rFonts w:hint="default" w:ascii="Times New Roman"/>
                      <w:sz w:val="21"/>
                      <w:szCs w:val="21"/>
                      <w:lang w:val="en-US" w:eastAsia="zh-CN"/>
                    </w:rPr>
                  </w:pPr>
                  <w:r>
                    <w:rPr>
                      <w:rFonts w:hint="eastAsia" w:ascii="Times New Roman"/>
                      <w:sz w:val="21"/>
                      <w:szCs w:val="21"/>
                      <w:lang w:val="en-US" w:eastAsia="zh-CN"/>
                    </w:rPr>
                    <w:t>10</w:t>
                  </w:r>
                </w:p>
              </w:tc>
            </w:tr>
            <w:tr w14:paraId="0D8257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45" w:type="pct"/>
                  <w:vMerge w:val="continue"/>
                  <w:noWrap w:val="0"/>
                  <w:vAlign w:val="center"/>
                </w:tcPr>
                <w:p w14:paraId="2E9B1CF5">
                  <w:pPr>
                    <w:pStyle w:val="19"/>
                    <w:spacing w:line="240" w:lineRule="auto"/>
                    <w:ind w:firstLine="0"/>
                    <w:jc w:val="center"/>
                    <w:rPr>
                      <w:rFonts w:ascii="Times New Roman"/>
                      <w:sz w:val="21"/>
                      <w:szCs w:val="21"/>
                    </w:rPr>
                  </w:pPr>
                </w:p>
              </w:tc>
              <w:tc>
                <w:tcPr>
                  <w:tcW w:w="678" w:type="pct"/>
                  <w:noWrap w:val="0"/>
                  <w:vAlign w:val="center"/>
                </w:tcPr>
                <w:p w14:paraId="26613168">
                  <w:pPr>
                    <w:widowControl/>
                    <w:adjustRightInd w:val="0"/>
                    <w:snapToGrid w:val="0"/>
                    <w:jc w:val="center"/>
                    <w:rPr>
                      <w:rFonts w:hint="eastAsia" w:ascii="Times New Roman"/>
                      <w:sz w:val="21"/>
                      <w:szCs w:val="21"/>
                      <w:lang w:eastAsia="zh-CN"/>
                    </w:rPr>
                  </w:pPr>
                  <w:r>
                    <w:rPr>
                      <w:rFonts w:hint="eastAsia"/>
                      <w:kern w:val="0"/>
                      <w:szCs w:val="21"/>
                      <w:lang w:val="en-US" w:eastAsia="zh-CN"/>
                    </w:rPr>
                    <w:t>潘集区第五小学</w:t>
                  </w:r>
                </w:p>
              </w:tc>
              <w:tc>
                <w:tcPr>
                  <w:tcW w:w="597" w:type="pct"/>
                  <w:noWrap w:val="0"/>
                  <w:vAlign w:val="center"/>
                </w:tcPr>
                <w:p w14:paraId="258F343A">
                  <w:pPr>
                    <w:pStyle w:val="19"/>
                    <w:spacing w:line="240" w:lineRule="auto"/>
                    <w:ind w:firstLine="0"/>
                    <w:jc w:val="center"/>
                    <w:rPr>
                      <w:rFonts w:hint="default" w:ascii="Times New Roman" w:eastAsia="宋体"/>
                      <w:sz w:val="21"/>
                      <w:szCs w:val="21"/>
                      <w:lang w:val="en-US" w:eastAsia="zh-CN"/>
                    </w:rPr>
                  </w:pPr>
                  <w:r>
                    <w:rPr>
                      <w:rFonts w:hint="eastAsia" w:ascii="Times New Roman"/>
                      <w:sz w:val="21"/>
                      <w:szCs w:val="21"/>
                      <w:lang w:val="en-US" w:eastAsia="zh-CN"/>
                    </w:rPr>
                    <w:t>116.742051</w:t>
                  </w:r>
                </w:p>
              </w:tc>
              <w:tc>
                <w:tcPr>
                  <w:tcW w:w="479" w:type="pct"/>
                  <w:noWrap w:val="0"/>
                  <w:vAlign w:val="center"/>
                </w:tcPr>
                <w:p w14:paraId="76B28905">
                  <w:pPr>
                    <w:pStyle w:val="19"/>
                    <w:spacing w:line="240" w:lineRule="auto"/>
                    <w:ind w:firstLine="0"/>
                    <w:jc w:val="center"/>
                    <w:rPr>
                      <w:rFonts w:hint="default" w:ascii="Times New Roman" w:eastAsia="宋体"/>
                      <w:sz w:val="21"/>
                      <w:szCs w:val="21"/>
                      <w:lang w:val="en-US" w:eastAsia="zh-CN"/>
                    </w:rPr>
                  </w:pPr>
                  <w:r>
                    <w:rPr>
                      <w:rFonts w:hint="eastAsia" w:ascii="Times New Roman"/>
                      <w:sz w:val="21"/>
                      <w:szCs w:val="21"/>
                      <w:lang w:val="en-US" w:eastAsia="zh-CN"/>
                    </w:rPr>
                    <w:t>32.811959</w:t>
                  </w:r>
                </w:p>
              </w:tc>
              <w:tc>
                <w:tcPr>
                  <w:tcW w:w="403" w:type="pct"/>
                  <w:noWrap w:val="0"/>
                  <w:vAlign w:val="center"/>
                </w:tcPr>
                <w:p w14:paraId="603AAB2A">
                  <w:pPr>
                    <w:widowControl/>
                    <w:adjustRightInd w:val="0"/>
                    <w:snapToGrid w:val="0"/>
                    <w:jc w:val="center"/>
                    <w:rPr>
                      <w:rFonts w:hint="eastAsia" w:ascii="Times New Roman" w:eastAsia="宋体"/>
                      <w:sz w:val="21"/>
                      <w:szCs w:val="21"/>
                      <w:lang w:eastAsia="zh-CN"/>
                    </w:rPr>
                  </w:pPr>
                  <w:r>
                    <w:rPr>
                      <w:rFonts w:hint="eastAsia"/>
                      <w:kern w:val="0"/>
                      <w:szCs w:val="21"/>
                      <w:lang w:val="en-US" w:eastAsia="zh-CN"/>
                    </w:rPr>
                    <w:t>师生</w:t>
                  </w:r>
                </w:p>
              </w:tc>
              <w:tc>
                <w:tcPr>
                  <w:tcW w:w="642" w:type="pct"/>
                  <w:noWrap w:val="0"/>
                  <w:vAlign w:val="center"/>
                </w:tcPr>
                <w:p w14:paraId="16D01AAA">
                  <w:pPr>
                    <w:widowControl/>
                    <w:adjustRightInd w:val="0"/>
                    <w:snapToGrid w:val="0"/>
                    <w:jc w:val="center"/>
                    <w:rPr>
                      <w:rFonts w:hint="eastAsia" w:ascii="Times New Roman"/>
                      <w:sz w:val="21"/>
                      <w:szCs w:val="21"/>
                      <w:lang w:val="en-US" w:eastAsia="zh-CN"/>
                    </w:rPr>
                  </w:pPr>
                  <w:r>
                    <w:rPr>
                      <w:rFonts w:hint="eastAsia"/>
                      <w:kern w:val="0"/>
                      <w:szCs w:val="21"/>
                      <w:lang w:val="en-US" w:eastAsia="zh-CN"/>
                    </w:rPr>
                    <w:t>1100</w:t>
                  </w:r>
                  <w:r>
                    <w:rPr>
                      <w:kern w:val="0"/>
                      <w:szCs w:val="21"/>
                    </w:rPr>
                    <w:t>人</w:t>
                  </w:r>
                </w:p>
              </w:tc>
              <w:tc>
                <w:tcPr>
                  <w:tcW w:w="749" w:type="pct"/>
                  <w:vMerge w:val="continue"/>
                  <w:noWrap w:val="0"/>
                  <w:vAlign w:val="center"/>
                </w:tcPr>
                <w:p w14:paraId="278397D0">
                  <w:pPr>
                    <w:pStyle w:val="19"/>
                    <w:spacing w:line="240" w:lineRule="auto"/>
                    <w:ind w:firstLine="0"/>
                    <w:jc w:val="center"/>
                    <w:rPr>
                      <w:rFonts w:ascii="Times New Roman"/>
                      <w:sz w:val="21"/>
                      <w:szCs w:val="21"/>
                    </w:rPr>
                  </w:pPr>
                </w:p>
              </w:tc>
              <w:tc>
                <w:tcPr>
                  <w:tcW w:w="466" w:type="pct"/>
                  <w:noWrap w:val="0"/>
                  <w:vAlign w:val="center"/>
                </w:tcPr>
                <w:p w14:paraId="1142DCFA">
                  <w:pPr>
                    <w:widowControl/>
                    <w:adjustRightInd w:val="0"/>
                    <w:snapToGrid w:val="0"/>
                    <w:jc w:val="center"/>
                    <w:rPr>
                      <w:rFonts w:hint="eastAsia" w:ascii="Times New Roman" w:eastAsia="宋体"/>
                      <w:sz w:val="21"/>
                      <w:szCs w:val="21"/>
                      <w:lang w:val="en-US" w:eastAsia="zh-CN"/>
                    </w:rPr>
                  </w:pPr>
                  <w:r>
                    <w:rPr>
                      <w:rFonts w:hint="eastAsia"/>
                      <w:kern w:val="0"/>
                      <w:szCs w:val="21"/>
                      <w:lang w:val="en-US" w:eastAsia="zh-CN"/>
                    </w:rPr>
                    <w:t>南侧</w:t>
                  </w:r>
                </w:p>
              </w:tc>
              <w:tc>
                <w:tcPr>
                  <w:tcW w:w="536" w:type="pct"/>
                  <w:noWrap w:val="0"/>
                  <w:vAlign w:val="center"/>
                </w:tcPr>
                <w:p w14:paraId="252FB8BE">
                  <w:pPr>
                    <w:pStyle w:val="19"/>
                    <w:spacing w:line="240" w:lineRule="auto"/>
                    <w:ind w:firstLine="0"/>
                    <w:jc w:val="center"/>
                    <w:rPr>
                      <w:rFonts w:hint="default" w:ascii="Times New Roman"/>
                      <w:sz w:val="21"/>
                      <w:szCs w:val="21"/>
                      <w:lang w:val="en-US" w:eastAsia="zh-CN"/>
                    </w:rPr>
                  </w:pPr>
                  <w:r>
                    <w:rPr>
                      <w:rFonts w:hint="eastAsia" w:ascii="Times New Roman"/>
                      <w:sz w:val="21"/>
                      <w:szCs w:val="21"/>
                      <w:lang w:val="en-US" w:eastAsia="zh-CN"/>
                    </w:rPr>
                    <w:t>320</w:t>
                  </w:r>
                </w:p>
              </w:tc>
            </w:tr>
            <w:tr w14:paraId="4AF814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45" w:type="pct"/>
                  <w:vMerge w:val="continue"/>
                  <w:noWrap w:val="0"/>
                  <w:vAlign w:val="center"/>
                </w:tcPr>
                <w:p w14:paraId="0736873E">
                  <w:pPr>
                    <w:pStyle w:val="19"/>
                    <w:spacing w:line="240" w:lineRule="auto"/>
                    <w:ind w:firstLine="0"/>
                    <w:jc w:val="center"/>
                    <w:rPr>
                      <w:rFonts w:ascii="Times New Roman"/>
                      <w:sz w:val="21"/>
                      <w:szCs w:val="21"/>
                    </w:rPr>
                  </w:pPr>
                </w:p>
              </w:tc>
              <w:tc>
                <w:tcPr>
                  <w:tcW w:w="678" w:type="pct"/>
                  <w:noWrap w:val="0"/>
                  <w:vAlign w:val="center"/>
                </w:tcPr>
                <w:p w14:paraId="44FC072A">
                  <w:pPr>
                    <w:widowControl/>
                    <w:adjustRightInd w:val="0"/>
                    <w:snapToGrid w:val="0"/>
                    <w:jc w:val="center"/>
                    <w:rPr>
                      <w:rFonts w:hint="eastAsia" w:ascii="Times New Roman"/>
                      <w:sz w:val="21"/>
                      <w:szCs w:val="21"/>
                      <w:lang w:eastAsia="zh-CN"/>
                    </w:rPr>
                  </w:pPr>
                  <w:r>
                    <w:rPr>
                      <w:rFonts w:hint="eastAsia"/>
                      <w:kern w:val="0"/>
                      <w:szCs w:val="21"/>
                      <w:lang w:val="en-US" w:eastAsia="zh-CN"/>
                    </w:rPr>
                    <w:t>潘三中学</w:t>
                  </w:r>
                </w:p>
              </w:tc>
              <w:tc>
                <w:tcPr>
                  <w:tcW w:w="597" w:type="pct"/>
                  <w:noWrap w:val="0"/>
                  <w:vAlign w:val="center"/>
                </w:tcPr>
                <w:p w14:paraId="615C15FD">
                  <w:pPr>
                    <w:pStyle w:val="19"/>
                    <w:spacing w:line="240" w:lineRule="auto"/>
                    <w:ind w:firstLine="0"/>
                    <w:jc w:val="center"/>
                    <w:rPr>
                      <w:rFonts w:hint="default" w:ascii="Times New Roman" w:eastAsia="宋体"/>
                      <w:sz w:val="21"/>
                      <w:szCs w:val="21"/>
                      <w:lang w:val="en-US" w:eastAsia="zh-CN"/>
                    </w:rPr>
                  </w:pPr>
                  <w:r>
                    <w:rPr>
                      <w:rFonts w:hint="eastAsia" w:ascii="Times New Roman"/>
                      <w:sz w:val="21"/>
                      <w:szCs w:val="21"/>
                      <w:lang w:val="en-US" w:eastAsia="zh-CN"/>
                    </w:rPr>
                    <w:t>116.741836</w:t>
                  </w:r>
                </w:p>
              </w:tc>
              <w:tc>
                <w:tcPr>
                  <w:tcW w:w="479" w:type="pct"/>
                  <w:noWrap w:val="0"/>
                  <w:vAlign w:val="center"/>
                </w:tcPr>
                <w:p w14:paraId="062ABEE6">
                  <w:pPr>
                    <w:pStyle w:val="19"/>
                    <w:spacing w:line="240" w:lineRule="auto"/>
                    <w:ind w:firstLine="0"/>
                    <w:jc w:val="center"/>
                    <w:rPr>
                      <w:rFonts w:hint="default" w:ascii="Times New Roman" w:eastAsia="宋体"/>
                      <w:sz w:val="21"/>
                      <w:szCs w:val="21"/>
                      <w:lang w:val="en-US" w:eastAsia="zh-CN"/>
                    </w:rPr>
                  </w:pPr>
                  <w:r>
                    <w:rPr>
                      <w:rFonts w:hint="eastAsia" w:ascii="Times New Roman"/>
                      <w:sz w:val="21"/>
                      <w:szCs w:val="21"/>
                      <w:lang w:val="en-US" w:eastAsia="zh-CN"/>
                    </w:rPr>
                    <w:t>32.810696</w:t>
                  </w:r>
                </w:p>
              </w:tc>
              <w:tc>
                <w:tcPr>
                  <w:tcW w:w="403" w:type="pct"/>
                  <w:noWrap w:val="0"/>
                  <w:vAlign w:val="center"/>
                </w:tcPr>
                <w:p w14:paraId="53D4A6F9">
                  <w:pPr>
                    <w:widowControl/>
                    <w:adjustRightInd w:val="0"/>
                    <w:snapToGrid w:val="0"/>
                    <w:jc w:val="center"/>
                    <w:rPr>
                      <w:rFonts w:hint="eastAsia" w:ascii="Times New Roman" w:eastAsia="宋体"/>
                      <w:sz w:val="21"/>
                      <w:szCs w:val="21"/>
                      <w:lang w:eastAsia="zh-CN"/>
                    </w:rPr>
                  </w:pPr>
                  <w:r>
                    <w:rPr>
                      <w:rFonts w:hint="eastAsia"/>
                      <w:kern w:val="0"/>
                      <w:szCs w:val="21"/>
                      <w:lang w:val="en-US" w:eastAsia="zh-CN"/>
                    </w:rPr>
                    <w:t>师生</w:t>
                  </w:r>
                </w:p>
              </w:tc>
              <w:tc>
                <w:tcPr>
                  <w:tcW w:w="642" w:type="pct"/>
                  <w:noWrap w:val="0"/>
                  <w:vAlign w:val="center"/>
                </w:tcPr>
                <w:p w14:paraId="72C68A3B">
                  <w:pPr>
                    <w:widowControl/>
                    <w:adjustRightInd w:val="0"/>
                    <w:snapToGrid w:val="0"/>
                    <w:jc w:val="center"/>
                    <w:rPr>
                      <w:rFonts w:hint="default" w:ascii="Times New Roman" w:eastAsia="宋体"/>
                      <w:sz w:val="21"/>
                      <w:szCs w:val="21"/>
                      <w:lang w:val="en-US" w:eastAsia="zh-CN"/>
                    </w:rPr>
                  </w:pPr>
                  <w:r>
                    <w:rPr>
                      <w:rFonts w:hint="eastAsia"/>
                      <w:kern w:val="0"/>
                      <w:szCs w:val="21"/>
                      <w:lang w:val="en-US" w:eastAsia="zh-CN"/>
                    </w:rPr>
                    <w:t>100人</w:t>
                  </w:r>
                </w:p>
              </w:tc>
              <w:tc>
                <w:tcPr>
                  <w:tcW w:w="749" w:type="pct"/>
                  <w:vMerge w:val="continue"/>
                  <w:noWrap w:val="0"/>
                  <w:vAlign w:val="center"/>
                </w:tcPr>
                <w:p w14:paraId="1E55BCAD">
                  <w:pPr>
                    <w:pStyle w:val="19"/>
                    <w:spacing w:line="240" w:lineRule="auto"/>
                    <w:ind w:firstLine="0"/>
                    <w:jc w:val="center"/>
                    <w:rPr>
                      <w:rFonts w:ascii="Times New Roman"/>
                      <w:sz w:val="21"/>
                      <w:szCs w:val="21"/>
                    </w:rPr>
                  </w:pPr>
                </w:p>
              </w:tc>
              <w:tc>
                <w:tcPr>
                  <w:tcW w:w="466" w:type="pct"/>
                  <w:noWrap w:val="0"/>
                  <w:vAlign w:val="center"/>
                </w:tcPr>
                <w:p w14:paraId="550CD521">
                  <w:pPr>
                    <w:widowControl/>
                    <w:adjustRightInd w:val="0"/>
                    <w:snapToGrid w:val="0"/>
                    <w:jc w:val="center"/>
                    <w:rPr>
                      <w:rFonts w:hint="eastAsia" w:ascii="Times New Roman"/>
                      <w:sz w:val="21"/>
                      <w:szCs w:val="21"/>
                      <w:lang w:val="en-US" w:eastAsia="zh-CN"/>
                    </w:rPr>
                  </w:pPr>
                  <w:r>
                    <w:rPr>
                      <w:rFonts w:hint="eastAsia"/>
                      <w:kern w:val="0"/>
                      <w:szCs w:val="21"/>
                      <w:lang w:val="en-US" w:eastAsia="zh-CN"/>
                    </w:rPr>
                    <w:t>南侧</w:t>
                  </w:r>
                </w:p>
              </w:tc>
              <w:tc>
                <w:tcPr>
                  <w:tcW w:w="536" w:type="pct"/>
                  <w:noWrap w:val="0"/>
                  <w:vAlign w:val="center"/>
                </w:tcPr>
                <w:p w14:paraId="0234193F">
                  <w:pPr>
                    <w:pStyle w:val="19"/>
                    <w:spacing w:line="240" w:lineRule="auto"/>
                    <w:ind w:firstLine="0"/>
                    <w:jc w:val="center"/>
                    <w:rPr>
                      <w:rFonts w:hint="default" w:ascii="Times New Roman"/>
                      <w:sz w:val="21"/>
                      <w:szCs w:val="21"/>
                      <w:lang w:val="en-US" w:eastAsia="zh-CN"/>
                    </w:rPr>
                  </w:pPr>
                  <w:r>
                    <w:rPr>
                      <w:rFonts w:hint="eastAsia" w:ascii="Times New Roman"/>
                      <w:sz w:val="21"/>
                      <w:szCs w:val="21"/>
                      <w:lang w:val="en-US" w:eastAsia="zh-CN"/>
                    </w:rPr>
                    <w:t>450</w:t>
                  </w:r>
                </w:p>
              </w:tc>
            </w:tr>
            <w:tr w14:paraId="709CF8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45" w:type="pct"/>
                  <w:vMerge w:val="continue"/>
                  <w:noWrap w:val="0"/>
                  <w:vAlign w:val="center"/>
                </w:tcPr>
                <w:p w14:paraId="0FDD8320">
                  <w:pPr>
                    <w:pStyle w:val="19"/>
                    <w:spacing w:line="240" w:lineRule="auto"/>
                    <w:ind w:firstLine="0"/>
                    <w:jc w:val="center"/>
                    <w:rPr>
                      <w:rFonts w:ascii="Times New Roman"/>
                      <w:sz w:val="21"/>
                      <w:szCs w:val="21"/>
                    </w:rPr>
                  </w:pPr>
                </w:p>
              </w:tc>
              <w:tc>
                <w:tcPr>
                  <w:tcW w:w="678" w:type="pct"/>
                  <w:noWrap w:val="0"/>
                  <w:vAlign w:val="center"/>
                </w:tcPr>
                <w:p w14:paraId="736F29DB">
                  <w:pPr>
                    <w:widowControl/>
                    <w:adjustRightInd w:val="0"/>
                    <w:snapToGrid w:val="0"/>
                    <w:jc w:val="center"/>
                    <w:rPr>
                      <w:rFonts w:hint="default" w:ascii="Times New Roman" w:eastAsia="宋体"/>
                      <w:sz w:val="21"/>
                      <w:szCs w:val="21"/>
                      <w:lang w:val="en-US" w:eastAsia="zh-CN"/>
                    </w:rPr>
                  </w:pPr>
                  <w:r>
                    <w:rPr>
                      <w:rFonts w:hint="eastAsia"/>
                      <w:kern w:val="0"/>
                      <w:szCs w:val="21"/>
                      <w:lang w:val="en-US" w:eastAsia="zh-CN"/>
                    </w:rPr>
                    <w:t>潘三新村七小区</w:t>
                  </w:r>
                </w:p>
              </w:tc>
              <w:tc>
                <w:tcPr>
                  <w:tcW w:w="597" w:type="pct"/>
                  <w:noWrap w:val="0"/>
                  <w:vAlign w:val="center"/>
                </w:tcPr>
                <w:p w14:paraId="767C2B8B">
                  <w:pPr>
                    <w:pStyle w:val="19"/>
                    <w:spacing w:line="240" w:lineRule="auto"/>
                    <w:ind w:firstLine="0"/>
                    <w:jc w:val="center"/>
                    <w:rPr>
                      <w:rFonts w:hint="default" w:ascii="Times New Roman" w:eastAsia="宋体"/>
                      <w:sz w:val="21"/>
                      <w:szCs w:val="21"/>
                      <w:lang w:val="en-US" w:eastAsia="zh-CN"/>
                    </w:rPr>
                  </w:pPr>
                  <w:r>
                    <w:rPr>
                      <w:rFonts w:hint="eastAsia" w:ascii="Times New Roman"/>
                      <w:sz w:val="21"/>
                      <w:szCs w:val="21"/>
                      <w:lang w:val="en-US" w:eastAsia="zh-CN"/>
                    </w:rPr>
                    <w:t>116.744368</w:t>
                  </w:r>
                </w:p>
              </w:tc>
              <w:tc>
                <w:tcPr>
                  <w:tcW w:w="479" w:type="pct"/>
                  <w:noWrap w:val="0"/>
                  <w:vAlign w:val="center"/>
                </w:tcPr>
                <w:p w14:paraId="5D68D11E">
                  <w:pPr>
                    <w:pStyle w:val="19"/>
                    <w:spacing w:line="240" w:lineRule="auto"/>
                    <w:ind w:firstLine="0"/>
                    <w:jc w:val="center"/>
                    <w:rPr>
                      <w:rFonts w:hint="default" w:ascii="Times New Roman" w:eastAsia="宋体"/>
                      <w:sz w:val="21"/>
                      <w:szCs w:val="21"/>
                      <w:lang w:val="en-US" w:eastAsia="zh-CN"/>
                    </w:rPr>
                  </w:pPr>
                  <w:r>
                    <w:rPr>
                      <w:rFonts w:hint="eastAsia" w:ascii="Times New Roman"/>
                      <w:sz w:val="21"/>
                      <w:szCs w:val="21"/>
                      <w:lang w:val="en-US" w:eastAsia="zh-CN"/>
                    </w:rPr>
                    <w:t>32.813924</w:t>
                  </w:r>
                </w:p>
              </w:tc>
              <w:tc>
                <w:tcPr>
                  <w:tcW w:w="403" w:type="pct"/>
                  <w:noWrap w:val="0"/>
                  <w:vAlign w:val="center"/>
                </w:tcPr>
                <w:p w14:paraId="7D9E68BC">
                  <w:pPr>
                    <w:widowControl/>
                    <w:adjustRightInd w:val="0"/>
                    <w:snapToGrid w:val="0"/>
                    <w:jc w:val="center"/>
                    <w:rPr>
                      <w:rFonts w:hint="eastAsia" w:ascii="Times New Roman"/>
                      <w:sz w:val="21"/>
                      <w:szCs w:val="21"/>
                      <w:lang w:eastAsia="zh-CN"/>
                    </w:rPr>
                  </w:pPr>
                  <w:r>
                    <w:rPr>
                      <w:kern w:val="0"/>
                      <w:szCs w:val="21"/>
                    </w:rPr>
                    <w:t>居民</w:t>
                  </w:r>
                </w:p>
              </w:tc>
              <w:tc>
                <w:tcPr>
                  <w:tcW w:w="642" w:type="pct"/>
                  <w:noWrap w:val="0"/>
                  <w:vAlign w:val="center"/>
                </w:tcPr>
                <w:p w14:paraId="24D311E1">
                  <w:pPr>
                    <w:widowControl/>
                    <w:adjustRightInd w:val="0"/>
                    <w:snapToGrid w:val="0"/>
                    <w:jc w:val="center"/>
                    <w:rPr>
                      <w:rFonts w:hint="eastAsia" w:ascii="Times New Roman"/>
                      <w:sz w:val="21"/>
                      <w:szCs w:val="21"/>
                      <w:lang w:val="en-US" w:eastAsia="zh-CN"/>
                    </w:rPr>
                  </w:pPr>
                  <w:r>
                    <w:rPr>
                      <w:rFonts w:hint="eastAsia"/>
                      <w:kern w:val="0"/>
                      <w:szCs w:val="21"/>
                      <w:lang w:val="en-US" w:eastAsia="zh-CN"/>
                    </w:rPr>
                    <w:t>300</w:t>
                  </w:r>
                  <w:r>
                    <w:rPr>
                      <w:kern w:val="0"/>
                      <w:szCs w:val="21"/>
                    </w:rPr>
                    <w:t>户/</w:t>
                  </w:r>
                  <w:r>
                    <w:rPr>
                      <w:rFonts w:hint="eastAsia"/>
                      <w:kern w:val="0"/>
                      <w:szCs w:val="21"/>
                      <w:lang w:val="en-US" w:eastAsia="zh-CN"/>
                    </w:rPr>
                    <w:t>1000</w:t>
                  </w:r>
                  <w:r>
                    <w:rPr>
                      <w:kern w:val="0"/>
                      <w:szCs w:val="21"/>
                    </w:rPr>
                    <w:t>人</w:t>
                  </w:r>
                </w:p>
              </w:tc>
              <w:tc>
                <w:tcPr>
                  <w:tcW w:w="749" w:type="pct"/>
                  <w:vMerge w:val="continue"/>
                  <w:noWrap w:val="0"/>
                  <w:vAlign w:val="center"/>
                </w:tcPr>
                <w:p w14:paraId="439D34C3">
                  <w:pPr>
                    <w:pStyle w:val="19"/>
                    <w:spacing w:line="240" w:lineRule="auto"/>
                    <w:ind w:firstLine="0"/>
                    <w:jc w:val="center"/>
                    <w:rPr>
                      <w:rFonts w:ascii="Times New Roman"/>
                      <w:sz w:val="21"/>
                      <w:szCs w:val="21"/>
                    </w:rPr>
                  </w:pPr>
                </w:p>
              </w:tc>
              <w:tc>
                <w:tcPr>
                  <w:tcW w:w="466" w:type="pct"/>
                  <w:noWrap w:val="0"/>
                  <w:vAlign w:val="center"/>
                </w:tcPr>
                <w:p w14:paraId="72465005">
                  <w:pPr>
                    <w:widowControl/>
                    <w:adjustRightInd w:val="0"/>
                    <w:snapToGrid w:val="0"/>
                    <w:jc w:val="center"/>
                    <w:rPr>
                      <w:rFonts w:hint="eastAsia" w:ascii="Times New Roman" w:eastAsia="宋体"/>
                      <w:sz w:val="21"/>
                      <w:szCs w:val="21"/>
                      <w:lang w:val="en-US" w:eastAsia="zh-CN"/>
                    </w:rPr>
                  </w:pPr>
                  <w:r>
                    <w:rPr>
                      <w:rFonts w:hint="eastAsia"/>
                      <w:kern w:val="0"/>
                      <w:szCs w:val="21"/>
                      <w:lang w:val="en-US" w:eastAsia="zh-CN"/>
                    </w:rPr>
                    <w:t>东南侧</w:t>
                  </w:r>
                </w:p>
              </w:tc>
              <w:tc>
                <w:tcPr>
                  <w:tcW w:w="536" w:type="pct"/>
                  <w:noWrap w:val="0"/>
                  <w:vAlign w:val="center"/>
                </w:tcPr>
                <w:p w14:paraId="7FEE1F9E">
                  <w:pPr>
                    <w:pStyle w:val="19"/>
                    <w:spacing w:line="240" w:lineRule="auto"/>
                    <w:ind w:firstLine="0"/>
                    <w:jc w:val="center"/>
                    <w:rPr>
                      <w:rFonts w:hint="default" w:ascii="Times New Roman"/>
                      <w:sz w:val="21"/>
                      <w:szCs w:val="21"/>
                      <w:lang w:val="en-US" w:eastAsia="zh-CN"/>
                    </w:rPr>
                  </w:pPr>
                  <w:r>
                    <w:rPr>
                      <w:rFonts w:hint="eastAsia" w:ascii="Times New Roman"/>
                      <w:sz w:val="21"/>
                      <w:szCs w:val="21"/>
                      <w:lang w:val="en-US" w:eastAsia="zh-CN"/>
                    </w:rPr>
                    <w:t>140</w:t>
                  </w:r>
                </w:p>
              </w:tc>
            </w:tr>
            <w:tr w14:paraId="5404A3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45" w:type="pct"/>
                  <w:vMerge w:val="continue"/>
                  <w:noWrap w:val="0"/>
                  <w:vAlign w:val="center"/>
                </w:tcPr>
                <w:p w14:paraId="54B53DC9">
                  <w:pPr>
                    <w:pStyle w:val="19"/>
                    <w:spacing w:line="240" w:lineRule="auto"/>
                    <w:ind w:firstLine="0"/>
                    <w:jc w:val="center"/>
                    <w:rPr>
                      <w:rFonts w:ascii="Times New Roman"/>
                      <w:sz w:val="21"/>
                      <w:szCs w:val="21"/>
                    </w:rPr>
                  </w:pPr>
                </w:p>
              </w:tc>
              <w:tc>
                <w:tcPr>
                  <w:tcW w:w="678" w:type="pct"/>
                  <w:noWrap w:val="0"/>
                  <w:vAlign w:val="center"/>
                </w:tcPr>
                <w:p w14:paraId="3515804A">
                  <w:pPr>
                    <w:widowControl/>
                    <w:adjustRightInd w:val="0"/>
                    <w:snapToGrid w:val="0"/>
                    <w:jc w:val="center"/>
                    <w:rPr>
                      <w:rFonts w:hint="eastAsia" w:ascii="Times New Roman"/>
                      <w:sz w:val="21"/>
                      <w:szCs w:val="21"/>
                      <w:lang w:eastAsia="zh-CN"/>
                    </w:rPr>
                  </w:pPr>
                  <w:r>
                    <w:rPr>
                      <w:rFonts w:hint="eastAsia"/>
                      <w:kern w:val="0"/>
                      <w:szCs w:val="21"/>
                      <w:lang w:val="en-US" w:eastAsia="zh-CN"/>
                    </w:rPr>
                    <w:t>医院东侧商铺</w:t>
                  </w:r>
                </w:p>
              </w:tc>
              <w:tc>
                <w:tcPr>
                  <w:tcW w:w="597" w:type="pct"/>
                  <w:noWrap w:val="0"/>
                  <w:vAlign w:val="center"/>
                </w:tcPr>
                <w:p w14:paraId="0E63B4F5">
                  <w:pPr>
                    <w:pStyle w:val="19"/>
                    <w:spacing w:line="240" w:lineRule="auto"/>
                    <w:ind w:firstLine="0"/>
                    <w:jc w:val="center"/>
                    <w:rPr>
                      <w:rFonts w:hint="default" w:ascii="Times New Roman" w:eastAsia="宋体"/>
                      <w:sz w:val="21"/>
                      <w:szCs w:val="21"/>
                      <w:lang w:val="en-US" w:eastAsia="zh-CN"/>
                    </w:rPr>
                  </w:pPr>
                  <w:r>
                    <w:rPr>
                      <w:rFonts w:hint="eastAsia" w:ascii="Times New Roman"/>
                      <w:sz w:val="21"/>
                      <w:szCs w:val="21"/>
                      <w:lang w:val="en-US" w:eastAsia="zh-CN"/>
                    </w:rPr>
                    <w:t>116.743489</w:t>
                  </w:r>
                </w:p>
              </w:tc>
              <w:tc>
                <w:tcPr>
                  <w:tcW w:w="479" w:type="pct"/>
                  <w:noWrap w:val="0"/>
                  <w:vAlign w:val="center"/>
                </w:tcPr>
                <w:p w14:paraId="766081BA">
                  <w:pPr>
                    <w:pStyle w:val="19"/>
                    <w:spacing w:line="240" w:lineRule="auto"/>
                    <w:ind w:firstLine="0"/>
                    <w:jc w:val="center"/>
                    <w:rPr>
                      <w:rFonts w:hint="default" w:ascii="Times New Roman" w:eastAsia="宋体"/>
                      <w:sz w:val="21"/>
                      <w:szCs w:val="21"/>
                      <w:lang w:val="en-US" w:eastAsia="zh-CN"/>
                    </w:rPr>
                  </w:pPr>
                  <w:r>
                    <w:rPr>
                      <w:rFonts w:hint="eastAsia" w:ascii="Times New Roman"/>
                      <w:sz w:val="21"/>
                      <w:szCs w:val="21"/>
                      <w:lang w:val="en-US" w:eastAsia="zh-CN"/>
                    </w:rPr>
                    <w:t>32.815529</w:t>
                  </w:r>
                </w:p>
              </w:tc>
              <w:tc>
                <w:tcPr>
                  <w:tcW w:w="403" w:type="pct"/>
                  <w:noWrap w:val="0"/>
                  <w:vAlign w:val="center"/>
                </w:tcPr>
                <w:p w14:paraId="77F803CC">
                  <w:pPr>
                    <w:widowControl/>
                    <w:adjustRightInd w:val="0"/>
                    <w:snapToGrid w:val="0"/>
                    <w:jc w:val="center"/>
                    <w:rPr>
                      <w:rFonts w:hint="eastAsia" w:ascii="Times New Roman"/>
                      <w:sz w:val="21"/>
                      <w:szCs w:val="21"/>
                      <w:lang w:eastAsia="zh-CN"/>
                    </w:rPr>
                  </w:pPr>
                  <w:r>
                    <w:rPr>
                      <w:rFonts w:hint="eastAsia"/>
                      <w:kern w:val="0"/>
                      <w:szCs w:val="21"/>
                      <w:lang w:val="en-US" w:eastAsia="zh-CN"/>
                    </w:rPr>
                    <w:t>居民</w:t>
                  </w:r>
                </w:p>
              </w:tc>
              <w:tc>
                <w:tcPr>
                  <w:tcW w:w="642" w:type="pct"/>
                  <w:noWrap w:val="0"/>
                  <w:vAlign w:val="center"/>
                </w:tcPr>
                <w:p w14:paraId="365AB0CB">
                  <w:pPr>
                    <w:widowControl/>
                    <w:adjustRightInd w:val="0"/>
                    <w:snapToGrid w:val="0"/>
                    <w:jc w:val="center"/>
                    <w:rPr>
                      <w:rFonts w:hint="eastAsia" w:ascii="Times New Roman"/>
                      <w:sz w:val="21"/>
                      <w:szCs w:val="21"/>
                      <w:lang w:val="en-US" w:eastAsia="zh-CN"/>
                    </w:rPr>
                  </w:pPr>
                  <w:r>
                    <w:rPr>
                      <w:rFonts w:hint="eastAsia"/>
                      <w:kern w:val="0"/>
                      <w:szCs w:val="21"/>
                      <w:lang w:val="en-US" w:eastAsia="zh-CN"/>
                    </w:rPr>
                    <w:t>约50人</w:t>
                  </w:r>
                </w:p>
              </w:tc>
              <w:tc>
                <w:tcPr>
                  <w:tcW w:w="749" w:type="pct"/>
                  <w:vMerge w:val="continue"/>
                  <w:noWrap w:val="0"/>
                  <w:vAlign w:val="center"/>
                </w:tcPr>
                <w:p w14:paraId="01F75CC3">
                  <w:pPr>
                    <w:pStyle w:val="19"/>
                    <w:spacing w:line="240" w:lineRule="auto"/>
                    <w:ind w:firstLine="0"/>
                    <w:jc w:val="center"/>
                    <w:rPr>
                      <w:rFonts w:ascii="Times New Roman"/>
                      <w:sz w:val="21"/>
                      <w:szCs w:val="21"/>
                    </w:rPr>
                  </w:pPr>
                </w:p>
              </w:tc>
              <w:tc>
                <w:tcPr>
                  <w:tcW w:w="466" w:type="pct"/>
                  <w:noWrap w:val="0"/>
                  <w:vAlign w:val="center"/>
                </w:tcPr>
                <w:p w14:paraId="2AA94264">
                  <w:pPr>
                    <w:widowControl/>
                    <w:adjustRightInd w:val="0"/>
                    <w:snapToGrid w:val="0"/>
                    <w:jc w:val="center"/>
                    <w:rPr>
                      <w:rFonts w:hint="eastAsia" w:ascii="Times New Roman" w:eastAsia="宋体"/>
                      <w:sz w:val="21"/>
                      <w:szCs w:val="21"/>
                      <w:lang w:val="en-US" w:eastAsia="zh-CN"/>
                    </w:rPr>
                  </w:pPr>
                  <w:r>
                    <w:rPr>
                      <w:rFonts w:hint="eastAsia"/>
                      <w:kern w:val="0"/>
                      <w:szCs w:val="21"/>
                      <w:lang w:val="en-US" w:eastAsia="zh-CN"/>
                    </w:rPr>
                    <w:t>东侧</w:t>
                  </w:r>
                </w:p>
              </w:tc>
              <w:tc>
                <w:tcPr>
                  <w:tcW w:w="536" w:type="pct"/>
                  <w:noWrap w:val="0"/>
                  <w:vAlign w:val="center"/>
                </w:tcPr>
                <w:p w14:paraId="7E81B2C8">
                  <w:pPr>
                    <w:pStyle w:val="19"/>
                    <w:spacing w:line="240" w:lineRule="auto"/>
                    <w:ind w:firstLine="0"/>
                    <w:jc w:val="center"/>
                    <w:rPr>
                      <w:rFonts w:hint="default" w:ascii="Times New Roman"/>
                      <w:sz w:val="21"/>
                      <w:szCs w:val="21"/>
                      <w:lang w:val="en-US" w:eastAsia="zh-CN"/>
                    </w:rPr>
                  </w:pPr>
                  <w:r>
                    <w:rPr>
                      <w:rFonts w:hint="eastAsia" w:ascii="Times New Roman"/>
                      <w:sz w:val="21"/>
                      <w:szCs w:val="21"/>
                      <w:lang w:val="en-US" w:eastAsia="zh-CN"/>
                    </w:rPr>
                    <w:t>10</w:t>
                  </w:r>
                </w:p>
              </w:tc>
            </w:tr>
            <w:tr w14:paraId="4BAB34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445" w:type="pct"/>
                  <w:vMerge w:val="restart"/>
                  <w:noWrap w:val="0"/>
                  <w:vAlign w:val="center"/>
                </w:tcPr>
                <w:p w14:paraId="12952C12">
                  <w:pPr>
                    <w:pStyle w:val="19"/>
                    <w:spacing w:line="240" w:lineRule="auto"/>
                    <w:ind w:firstLine="0"/>
                    <w:jc w:val="center"/>
                    <w:rPr>
                      <w:rFonts w:ascii="Times New Roman"/>
                      <w:sz w:val="21"/>
                      <w:szCs w:val="21"/>
                    </w:rPr>
                  </w:pPr>
                  <w:r>
                    <w:rPr>
                      <w:rFonts w:ascii="Times New Roman"/>
                      <w:sz w:val="21"/>
                      <w:szCs w:val="21"/>
                    </w:rPr>
                    <w:t>声环境</w:t>
                  </w:r>
                </w:p>
              </w:tc>
              <w:tc>
                <w:tcPr>
                  <w:tcW w:w="678" w:type="pct"/>
                  <w:noWrap w:val="0"/>
                  <w:vAlign w:val="center"/>
                </w:tcPr>
                <w:p w14:paraId="5F175537">
                  <w:pPr>
                    <w:widowControl/>
                    <w:adjustRightInd w:val="0"/>
                    <w:snapToGrid w:val="0"/>
                    <w:jc w:val="center"/>
                    <w:rPr>
                      <w:rFonts w:hint="default" w:ascii="Times New Roman" w:eastAsia="宋体"/>
                      <w:sz w:val="21"/>
                      <w:szCs w:val="21"/>
                      <w:highlight w:val="none"/>
                      <w:lang w:val="en-US" w:eastAsia="zh-CN"/>
                    </w:rPr>
                  </w:pPr>
                  <w:r>
                    <w:rPr>
                      <w:rFonts w:hint="eastAsia"/>
                      <w:kern w:val="0"/>
                      <w:sz w:val="21"/>
                      <w:szCs w:val="21"/>
                      <w:lang w:val="en-US" w:eastAsia="zh-CN"/>
                    </w:rPr>
                    <w:t>康馨苑小区</w:t>
                  </w:r>
                </w:p>
              </w:tc>
              <w:tc>
                <w:tcPr>
                  <w:tcW w:w="597" w:type="pct"/>
                  <w:noWrap w:val="0"/>
                  <w:vAlign w:val="center"/>
                </w:tcPr>
                <w:p w14:paraId="4F4E2A37">
                  <w:pPr>
                    <w:pStyle w:val="19"/>
                    <w:spacing w:line="240" w:lineRule="auto"/>
                    <w:ind w:firstLine="0" w:firstLineChars="0"/>
                    <w:jc w:val="center"/>
                    <w:rPr>
                      <w:rFonts w:hint="default" w:ascii="Times New Roman" w:hAnsi="Times New Roman" w:eastAsia="宋体" w:cs="Times New Roman"/>
                      <w:sz w:val="21"/>
                      <w:szCs w:val="21"/>
                      <w:lang w:val="en-US" w:eastAsia="zh-CN"/>
                    </w:rPr>
                  </w:pPr>
                  <w:r>
                    <w:rPr>
                      <w:rFonts w:hint="eastAsia" w:ascii="Times New Roman"/>
                      <w:sz w:val="21"/>
                      <w:szCs w:val="21"/>
                      <w:highlight w:val="none"/>
                    </w:rPr>
                    <w:t>116.741364</w:t>
                  </w:r>
                </w:p>
              </w:tc>
              <w:tc>
                <w:tcPr>
                  <w:tcW w:w="479" w:type="pct"/>
                  <w:noWrap w:val="0"/>
                  <w:vAlign w:val="center"/>
                </w:tcPr>
                <w:p w14:paraId="1B9EB386">
                  <w:pPr>
                    <w:pStyle w:val="19"/>
                    <w:spacing w:line="240" w:lineRule="auto"/>
                    <w:ind w:firstLine="0" w:firstLineChars="0"/>
                    <w:jc w:val="center"/>
                    <w:rPr>
                      <w:rFonts w:hint="default" w:ascii="Times New Roman" w:hAnsi="Times New Roman" w:eastAsia="宋体" w:cs="Times New Roman"/>
                      <w:sz w:val="21"/>
                      <w:szCs w:val="21"/>
                      <w:lang w:val="en-US" w:eastAsia="zh-CN"/>
                    </w:rPr>
                  </w:pPr>
                  <w:r>
                    <w:rPr>
                      <w:rFonts w:hint="eastAsia" w:ascii="Times New Roman"/>
                      <w:sz w:val="21"/>
                      <w:szCs w:val="21"/>
                      <w:highlight w:val="none"/>
                      <w:lang w:val="en-US" w:eastAsia="zh-CN"/>
                    </w:rPr>
                    <w:t>32.815714</w:t>
                  </w:r>
                </w:p>
              </w:tc>
              <w:tc>
                <w:tcPr>
                  <w:tcW w:w="403" w:type="pct"/>
                  <w:noWrap w:val="0"/>
                  <w:vAlign w:val="center"/>
                </w:tcPr>
                <w:p w14:paraId="1E7EF736">
                  <w:pPr>
                    <w:pStyle w:val="19"/>
                    <w:spacing w:line="240" w:lineRule="auto"/>
                    <w:ind w:firstLine="0" w:firstLineChars="0"/>
                    <w:jc w:val="center"/>
                    <w:rPr>
                      <w:rFonts w:hint="default" w:ascii="Times New Roman" w:hAnsi="Times New Roman" w:eastAsia="宋体" w:cs="Times New Roman"/>
                      <w:sz w:val="21"/>
                      <w:szCs w:val="21"/>
                      <w:lang w:val="en-US" w:eastAsia="zh-CN"/>
                    </w:rPr>
                  </w:pPr>
                  <w:r>
                    <w:rPr>
                      <w:rFonts w:hint="eastAsia" w:ascii="Times New Roman"/>
                      <w:sz w:val="21"/>
                      <w:szCs w:val="21"/>
                      <w:highlight w:val="none"/>
                      <w:lang w:eastAsia="zh-CN"/>
                    </w:rPr>
                    <w:t>居民</w:t>
                  </w:r>
                </w:p>
              </w:tc>
              <w:tc>
                <w:tcPr>
                  <w:tcW w:w="642" w:type="pct"/>
                  <w:noWrap w:val="0"/>
                  <w:vAlign w:val="center"/>
                </w:tcPr>
                <w:p w14:paraId="23E912E4">
                  <w:pPr>
                    <w:widowControl/>
                    <w:adjustRightInd w:val="0"/>
                    <w:snapToGrid w:val="0"/>
                    <w:jc w:val="center"/>
                    <w:rPr>
                      <w:rFonts w:hint="default" w:ascii="Times New Roman" w:hAnsi="Times New Roman" w:eastAsia="宋体" w:cs="Times New Roman"/>
                      <w:sz w:val="21"/>
                      <w:szCs w:val="21"/>
                      <w:lang w:val="en-US" w:eastAsia="zh-CN"/>
                    </w:rPr>
                  </w:pPr>
                  <w:r>
                    <w:rPr>
                      <w:rFonts w:hint="eastAsia"/>
                      <w:kern w:val="0"/>
                      <w:szCs w:val="21"/>
                      <w:lang w:val="en-US" w:eastAsia="zh-CN"/>
                    </w:rPr>
                    <w:t>5</w:t>
                  </w:r>
                  <w:r>
                    <w:rPr>
                      <w:kern w:val="0"/>
                      <w:szCs w:val="21"/>
                    </w:rPr>
                    <w:t>户/</w:t>
                  </w:r>
                  <w:r>
                    <w:rPr>
                      <w:rFonts w:hint="eastAsia"/>
                      <w:kern w:val="0"/>
                      <w:szCs w:val="21"/>
                      <w:lang w:val="en-US" w:eastAsia="zh-CN"/>
                    </w:rPr>
                    <w:t>约10</w:t>
                  </w:r>
                  <w:r>
                    <w:rPr>
                      <w:kern w:val="0"/>
                      <w:szCs w:val="21"/>
                    </w:rPr>
                    <w:t>人</w:t>
                  </w:r>
                </w:p>
              </w:tc>
              <w:tc>
                <w:tcPr>
                  <w:tcW w:w="749" w:type="pct"/>
                  <w:vMerge w:val="restart"/>
                  <w:noWrap w:val="0"/>
                  <w:vAlign w:val="center"/>
                </w:tcPr>
                <w:p w14:paraId="6D6E259F">
                  <w:pPr>
                    <w:pStyle w:val="19"/>
                    <w:spacing w:line="240" w:lineRule="auto"/>
                    <w:ind w:firstLine="0"/>
                    <w:jc w:val="center"/>
                    <w:rPr>
                      <w:rFonts w:ascii="Times New Roman"/>
                      <w:sz w:val="21"/>
                      <w:szCs w:val="21"/>
                    </w:rPr>
                  </w:pPr>
                  <w:r>
                    <w:rPr>
                      <w:rFonts w:ascii="Times New Roman"/>
                      <w:sz w:val="21"/>
                      <w:szCs w:val="21"/>
                    </w:rPr>
                    <w:t>《声环境质量标准》（GB3096-2008）</w:t>
                  </w:r>
                  <w:r>
                    <w:rPr>
                      <w:rFonts w:hint="eastAsia" w:ascii="Times New Roman"/>
                      <w:sz w:val="21"/>
                      <w:szCs w:val="21"/>
                      <w:lang w:val="en-US" w:eastAsia="zh-CN"/>
                    </w:rPr>
                    <w:t>1</w:t>
                  </w:r>
                  <w:r>
                    <w:rPr>
                      <w:rFonts w:ascii="Times New Roman"/>
                      <w:sz w:val="21"/>
                      <w:szCs w:val="21"/>
                    </w:rPr>
                    <w:t>类标准。</w:t>
                  </w:r>
                </w:p>
              </w:tc>
              <w:tc>
                <w:tcPr>
                  <w:tcW w:w="466" w:type="pct"/>
                  <w:noWrap w:val="0"/>
                  <w:vAlign w:val="center"/>
                </w:tcPr>
                <w:p w14:paraId="7A893E1A">
                  <w:pPr>
                    <w:pStyle w:val="19"/>
                    <w:spacing w:line="240" w:lineRule="auto"/>
                    <w:ind w:firstLine="0" w:firstLineChars="0"/>
                    <w:jc w:val="center"/>
                    <w:rPr>
                      <w:rFonts w:hint="eastAsia" w:ascii="Times New Roman" w:eastAsia="宋体"/>
                      <w:sz w:val="21"/>
                      <w:szCs w:val="21"/>
                      <w:lang w:eastAsia="zh-CN"/>
                    </w:rPr>
                  </w:pPr>
                  <w:r>
                    <w:rPr>
                      <w:rFonts w:hint="eastAsia" w:ascii="Times New Roman"/>
                      <w:sz w:val="21"/>
                      <w:szCs w:val="21"/>
                      <w:highlight w:val="none"/>
                      <w:lang w:val="en-US" w:eastAsia="zh-CN"/>
                    </w:rPr>
                    <w:t>西侧</w:t>
                  </w:r>
                </w:p>
              </w:tc>
              <w:tc>
                <w:tcPr>
                  <w:tcW w:w="536" w:type="pct"/>
                  <w:noWrap w:val="0"/>
                  <w:vAlign w:val="center"/>
                </w:tcPr>
                <w:p w14:paraId="787493DD">
                  <w:pPr>
                    <w:pStyle w:val="19"/>
                    <w:spacing w:line="240" w:lineRule="auto"/>
                    <w:ind w:firstLine="0" w:firstLineChars="0"/>
                    <w:jc w:val="center"/>
                    <w:rPr>
                      <w:rFonts w:hint="default" w:ascii="Times New Roman" w:eastAsia="宋体"/>
                      <w:color w:val="auto"/>
                      <w:sz w:val="21"/>
                      <w:szCs w:val="21"/>
                      <w:lang w:val="en-US" w:eastAsia="zh-CN"/>
                    </w:rPr>
                  </w:pPr>
                  <w:r>
                    <w:rPr>
                      <w:rFonts w:hint="eastAsia" w:ascii="Times New Roman"/>
                      <w:color w:val="auto"/>
                      <w:sz w:val="21"/>
                      <w:szCs w:val="21"/>
                      <w:highlight w:val="none"/>
                      <w:lang w:val="en-US" w:eastAsia="zh-CN"/>
                    </w:rPr>
                    <w:t>40</w:t>
                  </w:r>
                </w:p>
              </w:tc>
            </w:tr>
            <w:tr w14:paraId="69D684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45" w:type="pct"/>
                  <w:vMerge w:val="continue"/>
                  <w:noWrap w:val="0"/>
                  <w:vAlign w:val="center"/>
                </w:tcPr>
                <w:p w14:paraId="23B86854">
                  <w:pPr>
                    <w:pStyle w:val="19"/>
                    <w:spacing w:line="240" w:lineRule="auto"/>
                    <w:ind w:firstLine="0"/>
                    <w:jc w:val="center"/>
                    <w:rPr>
                      <w:kern w:val="0"/>
                      <w:szCs w:val="21"/>
                    </w:rPr>
                  </w:pPr>
                </w:p>
              </w:tc>
              <w:tc>
                <w:tcPr>
                  <w:tcW w:w="678" w:type="pct"/>
                  <w:noWrap w:val="0"/>
                  <w:vAlign w:val="center"/>
                </w:tcPr>
                <w:p w14:paraId="7638CE3B">
                  <w:pPr>
                    <w:widowControl/>
                    <w:adjustRightInd w:val="0"/>
                    <w:snapToGrid w:val="0"/>
                    <w:jc w:val="center"/>
                    <w:rPr>
                      <w:rFonts w:hint="default" w:ascii="Times New Roman" w:eastAsia="宋体"/>
                      <w:sz w:val="21"/>
                      <w:szCs w:val="21"/>
                      <w:highlight w:val="none"/>
                      <w:lang w:val="en-US" w:eastAsia="zh-CN"/>
                    </w:rPr>
                  </w:pPr>
                  <w:r>
                    <w:rPr>
                      <w:rFonts w:hint="eastAsia"/>
                      <w:kern w:val="0"/>
                      <w:szCs w:val="21"/>
                      <w:lang w:val="en-US" w:eastAsia="zh-CN"/>
                    </w:rPr>
                    <w:t>潘三新村小区</w:t>
                  </w:r>
                </w:p>
              </w:tc>
              <w:tc>
                <w:tcPr>
                  <w:tcW w:w="597" w:type="pct"/>
                  <w:noWrap w:val="0"/>
                  <w:vAlign w:val="center"/>
                </w:tcPr>
                <w:p w14:paraId="3E9554B7">
                  <w:pPr>
                    <w:pStyle w:val="19"/>
                    <w:spacing w:line="240" w:lineRule="auto"/>
                    <w:ind w:firstLine="0" w:firstLineChars="0"/>
                    <w:jc w:val="center"/>
                    <w:rPr>
                      <w:rFonts w:hint="default" w:ascii="Times New Roman" w:hAnsi="Times New Roman" w:eastAsia="宋体" w:cs="Times New Roman"/>
                      <w:sz w:val="21"/>
                      <w:szCs w:val="21"/>
                      <w:lang w:val="en-US" w:eastAsia="zh-CN"/>
                    </w:rPr>
                  </w:pPr>
                  <w:r>
                    <w:rPr>
                      <w:rFonts w:hint="eastAsia" w:ascii="Times New Roman"/>
                      <w:sz w:val="21"/>
                      <w:szCs w:val="21"/>
                      <w:lang w:val="en-US" w:eastAsia="zh-CN"/>
                    </w:rPr>
                    <w:t>116.742201</w:t>
                  </w:r>
                </w:p>
              </w:tc>
              <w:tc>
                <w:tcPr>
                  <w:tcW w:w="479" w:type="pct"/>
                  <w:noWrap w:val="0"/>
                  <w:vAlign w:val="center"/>
                </w:tcPr>
                <w:p w14:paraId="7DA0E007">
                  <w:pPr>
                    <w:pStyle w:val="19"/>
                    <w:spacing w:line="240" w:lineRule="auto"/>
                    <w:ind w:firstLine="0" w:firstLineChars="0"/>
                    <w:jc w:val="center"/>
                    <w:rPr>
                      <w:rFonts w:hint="default" w:ascii="Times New Roman" w:hAnsi="Times New Roman" w:eastAsia="宋体" w:cs="Times New Roman"/>
                      <w:sz w:val="21"/>
                      <w:szCs w:val="21"/>
                      <w:lang w:val="en-US" w:eastAsia="zh-CN"/>
                    </w:rPr>
                  </w:pPr>
                  <w:r>
                    <w:rPr>
                      <w:rFonts w:hint="eastAsia" w:ascii="Times New Roman"/>
                      <w:sz w:val="21"/>
                      <w:szCs w:val="21"/>
                      <w:lang w:val="en-US" w:eastAsia="zh-CN"/>
                    </w:rPr>
                    <w:t>32.814718</w:t>
                  </w:r>
                </w:p>
              </w:tc>
              <w:tc>
                <w:tcPr>
                  <w:tcW w:w="403" w:type="pct"/>
                  <w:noWrap w:val="0"/>
                  <w:vAlign w:val="center"/>
                </w:tcPr>
                <w:p w14:paraId="4FCEADCA">
                  <w:pPr>
                    <w:pStyle w:val="19"/>
                    <w:spacing w:line="240" w:lineRule="auto"/>
                    <w:ind w:firstLine="0" w:firstLineChars="0"/>
                    <w:jc w:val="center"/>
                    <w:rPr>
                      <w:rFonts w:hint="default" w:ascii="Times New Roman" w:hAnsi="Times New Roman" w:eastAsia="宋体" w:cs="Times New Roman"/>
                      <w:sz w:val="21"/>
                      <w:szCs w:val="21"/>
                      <w:lang w:val="en-US" w:eastAsia="zh-CN"/>
                    </w:rPr>
                  </w:pPr>
                  <w:r>
                    <w:rPr>
                      <w:rFonts w:hint="eastAsia" w:ascii="Times New Roman"/>
                      <w:sz w:val="21"/>
                      <w:szCs w:val="21"/>
                      <w:lang w:eastAsia="zh-CN"/>
                    </w:rPr>
                    <w:t>居民</w:t>
                  </w:r>
                </w:p>
              </w:tc>
              <w:tc>
                <w:tcPr>
                  <w:tcW w:w="642" w:type="pct"/>
                  <w:noWrap w:val="0"/>
                  <w:vAlign w:val="center"/>
                </w:tcPr>
                <w:p w14:paraId="0804E88F">
                  <w:pPr>
                    <w:widowControl/>
                    <w:adjustRightInd w:val="0"/>
                    <w:snapToGrid w:val="0"/>
                    <w:jc w:val="center"/>
                    <w:rPr>
                      <w:rFonts w:hint="default" w:ascii="Times New Roman" w:hAnsi="Times New Roman" w:eastAsia="宋体" w:cs="Times New Roman"/>
                      <w:sz w:val="21"/>
                      <w:szCs w:val="21"/>
                      <w:lang w:val="en-US" w:eastAsia="zh-CN"/>
                    </w:rPr>
                  </w:pPr>
                  <w:r>
                    <w:rPr>
                      <w:rFonts w:hint="eastAsia"/>
                      <w:kern w:val="0"/>
                      <w:szCs w:val="21"/>
                      <w:lang w:val="en-US" w:eastAsia="zh-CN"/>
                    </w:rPr>
                    <w:t>20</w:t>
                  </w:r>
                  <w:r>
                    <w:rPr>
                      <w:kern w:val="0"/>
                      <w:szCs w:val="21"/>
                    </w:rPr>
                    <w:t>户/</w:t>
                  </w:r>
                  <w:r>
                    <w:rPr>
                      <w:rFonts w:hint="eastAsia"/>
                      <w:kern w:val="0"/>
                      <w:szCs w:val="21"/>
                      <w:lang w:val="en-US" w:eastAsia="zh-CN"/>
                    </w:rPr>
                    <w:t>76</w:t>
                  </w:r>
                  <w:r>
                    <w:rPr>
                      <w:kern w:val="0"/>
                      <w:szCs w:val="21"/>
                    </w:rPr>
                    <w:t>人</w:t>
                  </w:r>
                </w:p>
              </w:tc>
              <w:tc>
                <w:tcPr>
                  <w:tcW w:w="749" w:type="pct"/>
                  <w:vMerge w:val="continue"/>
                  <w:noWrap w:val="0"/>
                  <w:vAlign w:val="center"/>
                </w:tcPr>
                <w:p w14:paraId="1297967A">
                  <w:pPr>
                    <w:pStyle w:val="19"/>
                    <w:spacing w:line="240" w:lineRule="auto"/>
                    <w:ind w:firstLine="0"/>
                    <w:jc w:val="center"/>
                    <w:rPr>
                      <w:rFonts w:ascii="Times New Roman"/>
                      <w:sz w:val="21"/>
                      <w:szCs w:val="21"/>
                    </w:rPr>
                  </w:pPr>
                </w:p>
              </w:tc>
              <w:tc>
                <w:tcPr>
                  <w:tcW w:w="466" w:type="pct"/>
                  <w:noWrap w:val="0"/>
                  <w:vAlign w:val="center"/>
                </w:tcPr>
                <w:p w14:paraId="3A2E995C">
                  <w:pPr>
                    <w:widowControl/>
                    <w:adjustRightInd w:val="0"/>
                    <w:snapToGrid w:val="0"/>
                    <w:jc w:val="center"/>
                    <w:rPr>
                      <w:rFonts w:hint="default" w:ascii="Times New Roman"/>
                      <w:sz w:val="21"/>
                      <w:szCs w:val="21"/>
                      <w:lang w:val="en-US" w:eastAsia="zh-CN"/>
                    </w:rPr>
                  </w:pPr>
                  <w:r>
                    <w:rPr>
                      <w:rFonts w:hint="eastAsia"/>
                      <w:kern w:val="0"/>
                      <w:szCs w:val="21"/>
                      <w:lang w:val="en-US" w:eastAsia="zh-CN"/>
                    </w:rPr>
                    <w:t>南侧</w:t>
                  </w:r>
                </w:p>
              </w:tc>
              <w:tc>
                <w:tcPr>
                  <w:tcW w:w="536" w:type="pct"/>
                  <w:noWrap w:val="0"/>
                  <w:vAlign w:val="center"/>
                </w:tcPr>
                <w:p w14:paraId="460CCF82">
                  <w:pPr>
                    <w:pStyle w:val="19"/>
                    <w:spacing w:line="240" w:lineRule="auto"/>
                    <w:ind w:firstLine="0" w:firstLineChars="0"/>
                    <w:jc w:val="center"/>
                    <w:rPr>
                      <w:rFonts w:hint="default" w:ascii="Times New Roman"/>
                      <w:color w:val="auto"/>
                      <w:sz w:val="21"/>
                      <w:szCs w:val="21"/>
                      <w:lang w:val="en-US" w:eastAsia="zh-CN"/>
                    </w:rPr>
                  </w:pPr>
                  <w:r>
                    <w:rPr>
                      <w:rFonts w:hint="eastAsia" w:ascii="Times New Roman"/>
                      <w:sz w:val="21"/>
                      <w:szCs w:val="21"/>
                      <w:lang w:val="en-US" w:eastAsia="zh-CN"/>
                    </w:rPr>
                    <w:t>10</w:t>
                  </w:r>
                </w:p>
              </w:tc>
            </w:tr>
            <w:tr w14:paraId="161391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45" w:type="pct"/>
                  <w:vMerge w:val="continue"/>
                  <w:noWrap w:val="0"/>
                  <w:vAlign w:val="center"/>
                </w:tcPr>
                <w:p w14:paraId="5BE94D5F">
                  <w:pPr>
                    <w:pStyle w:val="19"/>
                    <w:spacing w:line="240" w:lineRule="auto"/>
                    <w:ind w:firstLine="0"/>
                    <w:jc w:val="center"/>
                    <w:rPr>
                      <w:kern w:val="0"/>
                      <w:szCs w:val="21"/>
                    </w:rPr>
                  </w:pPr>
                </w:p>
              </w:tc>
              <w:tc>
                <w:tcPr>
                  <w:tcW w:w="678" w:type="pct"/>
                  <w:noWrap w:val="0"/>
                  <w:vAlign w:val="center"/>
                </w:tcPr>
                <w:p w14:paraId="011DA9DF">
                  <w:pPr>
                    <w:widowControl/>
                    <w:adjustRightInd w:val="0"/>
                    <w:snapToGrid w:val="0"/>
                    <w:jc w:val="center"/>
                    <w:rPr>
                      <w:rFonts w:hint="eastAsia" w:ascii="Times New Roman" w:eastAsia="宋体"/>
                      <w:sz w:val="21"/>
                      <w:szCs w:val="21"/>
                      <w:lang w:val="en-US" w:eastAsia="zh-CN"/>
                    </w:rPr>
                  </w:pPr>
                  <w:r>
                    <w:rPr>
                      <w:rFonts w:hint="eastAsia"/>
                      <w:kern w:val="0"/>
                      <w:szCs w:val="21"/>
                      <w:lang w:val="en-US" w:eastAsia="zh-CN"/>
                    </w:rPr>
                    <w:t>医院东侧商铺</w:t>
                  </w:r>
                </w:p>
              </w:tc>
              <w:tc>
                <w:tcPr>
                  <w:tcW w:w="597" w:type="pct"/>
                  <w:noWrap w:val="0"/>
                  <w:vAlign w:val="center"/>
                </w:tcPr>
                <w:p w14:paraId="4B4D275C">
                  <w:pPr>
                    <w:pStyle w:val="19"/>
                    <w:spacing w:line="240" w:lineRule="auto"/>
                    <w:ind w:firstLine="0" w:firstLineChars="0"/>
                    <w:jc w:val="center"/>
                    <w:rPr>
                      <w:rFonts w:hint="default" w:ascii="Times New Roman" w:hAnsi="Times New Roman" w:cs="Times New Roman"/>
                      <w:sz w:val="21"/>
                      <w:szCs w:val="21"/>
                    </w:rPr>
                  </w:pPr>
                  <w:r>
                    <w:rPr>
                      <w:rFonts w:hint="eastAsia" w:ascii="Times New Roman"/>
                      <w:sz w:val="21"/>
                      <w:szCs w:val="21"/>
                      <w:lang w:val="en-US" w:eastAsia="zh-CN"/>
                    </w:rPr>
                    <w:t>116.743489</w:t>
                  </w:r>
                </w:p>
              </w:tc>
              <w:tc>
                <w:tcPr>
                  <w:tcW w:w="479" w:type="pct"/>
                  <w:noWrap w:val="0"/>
                  <w:vAlign w:val="center"/>
                </w:tcPr>
                <w:p w14:paraId="0E6D44AC">
                  <w:pPr>
                    <w:pStyle w:val="19"/>
                    <w:spacing w:line="240" w:lineRule="auto"/>
                    <w:ind w:firstLine="0" w:firstLineChars="0"/>
                    <w:jc w:val="center"/>
                    <w:rPr>
                      <w:rFonts w:hint="default" w:ascii="Times New Roman" w:hAnsi="Times New Roman" w:cs="Times New Roman"/>
                      <w:color w:val="auto"/>
                      <w:sz w:val="21"/>
                      <w:szCs w:val="21"/>
                    </w:rPr>
                  </w:pPr>
                  <w:r>
                    <w:rPr>
                      <w:rFonts w:hint="eastAsia" w:ascii="Times New Roman"/>
                      <w:sz w:val="21"/>
                      <w:szCs w:val="21"/>
                      <w:lang w:val="en-US" w:eastAsia="zh-CN"/>
                    </w:rPr>
                    <w:t>32.815529</w:t>
                  </w:r>
                </w:p>
              </w:tc>
              <w:tc>
                <w:tcPr>
                  <w:tcW w:w="403" w:type="pct"/>
                  <w:noWrap w:val="0"/>
                  <w:vAlign w:val="center"/>
                </w:tcPr>
                <w:p w14:paraId="05162319">
                  <w:pPr>
                    <w:widowControl/>
                    <w:adjustRightInd w:val="0"/>
                    <w:snapToGrid w:val="0"/>
                    <w:jc w:val="center"/>
                    <w:rPr>
                      <w:rFonts w:hint="default" w:ascii="Times New Roman" w:hAnsi="Times New Roman" w:cs="Times New Roman"/>
                      <w:color w:val="auto"/>
                      <w:sz w:val="21"/>
                      <w:szCs w:val="21"/>
                    </w:rPr>
                  </w:pPr>
                  <w:r>
                    <w:rPr>
                      <w:rFonts w:hint="eastAsia"/>
                      <w:kern w:val="0"/>
                      <w:szCs w:val="21"/>
                      <w:lang w:val="en-US" w:eastAsia="zh-CN"/>
                    </w:rPr>
                    <w:t>居民</w:t>
                  </w:r>
                </w:p>
              </w:tc>
              <w:tc>
                <w:tcPr>
                  <w:tcW w:w="642" w:type="pct"/>
                  <w:noWrap w:val="0"/>
                  <w:vAlign w:val="center"/>
                </w:tcPr>
                <w:p w14:paraId="415380A0">
                  <w:pPr>
                    <w:widowControl/>
                    <w:adjustRightInd w:val="0"/>
                    <w:snapToGrid w:val="0"/>
                    <w:jc w:val="center"/>
                    <w:rPr>
                      <w:rFonts w:hint="default" w:ascii="Times New Roman" w:hAnsi="Times New Roman" w:cs="Times New Roman"/>
                      <w:sz w:val="21"/>
                      <w:szCs w:val="21"/>
                    </w:rPr>
                  </w:pPr>
                  <w:r>
                    <w:rPr>
                      <w:rFonts w:hint="eastAsia"/>
                      <w:kern w:val="0"/>
                      <w:szCs w:val="21"/>
                      <w:lang w:val="en-US" w:eastAsia="zh-CN"/>
                    </w:rPr>
                    <w:t>约50人</w:t>
                  </w:r>
                </w:p>
              </w:tc>
              <w:tc>
                <w:tcPr>
                  <w:tcW w:w="749" w:type="pct"/>
                  <w:noWrap w:val="0"/>
                  <w:vAlign w:val="center"/>
                </w:tcPr>
                <w:p w14:paraId="47E40E36">
                  <w:pPr>
                    <w:pStyle w:val="19"/>
                    <w:spacing w:line="240" w:lineRule="auto"/>
                    <w:ind w:firstLine="0"/>
                    <w:jc w:val="center"/>
                    <w:rPr>
                      <w:rFonts w:ascii="Times New Roman"/>
                      <w:sz w:val="21"/>
                      <w:szCs w:val="21"/>
                    </w:rPr>
                  </w:pPr>
                  <w:r>
                    <w:rPr>
                      <w:rFonts w:ascii="Times New Roman"/>
                      <w:sz w:val="21"/>
                      <w:szCs w:val="21"/>
                    </w:rPr>
                    <w:t>《声环境质量标准》（GB3096-2008）</w:t>
                  </w:r>
                  <w:r>
                    <w:rPr>
                      <w:rFonts w:hint="eastAsia" w:ascii="Times New Roman"/>
                      <w:sz w:val="21"/>
                      <w:szCs w:val="21"/>
                      <w:lang w:val="en-US" w:eastAsia="zh-CN"/>
                    </w:rPr>
                    <w:t>2</w:t>
                  </w:r>
                  <w:r>
                    <w:rPr>
                      <w:rFonts w:ascii="Times New Roman"/>
                      <w:sz w:val="21"/>
                      <w:szCs w:val="21"/>
                    </w:rPr>
                    <w:t>类标准。</w:t>
                  </w:r>
                </w:p>
              </w:tc>
              <w:tc>
                <w:tcPr>
                  <w:tcW w:w="466" w:type="pct"/>
                  <w:noWrap w:val="0"/>
                  <w:vAlign w:val="center"/>
                </w:tcPr>
                <w:p w14:paraId="7D07F024">
                  <w:pPr>
                    <w:widowControl/>
                    <w:adjustRightInd w:val="0"/>
                    <w:snapToGrid w:val="0"/>
                    <w:jc w:val="center"/>
                    <w:rPr>
                      <w:rFonts w:hint="eastAsia" w:ascii="Times New Roman"/>
                      <w:sz w:val="21"/>
                      <w:szCs w:val="21"/>
                      <w:lang w:val="en-US" w:eastAsia="zh-CN"/>
                    </w:rPr>
                  </w:pPr>
                  <w:r>
                    <w:rPr>
                      <w:rFonts w:hint="eastAsia"/>
                      <w:kern w:val="0"/>
                      <w:szCs w:val="21"/>
                      <w:lang w:val="en-US" w:eastAsia="zh-CN"/>
                    </w:rPr>
                    <w:t>东侧</w:t>
                  </w:r>
                </w:p>
              </w:tc>
              <w:tc>
                <w:tcPr>
                  <w:tcW w:w="536" w:type="pct"/>
                  <w:noWrap w:val="0"/>
                  <w:vAlign w:val="center"/>
                </w:tcPr>
                <w:p w14:paraId="1A102C9D">
                  <w:pPr>
                    <w:pStyle w:val="19"/>
                    <w:spacing w:line="240" w:lineRule="auto"/>
                    <w:ind w:firstLine="0" w:firstLineChars="0"/>
                    <w:jc w:val="center"/>
                    <w:rPr>
                      <w:rFonts w:hint="eastAsia" w:ascii="Times New Roman"/>
                      <w:color w:val="auto"/>
                      <w:sz w:val="21"/>
                      <w:szCs w:val="21"/>
                      <w:lang w:val="en-US" w:eastAsia="zh-CN"/>
                    </w:rPr>
                  </w:pPr>
                  <w:r>
                    <w:rPr>
                      <w:rFonts w:hint="eastAsia" w:ascii="Times New Roman"/>
                      <w:sz w:val="21"/>
                      <w:szCs w:val="21"/>
                      <w:lang w:val="en-US" w:eastAsia="zh-CN"/>
                    </w:rPr>
                    <w:t>10</w:t>
                  </w:r>
                </w:p>
              </w:tc>
            </w:tr>
            <w:tr w14:paraId="4EF29F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45" w:type="pct"/>
                  <w:noWrap w:val="0"/>
                  <w:vAlign w:val="center"/>
                </w:tcPr>
                <w:p w14:paraId="7FD12A5C">
                  <w:pPr>
                    <w:pStyle w:val="19"/>
                    <w:spacing w:line="240" w:lineRule="auto"/>
                    <w:ind w:firstLine="0"/>
                    <w:jc w:val="center"/>
                    <w:rPr>
                      <w:rFonts w:ascii="Times New Roman"/>
                      <w:sz w:val="21"/>
                      <w:szCs w:val="21"/>
                    </w:rPr>
                  </w:pPr>
                  <w:r>
                    <w:rPr>
                      <w:rFonts w:ascii="Times New Roman"/>
                      <w:sz w:val="21"/>
                      <w:szCs w:val="21"/>
                    </w:rPr>
                    <w:t>地下水环境</w:t>
                  </w:r>
                </w:p>
              </w:tc>
              <w:tc>
                <w:tcPr>
                  <w:tcW w:w="4554" w:type="pct"/>
                  <w:gridSpan w:val="8"/>
                  <w:noWrap w:val="0"/>
                  <w:vAlign w:val="center"/>
                </w:tcPr>
                <w:p w14:paraId="3534FE72">
                  <w:pPr>
                    <w:pStyle w:val="19"/>
                    <w:spacing w:line="240" w:lineRule="auto"/>
                    <w:ind w:firstLine="0"/>
                    <w:jc w:val="center"/>
                    <w:rPr>
                      <w:rFonts w:ascii="Times New Roman"/>
                      <w:sz w:val="21"/>
                      <w:szCs w:val="21"/>
                    </w:rPr>
                  </w:pPr>
                  <w:r>
                    <w:rPr>
                      <w:rFonts w:ascii="Times New Roman"/>
                      <w:sz w:val="21"/>
                      <w:szCs w:val="21"/>
                    </w:rPr>
                    <w:t>本项目厂界500米范围内无地下水集中式饮用水水源和热水、矿泉水、温泉等特殊地下水资源</w:t>
                  </w:r>
                </w:p>
              </w:tc>
            </w:tr>
            <w:tr w14:paraId="518986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45" w:type="pct"/>
                  <w:noWrap w:val="0"/>
                  <w:vAlign w:val="center"/>
                </w:tcPr>
                <w:p w14:paraId="2A2F64FA">
                  <w:pPr>
                    <w:pStyle w:val="19"/>
                    <w:spacing w:line="240" w:lineRule="auto"/>
                    <w:ind w:firstLine="0"/>
                    <w:jc w:val="center"/>
                    <w:rPr>
                      <w:rFonts w:ascii="Times New Roman"/>
                      <w:sz w:val="21"/>
                      <w:szCs w:val="21"/>
                    </w:rPr>
                  </w:pPr>
                  <w:r>
                    <w:rPr>
                      <w:rFonts w:ascii="Times New Roman"/>
                      <w:sz w:val="21"/>
                      <w:szCs w:val="21"/>
                    </w:rPr>
                    <w:t>生态环境</w:t>
                  </w:r>
                </w:p>
              </w:tc>
              <w:tc>
                <w:tcPr>
                  <w:tcW w:w="4554" w:type="pct"/>
                  <w:gridSpan w:val="8"/>
                  <w:noWrap w:val="0"/>
                  <w:vAlign w:val="center"/>
                </w:tcPr>
                <w:p w14:paraId="3F019C47">
                  <w:pPr>
                    <w:pStyle w:val="19"/>
                    <w:spacing w:line="240" w:lineRule="auto"/>
                    <w:ind w:firstLine="0"/>
                    <w:jc w:val="center"/>
                    <w:rPr>
                      <w:rFonts w:hint="eastAsia" w:ascii="Times New Roman" w:eastAsia="宋体"/>
                      <w:sz w:val="21"/>
                      <w:szCs w:val="21"/>
                      <w:lang w:eastAsia="zh-CN"/>
                    </w:rPr>
                  </w:pPr>
                  <w:r>
                    <w:rPr>
                      <w:rFonts w:hint="eastAsia" w:ascii="Times New Roman"/>
                      <w:sz w:val="21"/>
                      <w:szCs w:val="21"/>
                    </w:rPr>
                    <w:t>用地范围内无生态环境保护目标</w:t>
                  </w:r>
                  <w:r>
                    <w:rPr>
                      <w:rFonts w:hint="eastAsia" w:ascii="Times New Roman"/>
                      <w:sz w:val="21"/>
                      <w:szCs w:val="21"/>
                      <w:lang w:eastAsia="zh-CN"/>
                    </w:rPr>
                    <w:t>。</w:t>
                  </w:r>
                </w:p>
              </w:tc>
            </w:tr>
          </w:tbl>
          <w:p w14:paraId="51A87F62">
            <w:pPr>
              <w:pStyle w:val="19"/>
              <w:ind w:firstLine="0"/>
              <w:rPr>
                <w:rFonts w:ascii="Times New Roman"/>
                <w:sz w:val="24"/>
                <w:szCs w:val="24"/>
              </w:rPr>
            </w:pPr>
          </w:p>
        </w:tc>
      </w:tr>
      <w:tr w14:paraId="3AAD7CA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094" w:hRule="atLeast"/>
          <w:jc w:val="center"/>
        </w:trPr>
        <w:tc>
          <w:tcPr>
            <w:tcW w:w="425" w:type="dxa"/>
            <w:noWrap w:val="0"/>
            <w:tcMar>
              <w:left w:w="28" w:type="dxa"/>
              <w:right w:w="28" w:type="dxa"/>
            </w:tcMar>
            <w:vAlign w:val="center"/>
          </w:tcPr>
          <w:p w14:paraId="5695DECF">
            <w:pPr>
              <w:adjustRightInd w:val="0"/>
              <w:snapToGrid w:val="0"/>
              <w:jc w:val="center"/>
              <w:rPr>
                <w:rFonts w:hint="eastAsia" w:ascii="宋体" w:hAnsi="宋体" w:cs="宋体"/>
                <w:kern w:val="0"/>
                <w:szCs w:val="21"/>
              </w:rPr>
            </w:pPr>
            <w:r>
              <w:rPr>
                <w:rFonts w:hint="eastAsia" w:ascii="宋体" w:hAnsi="宋体" w:cs="宋体"/>
                <w:kern w:val="0"/>
                <w:szCs w:val="21"/>
              </w:rPr>
              <w:t>污染</w:t>
            </w:r>
          </w:p>
          <w:p w14:paraId="0EB0785C">
            <w:pPr>
              <w:adjustRightInd w:val="0"/>
              <w:snapToGrid w:val="0"/>
              <w:jc w:val="center"/>
              <w:rPr>
                <w:rFonts w:hint="eastAsia" w:ascii="宋体" w:hAnsi="宋体" w:cs="宋体"/>
                <w:kern w:val="0"/>
                <w:szCs w:val="21"/>
              </w:rPr>
            </w:pPr>
            <w:r>
              <w:rPr>
                <w:rFonts w:hint="eastAsia" w:ascii="宋体" w:hAnsi="宋体" w:cs="宋体"/>
                <w:kern w:val="0"/>
                <w:szCs w:val="21"/>
              </w:rPr>
              <w:t>物排</w:t>
            </w:r>
          </w:p>
          <w:p w14:paraId="4903B4AE">
            <w:pPr>
              <w:adjustRightInd w:val="0"/>
              <w:snapToGrid w:val="0"/>
              <w:jc w:val="center"/>
              <w:rPr>
                <w:rFonts w:hint="eastAsia" w:ascii="宋体" w:hAnsi="宋体" w:cs="宋体"/>
                <w:kern w:val="0"/>
                <w:szCs w:val="21"/>
              </w:rPr>
            </w:pPr>
            <w:r>
              <w:rPr>
                <w:rFonts w:hint="eastAsia" w:ascii="宋体" w:hAnsi="宋体" w:cs="宋体"/>
                <w:kern w:val="0"/>
                <w:szCs w:val="21"/>
              </w:rPr>
              <w:t>放控</w:t>
            </w:r>
          </w:p>
          <w:p w14:paraId="1BDCB02A">
            <w:pPr>
              <w:adjustRightInd w:val="0"/>
              <w:snapToGrid w:val="0"/>
              <w:jc w:val="center"/>
              <w:rPr>
                <w:rFonts w:hint="eastAsia" w:ascii="宋体" w:hAnsi="宋体" w:cs="宋体"/>
                <w:kern w:val="0"/>
                <w:szCs w:val="21"/>
              </w:rPr>
            </w:pPr>
            <w:r>
              <w:rPr>
                <w:rFonts w:hint="eastAsia" w:ascii="宋体" w:hAnsi="宋体" w:cs="宋体"/>
                <w:kern w:val="0"/>
                <w:szCs w:val="21"/>
              </w:rPr>
              <w:t>制标</w:t>
            </w:r>
          </w:p>
          <w:p w14:paraId="6B817D3F">
            <w:pPr>
              <w:adjustRightInd w:val="0"/>
              <w:snapToGrid w:val="0"/>
              <w:jc w:val="center"/>
              <w:rPr>
                <w:rFonts w:ascii="宋体" w:hAnsi="宋体" w:cs="宋体"/>
                <w:kern w:val="0"/>
                <w:szCs w:val="21"/>
              </w:rPr>
            </w:pPr>
            <w:r>
              <w:rPr>
                <w:rFonts w:hint="eastAsia" w:ascii="宋体" w:hAnsi="宋体" w:cs="宋体"/>
                <w:kern w:val="0"/>
                <w:szCs w:val="21"/>
              </w:rPr>
              <w:t>准</w:t>
            </w:r>
          </w:p>
        </w:tc>
        <w:tc>
          <w:tcPr>
            <w:tcW w:w="8636" w:type="dxa"/>
            <w:noWrap w:val="0"/>
            <w:vAlign w:val="top"/>
          </w:tcPr>
          <w:p w14:paraId="3E0714E8">
            <w:pPr>
              <w:autoSpaceDE w:val="0"/>
              <w:autoSpaceDN w:val="0"/>
              <w:adjustRightInd w:val="0"/>
              <w:spacing w:line="360" w:lineRule="auto"/>
              <w:ind w:firstLine="482" w:firstLineChars="200"/>
              <w:jc w:val="left"/>
              <w:rPr>
                <w:b/>
                <w:bCs/>
                <w:kern w:val="0"/>
                <w:sz w:val="24"/>
              </w:rPr>
            </w:pPr>
            <w:r>
              <w:rPr>
                <w:rFonts w:hint="eastAsia"/>
                <w:b/>
                <w:bCs/>
                <w:kern w:val="0"/>
                <w:sz w:val="24"/>
                <w:lang w:eastAsia="zh-CN"/>
              </w:rPr>
              <w:t>1.</w:t>
            </w:r>
            <w:r>
              <w:rPr>
                <w:b/>
                <w:bCs/>
                <w:kern w:val="0"/>
                <w:sz w:val="24"/>
              </w:rPr>
              <w:t>水污染物排放标准</w:t>
            </w:r>
          </w:p>
          <w:p w14:paraId="287DADCD">
            <w:pPr>
              <w:pStyle w:val="8"/>
              <w:spacing w:line="360" w:lineRule="auto"/>
              <w:ind w:firstLine="480" w:firstLineChars="200"/>
              <w:rPr>
                <w:rFonts w:hint="default" w:ascii="Times New Roman" w:hAnsi="Times New Roman" w:cs="Times New Roman"/>
                <w:color w:val="auto"/>
                <w:sz w:val="24"/>
              </w:rPr>
            </w:pPr>
            <w:r>
              <w:rPr>
                <w:rFonts w:hint="default" w:ascii="Times New Roman" w:hAnsi="Times New Roman" w:cs="Times New Roman"/>
                <w:sz w:val="24"/>
              </w:rPr>
              <w:t>本项目废水总排口执</w:t>
            </w:r>
            <w:r>
              <w:rPr>
                <w:rFonts w:hint="default" w:ascii="Times New Roman" w:hAnsi="Times New Roman" w:cs="Times New Roman"/>
                <w:color w:val="auto"/>
                <w:sz w:val="24"/>
              </w:rPr>
              <w:t>行</w:t>
            </w:r>
            <w:r>
              <w:rPr>
                <w:rFonts w:hint="eastAsia" w:ascii="Times New Roman" w:hAnsi="Times New Roman" w:cs="Times New Roman"/>
                <w:color w:val="auto"/>
                <w:sz w:val="24"/>
                <w:lang w:eastAsia="zh-CN"/>
              </w:rPr>
              <w:t>《医疗机构水污染物排放标准》（GB18466-2005）（含2026年修改单）</w:t>
            </w:r>
            <w:r>
              <w:rPr>
                <w:rFonts w:hint="eastAsia" w:ascii="Times New Roman" w:hAnsi="Times New Roman" w:cs="Times New Roman"/>
                <w:color w:val="auto"/>
                <w:sz w:val="24"/>
                <w:lang w:val="en-US" w:eastAsia="zh-CN"/>
              </w:rPr>
              <w:t>中</w:t>
            </w:r>
            <w:r>
              <w:rPr>
                <w:rFonts w:hint="default" w:ascii="Times New Roman" w:hAnsi="Times New Roman" w:cs="Times New Roman"/>
                <w:color w:val="auto"/>
                <w:sz w:val="24"/>
              </w:rPr>
              <w:t>表 2 预处理标准；接管市政污水管网的废水纳入</w:t>
            </w:r>
            <w:r>
              <w:rPr>
                <w:rFonts w:hint="eastAsia" w:ascii="Times New Roman" w:hAnsi="Times New Roman" w:cs="Times New Roman"/>
                <w:color w:val="auto"/>
                <w:sz w:val="24"/>
                <w:lang w:eastAsia="zh-CN"/>
              </w:rPr>
              <w:t>潘集区芦集镇再生水厂</w:t>
            </w:r>
            <w:r>
              <w:rPr>
                <w:rFonts w:hint="default" w:ascii="Times New Roman" w:hAnsi="Times New Roman" w:cs="Times New Roman"/>
                <w:color w:val="auto"/>
                <w:sz w:val="24"/>
              </w:rPr>
              <w:t>，处理达到《城镇污水处理厂污染物排放标准》（GB18918-2002）一级A标准后，排入</w:t>
            </w:r>
            <w:r>
              <w:rPr>
                <w:rFonts w:hint="eastAsia" w:ascii="Times New Roman" w:hAnsi="Times New Roman" w:cs="Times New Roman"/>
                <w:color w:val="auto"/>
                <w:sz w:val="24"/>
                <w:lang w:val="en-US" w:eastAsia="zh-CN"/>
              </w:rPr>
              <w:t>泥河</w:t>
            </w:r>
            <w:r>
              <w:rPr>
                <w:rFonts w:hint="default" w:ascii="Times New Roman" w:hAnsi="Times New Roman" w:cs="Times New Roman"/>
                <w:color w:val="auto"/>
                <w:sz w:val="24"/>
              </w:rPr>
              <w:t>。</w:t>
            </w:r>
          </w:p>
          <w:p w14:paraId="5A0EFE6B">
            <w:pPr>
              <w:adjustRightInd w:val="0"/>
              <w:snapToGrid w:val="0"/>
              <w:jc w:val="center"/>
              <w:rPr>
                <w:b/>
                <w:bCs/>
                <w:sz w:val="21"/>
                <w:szCs w:val="21"/>
              </w:rPr>
            </w:pPr>
            <w:r>
              <w:rPr>
                <w:b/>
                <w:bCs/>
                <w:color w:val="auto"/>
                <w:sz w:val="21"/>
                <w:szCs w:val="21"/>
                <w:lang w:val="zh-CN"/>
              </w:rPr>
              <w:t>表</w:t>
            </w:r>
            <w:r>
              <w:rPr>
                <w:rFonts w:hint="eastAsia"/>
                <w:b/>
                <w:bCs/>
                <w:color w:val="auto"/>
                <w:sz w:val="21"/>
                <w:szCs w:val="21"/>
                <w:lang w:val="en-US" w:eastAsia="zh-CN"/>
              </w:rPr>
              <w:t>3-5</w:t>
            </w:r>
            <w:r>
              <w:rPr>
                <w:b/>
                <w:bCs/>
                <w:color w:val="auto"/>
                <w:sz w:val="21"/>
                <w:szCs w:val="21"/>
                <w:lang w:val="zh-CN"/>
              </w:rPr>
              <w:t xml:space="preserve"> 废水污染物排放标准  单位：</w:t>
            </w:r>
            <w:r>
              <w:rPr>
                <w:b/>
                <w:bCs/>
                <w:sz w:val="21"/>
                <w:szCs w:val="21"/>
                <w:lang w:val="zh-CN"/>
              </w:rPr>
              <w:t>mg/L，pH无量纲</w:t>
            </w:r>
          </w:p>
          <w:tbl>
            <w:tblPr>
              <w:tblStyle w:val="14"/>
              <w:tblW w:w="495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33"/>
              <w:gridCol w:w="1081"/>
              <w:gridCol w:w="996"/>
              <w:gridCol w:w="2739"/>
              <w:gridCol w:w="2877"/>
            </w:tblGrid>
            <w:tr w14:paraId="54EF19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8" w:hRule="atLeast"/>
                <w:jc w:val="center"/>
              </w:trPr>
              <w:tc>
                <w:tcPr>
                  <w:tcW w:w="380" w:type="pct"/>
                  <w:tcBorders>
                    <w:tl2br w:val="nil"/>
                    <w:tr2bl w:val="nil"/>
                  </w:tcBorders>
                  <w:noWrap w:val="0"/>
                  <w:vAlign w:val="center"/>
                </w:tcPr>
                <w:p w14:paraId="268564B7">
                  <w:pPr>
                    <w:widowControl/>
                    <w:jc w:val="center"/>
                    <w:rPr>
                      <w:b/>
                      <w:bCs/>
                      <w:szCs w:val="21"/>
                    </w:rPr>
                  </w:pPr>
                  <w:r>
                    <w:rPr>
                      <w:b/>
                      <w:bCs/>
                      <w:szCs w:val="21"/>
                    </w:rPr>
                    <w:t>序号</w:t>
                  </w:r>
                </w:p>
              </w:tc>
              <w:tc>
                <w:tcPr>
                  <w:tcW w:w="649" w:type="pct"/>
                  <w:tcBorders>
                    <w:tl2br w:val="nil"/>
                    <w:tr2bl w:val="nil"/>
                  </w:tcBorders>
                  <w:noWrap w:val="0"/>
                  <w:vAlign w:val="center"/>
                </w:tcPr>
                <w:p w14:paraId="757E34FB">
                  <w:pPr>
                    <w:widowControl/>
                    <w:jc w:val="center"/>
                    <w:rPr>
                      <w:b/>
                      <w:bCs/>
                      <w:szCs w:val="21"/>
                    </w:rPr>
                  </w:pPr>
                  <w:r>
                    <w:rPr>
                      <w:b/>
                      <w:bCs/>
                      <w:szCs w:val="21"/>
                    </w:rPr>
                    <w:t>项目</w:t>
                  </w:r>
                </w:p>
              </w:tc>
              <w:tc>
                <w:tcPr>
                  <w:tcW w:w="598" w:type="pct"/>
                  <w:tcBorders>
                    <w:tl2br w:val="nil"/>
                    <w:tr2bl w:val="nil"/>
                  </w:tcBorders>
                  <w:noWrap w:val="0"/>
                  <w:vAlign w:val="center"/>
                </w:tcPr>
                <w:p w14:paraId="61AD5ED6">
                  <w:pPr>
                    <w:jc w:val="center"/>
                    <w:rPr>
                      <w:b/>
                      <w:bCs/>
                      <w:szCs w:val="21"/>
                    </w:rPr>
                  </w:pPr>
                  <w:r>
                    <w:rPr>
                      <w:b/>
                      <w:bCs/>
                      <w:szCs w:val="21"/>
                    </w:rPr>
                    <w:t>单位</w:t>
                  </w:r>
                </w:p>
              </w:tc>
              <w:tc>
                <w:tcPr>
                  <w:tcW w:w="1644" w:type="pct"/>
                  <w:tcBorders>
                    <w:tl2br w:val="nil"/>
                    <w:tr2bl w:val="nil"/>
                  </w:tcBorders>
                  <w:noWrap w:val="0"/>
                  <w:vAlign w:val="center"/>
                </w:tcPr>
                <w:p w14:paraId="1AA8EEE3">
                  <w:pPr>
                    <w:jc w:val="center"/>
                    <w:rPr>
                      <w:rFonts w:hint="eastAsia" w:eastAsia="宋体"/>
                      <w:b/>
                      <w:bCs/>
                      <w:szCs w:val="21"/>
                      <w:lang w:eastAsia="zh-CN"/>
                    </w:rPr>
                  </w:pPr>
                  <w:r>
                    <w:rPr>
                      <w:rFonts w:hint="eastAsia"/>
                      <w:b/>
                      <w:bCs/>
                      <w:szCs w:val="21"/>
                      <w:lang w:eastAsia="zh-CN"/>
                    </w:rPr>
                    <w:t>《医疗机构水污染物排放标准》（GB18466-2005）（含2026年修改单）</w:t>
                  </w:r>
                </w:p>
              </w:tc>
              <w:tc>
                <w:tcPr>
                  <w:tcW w:w="1726" w:type="pct"/>
                  <w:tcBorders>
                    <w:tl2br w:val="nil"/>
                    <w:tr2bl w:val="nil"/>
                  </w:tcBorders>
                  <w:noWrap w:val="0"/>
                  <w:vAlign w:val="center"/>
                </w:tcPr>
                <w:p w14:paraId="760D4E04">
                  <w:pPr>
                    <w:jc w:val="center"/>
                    <w:rPr>
                      <w:b/>
                      <w:bCs/>
                      <w:szCs w:val="21"/>
                    </w:rPr>
                  </w:pPr>
                  <w:r>
                    <w:rPr>
                      <w:b/>
                      <w:bCs/>
                      <w:szCs w:val="21"/>
                    </w:rPr>
                    <w:t>《城镇污水处理厂污染物排放标准》（GB18918-2002）一级A标准</w:t>
                  </w:r>
                </w:p>
              </w:tc>
            </w:tr>
            <w:tr w14:paraId="04DEFB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380" w:type="pct"/>
                  <w:tcBorders>
                    <w:tl2br w:val="nil"/>
                    <w:tr2bl w:val="nil"/>
                  </w:tcBorders>
                  <w:noWrap w:val="0"/>
                  <w:vAlign w:val="center"/>
                </w:tcPr>
                <w:p w14:paraId="0485A312">
                  <w:pPr>
                    <w:jc w:val="center"/>
                    <w:rPr>
                      <w:szCs w:val="21"/>
                    </w:rPr>
                  </w:pPr>
                  <w:r>
                    <w:rPr>
                      <w:szCs w:val="21"/>
                    </w:rPr>
                    <w:t>1</w:t>
                  </w:r>
                </w:p>
              </w:tc>
              <w:tc>
                <w:tcPr>
                  <w:tcW w:w="649" w:type="pct"/>
                  <w:tcBorders>
                    <w:tl2br w:val="nil"/>
                    <w:tr2bl w:val="nil"/>
                  </w:tcBorders>
                  <w:noWrap w:val="0"/>
                  <w:vAlign w:val="center"/>
                </w:tcPr>
                <w:p w14:paraId="70C7B3D9">
                  <w:pPr>
                    <w:jc w:val="center"/>
                    <w:rPr>
                      <w:szCs w:val="21"/>
                    </w:rPr>
                  </w:pPr>
                  <w:r>
                    <w:rPr>
                      <w:szCs w:val="21"/>
                    </w:rPr>
                    <w:t>pH</w:t>
                  </w:r>
                </w:p>
              </w:tc>
              <w:tc>
                <w:tcPr>
                  <w:tcW w:w="598" w:type="pct"/>
                  <w:tcBorders>
                    <w:tl2br w:val="nil"/>
                    <w:tr2bl w:val="nil"/>
                  </w:tcBorders>
                  <w:noWrap w:val="0"/>
                  <w:vAlign w:val="center"/>
                </w:tcPr>
                <w:p w14:paraId="0671BCEC">
                  <w:pPr>
                    <w:jc w:val="center"/>
                    <w:rPr>
                      <w:szCs w:val="21"/>
                    </w:rPr>
                  </w:pPr>
                  <w:r>
                    <w:rPr>
                      <w:szCs w:val="21"/>
                    </w:rPr>
                    <w:t>无量纲</w:t>
                  </w:r>
                </w:p>
              </w:tc>
              <w:tc>
                <w:tcPr>
                  <w:tcW w:w="1644" w:type="pct"/>
                  <w:tcBorders>
                    <w:tl2br w:val="nil"/>
                    <w:tr2bl w:val="nil"/>
                  </w:tcBorders>
                  <w:noWrap w:val="0"/>
                  <w:vAlign w:val="center"/>
                </w:tcPr>
                <w:p w14:paraId="0F5FEF5D">
                  <w:pPr>
                    <w:jc w:val="center"/>
                    <w:rPr>
                      <w:szCs w:val="21"/>
                    </w:rPr>
                  </w:pPr>
                  <w:r>
                    <w:rPr>
                      <w:szCs w:val="21"/>
                    </w:rPr>
                    <w:t>6~9</w:t>
                  </w:r>
                </w:p>
              </w:tc>
              <w:tc>
                <w:tcPr>
                  <w:tcW w:w="1726" w:type="pct"/>
                  <w:tcBorders>
                    <w:tl2br w:val="nil"/>
                    <w:tr2bl w:val="nil"/>
                  </w:tcBorders>
                  <w:noWrap w:val="0"/>
                  <w:vAlign w:val="center"/>
                </w:tcPr>
                <w:p w14:paraId="0B487202">
                  <w:pPr>
                    <w:jc w:val="center"/>
                    <w:rPr>
                      <w:szCs w:val="21"/>
                    </w:rPr>
                  </w:pPr>
                  <w:r>
                    <w:rPr>
                      <w:szCs w:val="21"/>
                    </w:rPr>
                    <w:t>6~9</w:t>
                  </w:r>
                </w:p>
              </w:tc>
            </w:tr>
            <w:tr w14:paraId="51507F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380" w:type="pct"/>
                  <w:tcBorders>
                    <w:tl2br w:val="nil"/>
                    <w:tr2bl w:val="nil"/>
                  </w:tcBorders>
                  <w:noWrap w:val="0"/>
                  <w:vAlign w:val="center"/>
                </w:tcPr>
                <w:p w14:paraId="449606AB">
                  <w:pPr>
                    <w:jc w:val="center"/>
                    <w:rPr>
                      <w:szCs w:val="21"/>
                    </w:rPr>
                  </w:pPr>
                  <w:r>
                    <w:rPr>
                      <w:szCs w:val="21"/>
                    </w:rPr>
                    <w:t>2</w:t>
                  </w:r>
                </w:p>
              </w:tc>
              <w:tc>
                <w:tcPr>
                  <w:tcW w:w="649" w:type="pct"/>
                  <w:tcBorders>
                    <w:tl2br w:val="nil"/>
                    <w:tr2bl w:val="nil"/>
                  </w:tcBorders>
                  <w:noWrap w:val="0"/>
                  <w:vAlign w:val="center"/>
                </w:tcPr>
                <w:p w14:paraId="3810381D">
                  <w:pPr>
                    <w:jc w:val="center"/>
                    <w:rPr>
                      <w:szCs w:val="21"/>
                    </w:rPr>
                  </w:pPr>
                  <w:r>
                    <w:rPr>
                      <w:szCs w:val="21"/>
                    </w:rPr>
                    <w:t>COD</w:t>
                  </w:r>
                </w:p>
              </w:tc>
              <w:tc>
                <w:tcPr>
                  <w:tcW w:w="598" w:type="pct"/>
                  <w:tcBorders>
                    <w:tl2br w:val="nil"/>
                    <w:tr2bl w:val="nil"/>
                  </w:tcBorders>
                  <w:noWrap w:val="0"/>
                  <w:vAlign w:val="center"/>
                </w:tcPr>
                <w:p w14:paraId="21492CE3">
                  <w:pPr>
                    <w:jc w:val="center"/>
                    <w:rPr>
                      <w:szCs w:val="21"/>
                    </w:rPr>
                  </w:pPr>
                  <w:r>
                    <w:rPr>
                      <w:szCs w:val="21"/>
                    </w:rPr>
                    <w:t>mg/L</w:t>
                  </w:r>
                </w:p>
              </w:tc>
              <w:tc>
                <w:tcPr>
                  <w:tcW w:w="1644" w:type="pct"/>
                  <w:tcBorders>
                    <w:tl2br w:val="nil"/>
                    <w:tr2bl w:val="nil"/>
                  </w:tcBorders>
                  <w:noWrap w:val="0"/>
                  <w:vAlign w:val="center"/>
                </w:tcPr>
                <w:p w14:paraId="5E85FA61">
                  <w:pPr>
                    <w:jc w:val="center"/>
                    <w:rPr>
                      <w:szCs w:val="21"/>
                    </w:rPr>
                  </w:pPr>
                  <w:r>
                    <w:rPr>
                      <w:szCs w:val="21"/>
                    </w:rPr>
                    <w:t>250</w:t>
                  </w:r>
                </w:p>
              </w:tc>
              <w:tc>
                <w:tcPr>
                  <w:tcW w:w="1726" w:type="pct"/>
                  <w:tcBorders>
                    <w:tl2br w:val="nil"/>
                    <w:tr2bl w:val="nil"/>
                  </w:tcBorders>
                  <w:noWrap w:val="0"/>
                  <w:vAlign w:val="center"/>
                </w:tcPr>
                <w:p w14:paraId="4EE1F7B2">
                  <w:pPr>
                    <w:jc w:val="center"/>
                    <w:rPr>
                      <w:szCs w:val="21"/>
                    </w:rPr>
                  </w:pPr>
                  <w:r>
                    <w:rPr>
                      <w:szCs w:val="21"/>
                    </w:rPr>
                    <w:t>50</w:t>
                  </w:r>
                </w:p>
              </w:tc>
            </w:tr>
            <w:tr w14:paraId="51EBB4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380" w:type="pct"/>
                  <w:tcBorders>
                    <w:tl2br w:val="nil"/>
                    <w:tr2bl w:val="nil"/>
                  </w:tcBorders>
                  <w:noWrap w:val="0"/>
                  <w:vAlign w:val="center"/>
                </w:tcPr>
                <w:p w14:paraId="208ABD73">
                  <w:pPr>
                    <w:jc w:val="center"/>
                    <w:rPr>
                      <w:szCs w:val="21"/>
                    </w:rPr>
                  </w:pPr>
                  <w:r>
                    <w:rPr>
                      <w:szCs w:val="21"/>
                    </w:rPr>
                    <w:t>3</w:t>
                  </w:r>
                </w:p>
              </w:tc>
              <w:tc>
                <w:tcPr>
                  <w:tcW w:w="649" w:type="pct"/>
                  <w:tcBorders>
                    <w:tl2br w:val="nil"/>
                    <w:tr2bl w:val="nil"/>
                  </w:tcBorders>
                  <w:noWrap w:val="0"/>
                  <w:vAlign w:val="center"/>
                </w:tcPr>
                <w:p w14:paraId="57D7D1C8">
                  <w:pPr>
                    <w:jc w:val="center"/>
                    <w:rPr>
                      <w:szCs w:val="21"/>
                    </w:rPr>
                  </w:pPr>
                  <w:r>
                    <w:rPr>
                      <w:szCs w:val="21"/>
                    </w:rPr>
                    <w:t>BOD</w:t>
                  </w:r>
                  <w:r>
                    <w:rPr>
                      <w:szCs w:val="21"/>
                      <w:vertAlign w:val="subscript"/>
                    </w:rPr>
                    <w:t>5</w:t>
                  </w:r>
                </w:p>
              </w:tc>
              <w:tc>
                <w:tcPr>
                  <w:tcW w:w="598" w:type="pct"/>
                  <w:tcBorders>
                    <w:tl2br w:val="nil"/>
                    <w:tr2bl w:val="nil"/>
                  </w:tcBorders>
                  <w:noWrap w:val="0"/>
                  <w:vAlign w:val="center"/>
                </w:tcPr>
                <w:p w14:paraId="37402641">
                  <w:pPr>
                    <w:jc w:val="center"/>
                    <w:rPr>
                      <w:szCs w:val="21"/>
                    </w:rPr>
                  </w:pPr>
                  <w:r>
                    <w:rPr>
                      <w:szCs w:val="21"/>
                    </w:rPr>
                    <w:t>mg/L</w:t>
                  </w:r>
                </w:p>
              </w:tc>
              <w:tc>
                <w:tcPr>
                  <w:tcW w:w="1644" w:type="pct"/>
                  <w:tcBorders>
                    <w:tl2br w:val="nil"/>
                    <w:tr2bl w:val="nil"/>
                  </w:tcBorders>
                  <w:noWrap w:val="0"/>
                  <w:vAlign w:val="center"/>
                </w:tcPr>
                <w:p w14:paraId="6BF539B0">
                  <w:pPr>
                    <w:jc w:val="center"/>
                    <w:rPr>
                      <w:szCs w:val="21"/>
                    </w:rPr>
                  </w:pPr>
                  <w:r>
                    <w:rPr>
                      <w:szCs w:val="21"/>
                    </w:rPr>
                    <w:t>100</w:t>
                  </w:r>
                </w:p>
              </w:tc>
              <w:tc>
                <w:tcPr>
                  <w:tcW w:w="1726" w:type="pct"/>
                  <w:tcBorders>
                    <w:tl2br w:val="nil"/>
                    <w:tr2bl w:val="nil"/>
                  </w:tcBorders>
                  <w:noWrap w:val="0"/>
                  <w:vAlign w:val="center"/>
                </w:tcPr>
                <w:p w14:paraId="2A2FC503">
                  <w:pPr>
                    <w:jc w:val="center"/>
                    <w:rPr>
                      <w:szCs w:val="21"/>
                    </w:rPr>
                  </w:pPr>
                  <w:r>
                    <w:rPr>
                      <w:szCs w:val="21"/>
                    </w:rPr>
                    <w:t>10</w:t>
                  </w:r>
                </w:p>
              </w:tc>
            </w:tr>
            <w:tr w14:paraId="118C59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380" w:type="pct"/>
                  <w:tcBorders>
                    <w:tl2br w:val="nil"/>
                    <w:tr2bl w:val="nil"/>
                  </w:tcBorders>
                  <w:noWrap w:val="0"/>
                  <w:vAlign w:val="center"/>
                </w:tcPr>
                <w:p w14:paraId="39121251">
                  <w:pPr>
                    <w:jc w:val="center"/>
                    <w:rPr>
                      <w:szCs w:val="21"/>
                    </w:rPr>
                  </w:pPr>
                  <w:r>
                    <w:rPr>
                      <w:szCs w:val="21"/>
                    </w:rPr>
                    <w:t>4</w:t>
                  </w:r>
                </w:p>
              </w:tc>
              <w:tc>
                <w:tcPr>
                  <w:tcW w:w="649" w:type="pct"/>
                  <w:tcBorders>
                    <w:tl2br w:val="nil"/>
                    <w:tr2bl w:val="nil"/>
                  </w:tcBorders>
                  <w:noWrap w:val="0"/>
                  <w:vAlign w:val="center"/>
                </w:tcPr>
                <w:p w14:paraId="1C747B0A">
                  <w:pPr>
                    <w:jc w:val="center"/>
                    <w:rPr>
                      <w:szCs w:val="21"/>
                    </w:rPr>
                  </w:pPr>
                  <w:r>
                    <w:rPr>
                      <w:szCs w:val="21"/>
                    </w:rPr>
                    <w:t>SS</w:t>
                  </w:r>
                </w:p>
              </w:tc>
              <w:tc>
                <w:tcPr>
                  <w:tcW w:w="598" w:type="pct"/>
                  <w:tcBorders>
                    <w:tl2br w:val="nil"/>
                    <w:tr2bl w:val="nil"/>
                  </w:tcBorders>
                  <w:noWrap w:val="0"/>
                  <w:vAlign w:val="center"/>
                </w:tcPr>
                <w:p w14:paraId="1A569262">
                  <w:pPr>
                    <w:jc w:val="center"/>
                    <w:rPr>
                      <w:szCs w:val="21"/>
                    </w:rPr>
                  </w:pPr>
                  <w:r>
                    <w:rPr>
                      <w:szCs w:val="21"/>
                    </w:rPr>
                    <w:t>mg/L</w:t>
                  </w:r>
                </w:p>
              </w:tc>
              <w:tc>
                <w:tcPr>
                  <w:tcW w:w="1644" w:type="pct"/>
                  <w:tcBorders>
                    <w:tl2br w:val="nil"/>
                    <w:tr2bl w:val="nil"/>
                  </w:tcBorders>
                  <w:noWrap w:val="0"/>
                  <w:vAlign w:val="center"/>
                </w:tcPr>
                <w:p w14:paraId="5B206D5C">
                  <w:pPr>
                    <w:jc w:val="center"/>
                    <w:rPr>
                      <w:szCs w:val="21"/>
                    </w:rPr>
                  </w:pPr>
                  <w:r>
                    <w:rPr>
                      <w:szCs w:val="21"/>
                    </w:rPr>
                    <w:t>60</w:t>
                  </w:r>
                </w:p>
              </w:tc>
              <w:tc>
                <w:tcPr>
                  <w:tcW w:w="1726" w:type="pct"/>
                  <w:tcBorders>
                    <w:tl2br w:val="nil"/>
                    <w:tr2bl w:val="nil"/>
                  </w:tcBorders>
                  <w:noWrap w:val="0"/>
                  <w:vAlign w:val="center"/>
                </w:tcPr>
                <w:p w14:paraId="18424558">
                  <w:pPr>
                    <w:jc w:val="center"/>
                    <w:rPr>
                      <w:szCs w:val="21"/>
                    </w:rPr>
                  </w:pPr>
                  <w:r>
                    <w:rPr>
                      <w:szCs w:val="21"/>
                    </w:rPr>
                    <w:t>10</w:t>
                  </w:r>
                </w:p>
              </w:tc>
            </w:tr>
            <w:tr w14:paraId="731608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380" w:type="pct"/>
                  <w:tcBorders>
                    <w:tl2br w:val="nil"/>
                    <w:tr2bl w:val="nil"/>
                  </w:tcBorders>
                  <w:noWrap w:val="0"/>
                  <w:vAlign w:val="center"/>
                </w:tcPr>
                <w:p w14:paraId="582CD44A">
                  <w:pPr>
                    <w:jc w:val="center"/>
                    <w:rPr>
                      <w:szCs w:val="21"/>
                    </w:rPr>
                  </w:pPr>
                  <w:r>
                    <w:rPr>
                      <w:szCs w:val="21"/>
                    </w:rPr>
                    <w:t>5</w:t>
                  </w:r>
                </w:p>
              </w:tc>
              <w:tc>
                <w:tcPr>
                  <w:tcW w:w="649" w:type="pct"/>
                  <w:tcBorders>
                    <w:tl2br w:val="nil"/>
                    <w:tr2bl w:val="nil"/>
                  </w:tcBorders>
                  <w:noWrap w:val="0"/>
                  <w:vAlign w:val="center"/>
                </w:tcPr>
                <w:p w14:paraId="1A84085C">
                  <w:pPr>
                    <w:jc w:val="center"/>
                    <w:rPr>
                      <w:szCs w:val="21"/>
                    </w:rPr>
                  </w:pPr>
                  <w:r>
                    <w:rPr>
                      <w:szCs w:val="21"/>
                    </w:rPr>
                    <w:t>氨氮</w:t>
                  </w:r>
                </w:p>
              </w:tc>
              <w:tc>
                <w:tcPr>
                  <w:tcW w:w="598" w:type="pct"/>
                  <w:tcBorders>
                    <w:tl2br w:val="nil"/>
                    <w:tr2bl w:val="nil"/>
                  </w:tcBorders>
                  <w:noWrap w:val="0"/>
                  <w:vAlign w:val="center"/>
                </w:tcPr>
                <w:p w14:paraId="68C65BAF">
                  <w:pPr>
                    <w:jc w:val="center"/>
                    <w:rPr>
                      <w:szCs w:val="21"/>
                    </w:rPr>
                  </w:pPr>
                  <w:r>
                    <w:rPr>
                      <w:szCs w:val="21"/>
                    </w:rPr>
                    <w:t>mg/L</w:t>
                  </w:r>
                </w:p>
              </w:tc>
              <w:tc>
                <w:tcPr>
                  <w:tcW w:w="1644" w:type="pct"/>
                  <w:tcBorders>
                    <w:tl2br w:val="nil"/>
                    <w:tr2bl w:val="nil"/>
                  </w:tcBorders>
                  <w:noWrap w:val="0"/>
                  <w:vAlign w:val="center"/>
                </w:tcPr>
                <w:p w14:paraId="7DB9D491">
                  <w:pPr>
                    <w:jc w:val="center"/>
                    <w:rPr>
                      <w:szCs w:val="21"/>
                    </w:rPr>
                  </w:pPr>
                  <w:r>
                    <w:rPr>
                      <w:szCs w:val="21"/>
                    </w:rPr>
                    <w:t>/</w:t>
                  </w:r>
                </w:p>
              </w:tc>
              <w:tc>
                <w:tcPr>
                  <w:tcW w:w="1726" w:type="pct"/>
                  <w:tcBorders>
                    <w:tl2br w:val="nil"/>
                    <w:tr2bl w:val="nil"/>
                  </w:tcBorders>
                  <w:noWrap w:val="0"/>
                  <w:vAlign w:val="center"/>
                </w:tcPr>
                <w:p w14:paraId="0470B880">
                  <w:pPr>
                    <w:jc w:val="center"/>
                    <w:rPr>
                      <w:szCs w:val="21"/>
                    </w:rPr>
                  </w:pPr>
                  <w:r>
                    <w:rPr>
                      <w:szCs w:val="21"/>
                    </w:rPr>
                    <w:t>5</w:t>
                  </w:r>
                </w:p>
              </w:tc>
            </w:tr>
            <w:tr w14:paraId="15CE7E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380" w:type="pct"/>
                  <w:tcBorders>
                    <w:tl2br w:val="nil"/>
                    <w:tr2bl w:val="nil"/>
                  </w:tcBorders>
                  <w:noWrap w:val="0"/>
                  <w:vAlign w:val="center"/>
                </w:tcPr>
                <w:p w14:paraId="02D736D0">
                  <w:pPr>
                    <w:jc w:val="center"/>
                    <w:rPr>
                      <w:szCs w:val="21"/>
                    </w:rPr>
                  </w:pPr>
                  <w:r>
                    <w:rPr>
                      <w:szCs w:val="21"/>
                    </w:rPr>
                    <w:t>6</w:t>
                  </w:r>
                </w:p>
              </w:tc>
              <w:tc>
                <w:tcPr>
                  <w:tcW w:w="649" w:type="pct"/>
                  <w:tcBorders>
                    <w:tl2br w:val="nil"/>
                    <w:tr2bl w:val="nil"/>
                  </w:tcBorders>
                  <w:noWrap w:val="0"/>
                  <w:vAlign w:val="center"/>
                </w:tcPr>
                <w:p w14:paraId="05D5A681">
                  <w:pPr>
                    <w:jc w:val="center"/>
                    <w:rPr>
                      <w:szCs w:val="21"/>
                    </w:rPr>
                  </w:pPr>
                  <w:r>
                    <w:rPr>
                      <w:szCs w:val="21"/>
                    </w:rPr>
                    <w:t>TP</w:t>
                  </w:r>
                </w:p>
              </w:tc>
              <w:tc>
                <w:tcPr>
                  <w:tcW w:w="598" w:type="pct"/>
                  <w:tcBorders>
                    <w:tl2br w:val="nil"/>
                    <w:tr2bl w:val="nil"/>
                  </w:tcBorders>
                  <w:noWrap w:val="0"/>
                  <w:vAlign w:val="center"/>
                </w:tcPr>
                <w:p w14:paraId="54315EC3">
                  <w:pPr>
                    <w:jc w:val="center"/>
                    <w:rPr>
                      <w:szCs w:val="21"/>
                    </w:rPr>
                  </w:pPr>
                  <w:r>
                    <w:rPr>
                      <w:szCs w:val="21"/>
                    </w:rPr>
                    <w:t>mg/L</w:t>
                  </w:r>
                </w:p>
              </w:tc>
              <w:tc>
                <w:tcPr>
                  <w:tcW w:w="1644" w:type="pct"/>
                  <w:tcBorders>
                    <w:tl2br w:val="nil"/>
                    <w:tr2bl w:val="nil"/>
                  </w:tcBorders>
                  <w:noWrap w:val="0"/>
                  <w:vAlign w:val="center"/>
                </w:tcPr>
                <w:p w14:paraId="217B365A">
                  <w:pPr>
                    <w:jc w:val="center"/>
                    <w:rPr>
                      <w:szCs w:val="21"/>
                    </w:rPr>
                  </w:pPr>
                  <w:r>
                    <w:rPr>
                      <w:szCs w:val="21"/>
                    </w:rPr>
                    <w:t>/</w:t>
                  </w:r>
                </w:p>
              </w:tc>
              <w:tc>
                <w:tcPr>
                  <w:tcW w:w="1726" w:type="pct"/>
                  <w:tcBorders>
                    <w:tl2br w:val="nil"/>
                    <w:tr2bl w:val="nil"/>
                  </w:tcBorders>
                  <w:noWrap w:val="0"/>
                  <w:vAlign w:val="center"/>
                </w:tcPr>
                <w:p w14:paraId="6A57EC2D">
                  <w:pPr>
                    <w:widowControl/>
                    <w:jc w:val="center"/>
                    <w:rPr>
                      <w:szCs w:val="21"/>
                      <w:highlight w:val="cyan"/>
                    </w:rPr>
                  </w:pPr>
                  <w:r>
                    <w:rPr>
                      <w:rFonts w:eastAsia="Times New Roman"/>
                      <w:spacing w:val="4"/>
                      <w:sz w:val="20"/>
                      <w:szCs w:val="20"/>
                    </w:rPr>
                    <w:t>0</w:t>
                  </w:r>
                  <w:r>
                    <w:rPr>
                      <w:rFonts w:eastAsia="Times New Roman"/>
                      <w:spacing w:val="3"/>
                      <w:sz w:val="20"/>
                      <w:szCs w:val="20"/>
                    </w:rPr>
                    <w:t>.5</w:t>
                  </w:r>
                </w:p>
              </w:tc>
            </w:tr>
            <w:tr w14:paraId="38FBF9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380" w:type="pct"/>
                  <w:tcBorders>
                    <w:tl2br w:val="nil"/>
                    <w:tr2bl w:val="nil"/>
                  </w:tcBorders>
                  <w:noWrap w:val="0"/>
                  <w:vAlign w:val="center"/>
                </w:tcPr>
                <w:p w14:paraId="7C398D2F">
                  <w:pPr>
                    <w:jc w:val="center"/>
                    <w:rPr>
                      <w:szCs w:val="21"/>
                    </w:rPr>
                  </w:pPr>
                  <w:r>
                    <w:rPr>
                      <w:szCs w:val="21"/>
                    </w:rPr>
                    <w:t>7</w:t>
                  </w:r>
                </w:p>
              </w:tc>
              <w:tc>
                <w:tcPr>
                  <w:tcW w:w="649" w:type="pct"/>
                  <w:tcBorders>
                    <w:tl2br w:val="nil"/>
                    <w:tr2bl w:val="nil"/>
                  </w:tcBorders>
                  <w:noWrap w:val="0"/>
                  <w:vAlign w:val="center"/>
                </w:tcPr>
                <w:p w14:paraId="139575EF">
                  <w:pPr>
                    <w:jc w:val="center"/>
                    <w:rPr>
                      <w:szCs w:val="21"/>
                    </w:rPr>
                  </w:pPr>
                  <w:r>
                    <w:t>阴离子表面活性剂</w:t>
                  </w:r>
                </w:p>
              </w:tc>
              <w:tc>
                <w:tcPr>
                  <w:tcW w:w="598" w:type="pct"/>
                  <w:tcBorders>
                    <w:tl2br w:val="nil"/>
                    <w:tr2bl w:val="nil"/>
                  </w:tcBorders>
                  <w:noWrap w:val="0"/>
                  <w:vAlign w:val="center"/>
                </w:tcPr>
                <w:p w14:paraId="57A14392">
                  <w:pPr>
                    <w:jc w:val="center"/>
                    <w:rPr>
                      <w:szCs w:val="21"/>
                    </w:rPr>
                  </w:pPr>
                  <w:r>
                    <w:rPr>
                      <w:szCs w:val="21"/>
                    </w:rPr>
                    <w:t>mg/L</w:t>
                  </w:r>
                </w:p>
              </w:tc>
              <w:tc>
                <w:tcPr>
                  <w:tcW w:w="1644" w:type="pct"/>
                  <w:tcBorders>
                    <w:tl2br w:val="nil"/>
                    <w:tr2bl w:val="nil"/>
                  </w:tcBorders>
                  <w:noWrap w:val="0"/>
                  <w:vAlign w:val="center"/>
                </w:tcPr>
                <w:p w14:paraId="68AF0999">
                  <w:pPr>
                    <w:jc w:val="center"/>
                    <w:rPr>
                      <w:szCs w:val="21"/>
                    </w:rPr>
                  </w:pPr>
                  <w:r>
                    <w:rPr>
                      <w:szCs w:val="21"/>
                    </w:rPr>
                    <w:t>10</w:t>
                  </w:r>
                </w:p>
              </w:tc>
              <w:tc>
                <w:tcPr>
                  <w:tcW w:w="1726" w:type="pct"/>
                  <w:tcBorders>
                    <w:tl2br w:val="nil"/>
                    <w:tr2bl w:val="nil"/>
                  </w:tcBorders>
                  <w:noWrap w:val="0"/>
                  <w:vAlign w:val="center"/>
                </w:tcPr>
                <w:p w14:paraId="0F514932">
                  <w:pPr>
                    <w:widowControl/>
                    <w:jc w:val="center"/>
                    <w:rPr>
                      <w:spacing w:val="4"/>
                      <w:sz w:val="20"/>
                      <w:szCs w:val="20"/>
                    </w:rPr>
                  </w:pPr>
                  <w:r>
                    <w:rPr>
                      <w:spacing w:val="4"/>
                      <w:sz w:val="20"/>
                      <w:szCs w:val="20"/>
                    </w:rPr>
                    <w:t>0.5</w:t>
                  </w:r>
                </w:p>
              </w:tc>
            </w:tr>
            <w:tr w14:paraId="53590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380" w:type="pct"/>
                  <w:tcBorders>
                    <w:tl2br w:val="nil"/>
                    <w:tr2bl w:val="nil"/>
                  </w:tcBorders>
                  <w:noWrap w:val="0"/>
                  <w:vAlign w:val="center"/>
                </w:tcPr>
                <w:p w14:paraId="6CFBFB35">
                  <w:pPr>
                    <w:jc w:val="center"/>
                    <w:rPr>
                      <w:szCs w:val="21"/>
                    </w:rPr>
                  </w:pPr>
                  <w:r>
                    <w:rPr>
                      <w:szCs w:val="21"/>
                    </w:rPr>
                    <w:t>8</w:t>
                  </w:r>
                </w:p>
              </w:tc>
              <w:tc>
                <w:tcPr>
                  <w:tcW w:w="649" w:type="pct"/>
                  <w:tcBorders>
                    <w:tl2br w:val="nil"/>
                    <w:tr2bl w:val="nil"/>
                  </w:tcBorders>
                  <w:noWrap w:val="0"/>
                  <w:vAlign w:val="center"/>
                </w:tcPr>
                <w:p w14:paraId="4677843E">
                  <w:pPr>
                    <w:jc w:val="center"/>
                    <w:rPr>
                      <w:szCs w:val="21"/>
                    </w:rPr>
                  </w:pPr>
                  <w:r>
                    <w:t>粪大肠菌群数</w:t>
                  </w:r>
                </w:p>
              </w:tc>
              <w:tc>
                <w:tcPr>
                  <w:tcW w:w="598" w:type="pct"/>
                  <w:tcBorders>
                    <w:tl2br w:val="nil"/>
                    <w:tr2bl w:val="nil"/>
                  </w:tcBorders>
                  <w:noWrap w:val="0"/>
                  <w:vAlign w:val="center"/>
                </w:tcPr>
                <w:p w14:paraId="4EE44190">
                  <w:pPr>
                    <w:jc w:val="center"/>
                    <w:rPr>
                      <w:szCs w:val="21"/>
                    </w:rPr>
                  </w:pPr>
                  <w:r>
                    <w:rPr>
                      <w:szCs w:val="21"/>
                    </w:rPr>
                    <w:t>个/L</w:t>
                  </w:r>
                </w:p>
              </w:tc>
              <w:tc>
                <w:tcPr>
                  <w:tcW w:w="1644" w:type="pct"/>
                  <w:tcBorders>
                    <w:tl2br w:val="nil"/>
                    <w:tr2bl w:val="nil"/>
                  </w:tcBorders>
                  <w:noWrap w:val="0"/>
                  <w:vAlign w:val="center"/>
                </w:tcPr>
                <w:p w14:paraId="68EBCBEE">
                  <w:pPr>
                    <w:jc w:val="center"/>
                    <w:rPr>
                      <w:szCs w:val="21"/>
                    </w:rPr>
                  </w:pPr>
                  <w:r>
                    <w:rPr>
                      <w:rFonts w:hint="eastAsia"/>
                      <w:szCs w:val="21"/>
                    </w:rPr>
                    <w:t>5000</w:t>
                  </w:r>
                </w:p>
              </w:tc>
              <w:tc>
                <w:tcPr>
                  <w:tcW w:w="1726" w:type="pct"/>
                  <w:tcBorders>
                    <w:tl2br w:val="nil"/>
                    <w:tr2bl w:val="nil"/>
                  </w:tcBorders>
                  <w:noWrap w:val="0"/>
                  <w:vAlign w:val="center"/>
                </w:tcPr>
                <w:p w14:paraId="2B78B52D">
                  <w:pPr>
                    <w:widowControl/>
                    <w:jc w:val="center"/>
                    <w:rPr>
                      <w:spacing w:val="4"/>
                      <w:sz w:val="20"/>
                      <w:szCs w:val="20"/>
                    </w:rPr>
                  </w:pPr>
                  <w:r>
                    <w:rPr>
                      <w:spacing w:val="4"/>
                      <w:sz w:val="20"/>
                      <w:szCs w:val="20"/>
                    </w:rPr>
                    <w:t>1000</w:t>
                  </w:r>
                </w:p>
              </w:tc>
            </w:tr>
            <w:tr w14:paraId="784D1B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380" w:type="pct"/>
                  <w:tcBorders>
                    <w:tl2br w:val="nil"/>
                    <w:tr2bl w:val="nil"/>
                  </w:tcBorders>
                  <w:noWrap w:val="0"/>
                  <w:vAlign w:val="center"/>
                </w:tcPr>
                <w:p w14:paraId="3ACB3A17">
                  <w:pPr>
                    <w:jc w:val="center"/>
                    <w:rPr>
                      <w:szCs w:val="21"/>
                    </w:rPr>
                  </w:pPr>
                  <w:r>
                    <w:rPr>
                      <w:rFonts w:hint="eastAsia"/>
                      <w:szCs w:val="21"/>
                    </w:rPr>
                    <w:t>9</w:t>
                  </w:r>
                </w:p>
              </w:tc>
              <w:tc>
                <w:tcPr>
                  <w:tcW w:w="649" w:type="pct"/>
                  <w:tcBorders>
                    <w:tl2br w:val="nil"/>
                    <w:tr2bl w:val="nil"/>
                  </w:tcBorders>
                  <w:noWrap w:val="0"/>
                  <w:vAlign w:val="center"/>
                </w:tcPr>
                <w:p w14:paraId="77E87C35">
                  <w:pPr>
                    <w:jc w:val="center"/>
                    <w:rPr>
                      <w:color w:val="auto"/>
                    </w:rPr>
                  </w:pPr>
                  <w:r>
                    <w:rPr>
                      <w:rFonts w:hint="eastAsia"/>
                      <w:color w:val="auto"/>
                    </w:rPr>
                    <w:t>总余氯</w:t>
                  </w:r>
                </w:p>
              </w:tc>
              <w:tc>
                <w:tcPr>
                  <w:tcW w:w="598" w:type="pct"/>
                  <w:tcBorders>
                    <w:tl2br w:val="nil"/>
                    <w:tr2bl w:val="nil"/>
                  </w:tcBorders>
                  <w:noWrap w:val="0"/>
                  <w:vAlign w:val="center"/>
                </w:tcPr>
                <w:p w14:paraId="4F786B4E">
                  <w:pPr>
                    <w:jc w:val="center"/>
                    <w:rPr>
                      <w:color w:val="auto"/>
                      <w:szCs w:val="21"/>
                    </w:rPr>
                  </w:pPr>
                  <w:r>
                    <w:rPr>
                      <w:color w:val="auto"/>
                      <w:szCs w:val="21"/>
                    </w:rPr>
                    <w:t>mg/L</w:t>
                  </w:r>
                </w:p>
              </w:tc>
              <w:tc>
                <w:tcPr>
                  <w:tcW w:w="1644" w:type="pct"/>
                  <w:tcBorders>
                    <w:tl2br w:val="nil"/>
                    <w:tr2bl w:val="nil"/>
                  </w:tcBorders>
                  <w:noWrap w:val="0"/>
                  <w:vAlign w:val="center"/>
                </w:tcPr>
                <w:p w14:paraId="2D9ABC2A">
                  <w:pPr>
                    <w:jc w:val="center"/>
                    <w:rPr>
                      <w:rFonts w:hint="default" w:eastAsia="宋体"/>
                      <w:color w:val="auto"/>
                      <w:szCs w:val="21"/>
                      <w:lang w:val="en-US" w:eastAsia="zh-CN"/>
                    </w:rPr>
                  </w:pPr>
                  <w:r>
                    <w:rPr>
                      <w:rFonts w:hint="eastAsia"/>
                      <w:color w:val="auto"/>
                      <w:szCs w:val="21"/>
                      <w:lang w:val="en-US" w:eastAsia="zh-CN"/>
                    </w:rPr>
                    <w:t>2~8</w:t>
                  </w:r>
                </w:p>
              </w:tc>
              <w:tc>
                <w:tcPr>
                  <w:tcW w:w="1726" w:type="pct"/>
                  <w:tcBorders>
                    <w:tl2br w:val="nil"/>
                    <w:tr2bl w:val="nil"/>
                  </w:tcBorders>
                  <w:noWrap w:val="0"/>
                  <w:vAlign w:val="center"/>
                </w:tcPr>
                <w:p w14:paraId="29E02C51">
                  <w:pPr>
                    <w:widowControl/>
                    <w:jc w:val="center"/>
                    <w:rPr>
                      <w:color w:val="4874CB" w:themeColor="accent1"/>
                      <w:spacing w:val="4"/>
                      <w:sz w:val="20"/>
                      <w:szCs w:val="20"/>
                      <w14:textFill>
                        <w14:solidFill>
                          <w14:schemeClr w14:val="accent1"/>
                        </w14:solidFill>
                      </w14:textFill>
                    </w:rPr>
                  </w:pPr>
                  <w:r>
                    <w:rPr>
                      <w:rFonts w:hint="eastAsia"/>
                      <w:color w:val="4874CB" w:themeColor="accent1"/>
                      <w:spacing w:val="4"/>
                      <w:sz w:val="20"/>
                      <w:szCs w:val="20"/>
                      <w14:textFill>
                        <w14:solidFill>
                          <w14:schemeClr w14:val="accent1"/>
                        </w14:solidFill>
                      </w14:textFill>
                    </w:rPr>
                    <w:t>/</w:t>
                  </w:r>
                </w:p>
              </w:tc>
            </w:tr>
          </w:tbl>
          <w:p w14:paraId="75657059">
            <w:pPr>
              <w:pStyle w:val="8"/>
              <w:spacing w:line="360" w:lineRule="auto"/>
              <w:rPr>
                <w:rFonts w:ascii="Times New Roman" w:hAnsi="Times New Roman" w:cs="Times New Roman"/>
                <w:sz w:val="24"/>
              </w:rPr>
            </w:pPr>
          </w:p>
          <w:p w14:paraId="3919A7EE">
            <w:pPr>
              <w:spacing w:line="360" w:lineRule="auto"/>
              <w:ind w:firstLine="482" w:firstLineChars="200"/>
              <w:rPr>
                <w:b/>
                <w:bCs/>
                <w:color w:val="auto"/>
                <w:sz w:val="24"/>
              </w:rPr>
            </w:pPr>
            <w:r>
              <w:rPr>
                <w:rFonts w:hint="eastAsia"/>
                <w:b/>
                <w:bCs/>
                <w:color w:val="auto"/>
                <w:sz w:val="24"/>
                <w:lang w:eastAsia="zh-CN"/>
              </w:rPr>
              <w:t>2.</w:t>
            </w:r>
            <w:r>
              <w:rPr>
                <w:b/>
                <w:bCs/>
                <w:color w:val="auto"/>
                <w:sz w:val="24"/>
              </w:rPr>
              <w:t>大气污染物排放标准</w:t>
            </w:r>
          </w:p>
          <w:p w14:paraId="53F3356A">
            <w:pPr>
              <w:autoSpaceDE w:val="0"/>
              <w:autoSpaceDN w:val="0"/>
              <w:adjustRightInd w:val="0"/>
              <w:spacing w:line="360" w:lineRule="auto"/>
              <w:ind w:firstLine="480" w:firstLineChars="200"/>
              <w:jc w:val="left"/>
              <w:rPr>
                <w:rFonts w:hint="default" w:ascii="Times New Roman" w:hAnsi="Times New Roman" w:cs="Times New Roman"/>
                <w:sz w:val="24"/>
              </w:rPr>
            </w:pPr>
            <w:r>
              <w:rPr>
                <w:rFonts w:hint="eastAsia"/>
                <w:sz w:val="24"/>
              </w:rPr>
              <w:t>本项目运营期污水处理站排放的恶臭污染物执行《恶臭污染物排放标准》</w:t>
            </w:r>
            <w:r>
              <w:rPr>
                <w:rFonts w:hint="eastAsia"/>
                <w:sz w:val="24"/>
                <w:lang w:eastAsia="zh-CN"/>
              </w:rPr>
              <w:t>（</w:t>
            </w:r>
            <w:r>
              <w:rPr>
                <w:rFonts w:hint="eastAsia"/>
                <w:sz w:val="24"/>
              </w:rPr>
              <w:t>GB145</w:t>
            </w:r>
            <w:r>
              <w:rPr>
                <w:rFonts w:hint="default" w:ascii="Times New Roman" w:hAnsi="Times New Roman" w:cs="Times New Roman"/>
                <w:sz w:val="24"/>
              </w:rPr>
              <w:t>54-93</w:t>
            </w:r>
            <w:r>
              <w:rPr>
                <w:rFonts w:hint="default" w:ascii="Times New Roman" w:hAnsi="Times New Roman" w:cs="Times New Roman"/>
                <w:sz w:val="24"/>
                <w:lang w:eastAsia="zh-CN"/>
              </w:rPr>
              <w:t>）、</w:t>
            </w:r>
            <w:r>
              <w:rPr>
                <w:rFonts w:hint="eastAsia" w:ascii="Times New Roman" w:hAnsi="Times New Roman" w:cs="Times New Roman"/>
                <w:sz w:val="24"/>
                <w:lang w:eastAsia="zh-CN"/>
              </w:rPr>
              <w:t>《医疗机构水污染物排放标准》（GB18466-2005）（含2026年修改单）</w:t>
            </w:r>
            <w:r>
              <w:rPr>
                <w:rFonts w:hint="default" w:ascii="Times New Roman" w:hAnsi="Times New Roman" w:cs="Times New Roman"/>
                <w:sz w:val="24"/>
              </w:rPr>
              <w:t>中关于废气排放要求的规定，</w:t>
            </w:r>
            <w:r>
              <w:rPr>
                <w:rFonts w:hint="default" w:ascii="Times New Roman" w:hAnsi="Times New Roman" w:eastAsia="Segoe UI" w:cs="Times New Roman"/>
                <w:i w:val="0"/>
                <w:iCs w:val="0"/>
                <w:caps w:val="0"/>
                <w:color w:val="0F1115"/>
                <w:spacing w:val="0"/>
                <w:sz w:val="24"/>
                <w:szCs w:val="24"/>
                <w:shd w:val="clear" w:fill="FFFFFF"/>
              </w:rPr>
              <w:t>本项目备用柴油发电机仅在停电等应急情况下使用，其废气排放参照执行《大气污染物综合排放标准》（GB16297-1996）表2中二级标准</w:t>
            </w:r>
            <w:r>
              <w:rPr>
                <w:rFonts w:hint="default" w:ascii="Times New Roman" w:hAnsi="Times New Roman" w:eastAsia="宋体" w:cs="Times New Roman"/>
                <w:i w:val="0"/>
                <w:iCs w:val="0"/>
                <w:caps w:val="0"/>
                <w:color w:val="0F1115"/>
                <w:spacing w:val="0"/>
                <w:sz w:val="24"/>
                <w:szCs w:val="24"/>
                <w:shd w:val="clear" w:fill="FFFFFF"/>
                <w:lang w:eastAsia="zh-CN"/>
              </w:rPr>
              <w:t>，</w:t>
            </w:r>
            <w:r>
              <w:rPr>
                <w:rFonts w:hint="default" w:ascii="Times New Roman" w:hAnsi="Times New Roman" w:cs="Times New Roman"/>
                <w:sz w:val="24"/>
              </w:rPr>
              <w:t>具体见下表。</w:t>
            </w:r>
          </w:p>
          <w:p w14:paraId="4FF68651">
            <w:pPr>
              <w:pStyle w:val="8"/>
              <w:ind w:firstLine="0"/>
              <w:jc w:val="center"/>
              <w:rPr>
                <w:rFonts w:hint="default" w:ascii="Times New Roman" w:hAnsi="Times New Roman" w:cs="Times New Roman"/>
                <w:b/>
                <w:bCs/>
                <w:sz w:val="21"/>
                <w:szCs w:val="21"/>
                <w:lang w:val="en-US" w:eastAsia="zh-CN"/>
              </w:rPr>
            </w:pPr>
            <w:r>
              <w:rPr>
                <w:rFonts w:hint="default" w:ascii="Times New Roman" w:hAnsi="Times New Roman" w:cs="Times New Roman"/>
                <w:b/>
                <w:bCs/>
                <w:sz w:val="21"/>
                <w:szCs w:val="21"/>
                <w:lang w:eastAsia="zh-CN"/>
              </w:rPr>
              <w:t>表</w:t>
            </w:r>
            <w:r>
              <w:rPr>
                <w:rFonts w:hint="default" w:ascii="Times New Roman" w:hAnsi="Times New Roman" w:cs="Times New Roman"/>
                <w:b/>
                <w:bCs/>
                <w:sz w:val="21"/>
                <w:szCs w:val="21"/>
                <w:lang w:val="en-US" w:eastAsia="zh-CN"/>
              </w:rPr>
              <w:t>3-6 大气污染物排放标准一览表</w:t>
            </w:r>
          </w:p>
          <w:tbl>
            <w:tblPr>
              <w:tblStyle w:val="14"/>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15"/>
              <w:gridCol w:w="1515"/>
              <w:gridCol w:w="1605"/>
              <w:gridCol w:w="3971"/>
            </w:tblGrid>
            <w:tr w14:paraId="47B78E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82" w:type="pct"/>
                  <w:vMerge w:val="restart"/>
                  <w:noWrap w:val="0"/>
                  <w:vAlign w:val="center"/>
                </w:tcPr>
                <w:p w14:paraId="1FDCB8C9">
                  <w:pPr>
                    <w:jc w:val="center"/>
                    <w:rPr>
                      <w:rFonts w:hint="default" w:ascii="Times New Roman" w:hAnsi="Times New Roman" w:cs="Times New Roman"/>
                      <w:b w:val="0"/>
                      <w:bCs w:val="0"/>
                      <w:spacing w:val="-6"/>
                      <w:szCs w:val="21"/>
                    </w:rPr>
                  </w:pPr>
                  <w:r>
                    <w:rPr>
                      <w:rFonts w:hint="default" w:ascii="Times New Roman" w:hAnsi="Times New Roman" w:cs="Times New Roman"/>
                      <w:b w:val="0"/>
                      <w:bCs w:val="0"/>
                      <w:spacing w:val="-6"/>
                      <w:szCs w:val="21"/>
                    </w:rPr>
                    <w:t>污染物名称</w:t>
                  </w:r>
                </w:p>
              </w:tc>
              <w:tc>
                <w:tcPr>
                  <w:tcW w:w="901" w:type="pct"/>
                  <w:noWrap w:val="0"/>
                  <w:vAlign w:val="center"/>
                </w:tcPr>
                <w:p w14:paraId="1142230B">
                  <w:pPr>
                    <w:jc w:val="center"/>
                    <w:rPr>
                      <w:rFonts w:hint="default" w:ascii="Times New Roman" w:hAnsi="Times New Roman" w:cs="Times New Roman"/>
                      <w:b w:val="0"/>
                      <w:bCs w:val="0"/>
                      <w:spacing w:val="-6"/>
                      <w:szCs w:val="21"/>
                    </w:rPr>
                  </w:pPr>
                  <w:r>
                    <w:rPr>
                      <w:rFonts w:hint="default" w:ascii="Times New Roman" w:hAnsi="Times New Roman" w:cs="Times New Roman"/>
                      <w:b w:val="0"/>
                      <w:bCs w:val="0"/>
                      <w:spacing w:val="-6"/>
                      <w:szCs w:val="21"/>
                    </w:rPr>
                    <w:t>排放限值</w:t>
                  </w:r>
                </w:p>
              </w:tc>
              <w:tc>
                <w:tcPr>
                  <w:tcW w:w="954" w:type="pct"/>
                  <w:noWrap w:val="0"/>
                  <w:vAlign w:val="center"/>
                </w:tcPr>
                <w:p w14:paraId="47DB3BFA">
                  <w:pPr>
                    <w:jc w:val="center"/>
                    <w:rPr>
                      <w:rFonts w:hint="default" w:ascii="Times New Roman" w:hAnsi="Times New Roman" w:cs="Times New Roman"/>
                      <w:b w:val="0"/>
                      <w:bCs w:val="0"/>
                      <w:spacing w:val="-6"/>
                      <w:szCs w:val="21"/>
                    </w:rPr>
                  </w:pPr>
                  <w:r>
                    <w:rPr>
                      <w:rFonts w:hint="default" w:ascii="Times New Roman" w:hAnsi="Times New Roman" w:cs="Times New Roman"/>
                      <w:b w:val="0"/>
                      <w:bCs w:val="0"/>
                      <w:szCs w:val="21"/>
                    </w:rPr>
                    <w:t>单位</w:t>
                  </w:r>
                </w:p>
              </w:tc>
              <w:tc>
                <w:tcPr>
                  <w:tcW w:w="2362" w:type="pct"/>
                  <w:vMerge w:val="restart"/>
                  <w:noWrap w:val="0"/>
                  <w:vAlign w:val="center"/>
                </w:tcPr>
                <w:p w14:paraId="28DF1ABD">
                  <w:pPr>
                    <w:jc w:val="center"/>
                    <w:rPr>
                      <w:rFonts w:hint="default" w:ascii="Times New Roman" w:hAnsi="Times New Roman" w:cs="Times New Roman"/>
                      <w:b w:val="0"/>
                      <w:bCs w:val="0"/>
                      <w:spacing w:val="-6"/>
                      <w:szCs w:val="21"/>
                    </w:rPr>
                  </w:pPr>
                  <w:r>
                    <w:rPr>
                      <w:rFonts w:hint="default" w:ascii="Times New Roman" w:hAnsi="Times New Roman" w:cs="Times New Roman"/>
                      <w:b w:val="0"/>
                      <w:bCs w:val="0"/>
                      <w:szCs w:val="21"/>
                    </w:rPr>
                    <w:t>执行标准</w:t>
                  </w:r>
                </w:p>
              </w:tc>
            </w:tr>
            <w:tr w14:paraId="09EB12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82" w:type="pct"/>
                  <w:vMerge w:val="continue"/>
                  <w:noWrap w:val="0"/>
                  <w:vAlign w:val="center"/>
                </w:tcPr>
                <w:p w14:paraId="2421AD26">
                  <w:pPr>
                    <w:jc w:val="center"/>
                    <w:rPr>
                      <w:rFonts w:hint="default" w:ascii="Times New Roman" w:hAnsi="Times New Roman" w:cs="Times New Roman"/>
                      <w:b w:val="0"/>
                      <w:bCs w:val="0"/>
                      <w:spacing w:val="-6"/>
                      <w:szCs w:val="21"/>
                    </w:rPr>
                  </w:pPr>
                </w:p>
              </w:tc>
              <w:tc>
                <w:tcPr>
                  <w:tcW w:w="901" w:type="pct"/>
                  <w:noWrap w:val="0"/>
                  <w:vAlign w:val="center"/>
                </w:tcPr>
                <w:p w14:paraId="5F0E3733">
                  <w:pPr>
                    <w:jc w:val="center"/>
                    <w:rPr>
                      <w:rFonts w:hint="default" w:ascii="Times New Roman" w:hAnsi="Times New Roman" w:eastAsia="宋体" w:cs="Times New Roman"/>
                      <w:b w:val="0"/>
                      <w:bCs w:val="0"/>
                      <w:spacing w:val="-6"/>
                      <w:szCs w:val="21"/>
                      <w:lang w:eastAsia="zh-CN"/>
                    </w:rPr>
                  </w:pPr>
                  <w:r>
                    <w:rPr>
                      <w:rFonts w:hint="default" w:ascii="Times New Roman" w:hAnsi="Times New Roman" w:cs="Times New Roman"/>
                      <w:b w:val="0"/>
                      <w:bCs w:val="0"/>
                      <w:spacing w:val="-6"/>
                      <w:szCs w:val="21"/>
                      <w:lang w:eastAsia="zh-CN"/>
                    </w:rPr>
                    <w:t>有组织</w:t>
                  </w:r>
                </w:p>
              </w:tc>
              <w:tc>
                <w:tcPr>
                  <w:tcW w:w="954" w:type="pct"/>
                  <w:noWrap w:val="0"/>
                  <w:vAlign w:val="center"/>
                </w:tcPr>
                <w:p w14:paraId="1F36B05C">
                  <w:pPr>
                    <w:jc w:val="center"/>
                    <w:rPr>
                      <w:rFonts w:hint="default" w:ascii="Times New Roman" w:hAnsi="Times New Roman" w:eastAsia="宋体" w:cs="Times New Roman"/>
                      <w:b w:val="0"/>
                      <w:bCs w:val="0"/>
                      <w:szCs w:val="21"/>
                      <w:lang w:eastAsia="zh-CN"/>
                    </w:rPr>
                  </w:pPr>
                  <w:r>
                    <w:rPr>
                      <w:rFonts w:hint="default" w:ascii="Times New Roman" w:hAnsi="Times New Roman" w:cs="Times New Roman"/>
                      <w:b w:val="0"/>
                      <w:bCs w:val="0"/>
                      <w:szCs w:val="21"/>
                      <w:lang w:eastAsia="zh-CN"/>
                    </w:rPr>
                    <w:t>无组织</w:t>
                  </w:r>
                </w:p>
              </w:tc>
              <w:tc>
                <w:tcPr>
                  <w:tcW w:w="2362" w:type="pct"/>
                  <w:vMerge w:val="continue"/>
                  <w:noWrap w:val="0"/>
                  <w:vAlign w:val="center"/>
                </w:tcPr>
                <w:p w14:paraId="0EDF3914">
                  <w:pPr>
                    <w:jc w:val="center"/>
                    <w:rPr>
                      <w:rFonts w:hint="default" w:ascii="Times New Roman" w:hAnsi="Times New Roman" w:cs="Times New Roman"/>
                      <w:b w:val="0"/>
                      <w:bCs w:val="0"/>
                      <w:szCs w:val="21"/>
                    </w:rPr>
                  </w:pPr>
                </w:p>
              </w:tc>
            </w:tr>
            <w:tr w14:paraId="0DFD70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82" w:type="pct"/>
                  <w:noWrap w:val="0"/>
                  <w:vAlign w:val="center"/>
                </w:tcPr>
                <w:p w14:paraId="7CC5CDFF">
                  <w:pPr>
                    <w:jc w:val="center"/>
                    <w:rPr>
                      <w:rFonts w:hint="default" w:ascii="Times New Roman" w:hAnsi="Times New Roman" w:cs="Times New Roman"/>
                      <w:b w:val="0"/>
                      <w:bCs w:val="0"/>
                      <w:szCs w:val="21"/>
                    </w:rPr>
                  </w:pPr>
                  <w:r>
                    <w:rPr>
                      <w:rFonts w:hint="default" w:ascii="Times New Roman" w:hAnsi="Times New Roman" w:cs="Times New Roman"/>
                      <w:b w:val="0"/>
                      <w:bCs w:val="0"/>
                      <w:szCs w:val="21"/>
                    </w:rPr>
                    <w:t>氨</w:t>
                  </w:r>
                </w:p>
              </w:tc>
              <w:tc>
                <w:tcPr>
                  <w:tcW w:w="901" w:type="pct"/>
                  <w:noWrap w:val="0"/>
                  <w:vAlign w:val="center"/>
                </w:tcPr>
                <w:p w14:paraId="5645C8E9">
                  <w:pPr>
                    <w:jc w:val="center"/>
                    <w:rPr>
                      <w:rFonts w:hint="default" w:ascii="Times New Roman" w:hAnsi="Times New Roman" w:eastAsia="宋体" w:cs="Times New Roman"/>
                      <w:b w:val="0"/>
                      <w:bCs w:val="0"/>
                      <w:spacing w:val="-6"/>
                      <w:szCs w:val="21"/>
                      <w:lang w:val="en-US" w:eastAsia="zh-CN"/>
                    </w:rPr>
                  </w:pPr>
                  <w:r>
                    <w:rPr>
                      <w:rFonts w:hint="default" w:ascii="Times New Roman" w:hAnsi="Times New Roman" w:cs="Times New Roman"/>
                      <w:b w:val="0"/>
                      <w:bCs w:val="0"/>
                      <w:szCs w:val="21"/>
                      <w:lang w:val="en-US" w:eastAsia="zh-CN"/>
                    </w:rPr>
                    <w:t>4.9kg/h</w:t>
                  </w:r>
                </w:p>
              </w:tc>
              <w:tc>
                <w:tcPr>
                  <w:tcW w:w="954" w:type="pct"/>
                  <w:noWrap w:val="0"/>
                  <w:vAlign w:val="center"/>
                </w:tcPr>
                <w:p w14:paraId="1DE6D4BD">
                  <w:pPr>
                    <w:jc w:val="center"/>
                    <w:rPr>
                      <w:rFonts w:hint="default" w:ascii="Times New Roman" w:hAnsi="Times New Roman" w:cs="Times New Roman"/>
                      <w:b w:val="0"/>
                      <w:bCs w:val="0"/>
                      <w:spacing w:val="-6"/>
                      <w:sz w:val="21"/>
                      <w:szCs w:val="21"/>
                    </w:rPr>
                  </w:pPr>
                  <w:r>
                    <w:rPr>
                      <w:rFonts w:hint="default" w:ascii="Times New Roman" w:hAnsi="Times New Roman" w:cs="Times New Roman"/>
                      <w:b w:val="0"/>
                      <w:bCs w:val="0"/>
                      <w:szCs w:val="21"/>
                    </w:rPr>
                    <w:t>1.0</w:t>
                  </w:r>
                  <w:r>
                    <w:rPr>
                      <w:rFonts w:hint="default" w:ascii="Times New Roman" w:hAnsi="Times New Roman" w:cs="Times New Roman"/>
                      <w:b w:val="0"/>
                      <w:bCs w:val="0"/>
                      <w:szCs w:val="21"/>
                      <w:lang w:val="en-US" w:eastAsia="zh-CN"/>
                    </w:rPr>
                    <w:t>mg/m</w:t>
                  </w:r>
                  <w:r>
                    <w:rPr>
                      <w:rFonts w:hint="default" w:ascii="Times New Roman" w:hAnsi="Times New Roman" w:cs="Times New Roman"/>
                      <w:b w:val="0"/>
                      <w:bCs w:val="0"/>
                      <w:szCs w:val="21"/>
                      <w:vertAlign w:val="superscript"/>
                      <w:lang w:val="en-US" w:eastAsia="zh-CN"/>
                    </w:rPr>
                    <w:t>3</w:t>
                  </w:r>
                </w:p>
              </w:tc>
              <w:tc>
                <w:tcPr>
                  <w:tcW w:w="2362" w:type="pct"/>
                  <w:vMerge w:val="restart"/>
                  <w:noWrap w:val="0"/>
                  <w:vAlign w:val="center"/>
                </w:tcPr>
                <w:p w14:paraId="6DC2AF58">
                  <w:pPr>
                    <w:jc w:val="center"/>
                    <w:rPr>
                      <w:rFonts w:hint="eastAsia" w:ascii="Times New Roman" w:hAnsi="Times New Roman" w:eastAsia="宋体" w:cs="Times New Roman"/>
                      <w:b w:val="0"/>
                      <w:bCs w:val="0"/>
                      <w:spacing w:val="-6"/>
                      <w:szCs w:val="21"/>
                      <w:lang w:eastAsia="zh-CN"/>
                    </w:rPr>
                  </w:pPr>
                  <w:r>
                    <w:rPr>
                      <w:rFonts w:hint="default" w:ascii="Times New Roman" w:hAnsi="Times New Roman" w:cs="Times New Roman"/>
                      <w:b w:val="0"/>
                      <w:bCs w:val="0"/>
                      <w:sz w:val="21"/>
                      <w:szCs w:val="21"/>
                    </w:rPr>
                    <w:t>《恶臭污染物排放标准》</w:t>
                  </w:r>
                  <w:r>
                    <w:rPr>
                      <w:rFonts w:hint="default" w:ascii="Times New Roman" w:hAnsi="Times New Roman" w:cs="Times New Roman"/>
                      <w:b w:val="0"/>
                      <w:bCs w:val="0"/>
                      <w:sz w:val="21"/>
                      <w:szCs w:val="21"/>
                      <w:lang w:eastAsia="zh-CN"/>
                    </w:rPr>
                    <w:t>（</w:t>
                  </w:r>
                  <w:r>
                    <w:rPr>
                      <w:rFonts w:hint="default" w:ascii="Times New Roman" w:hAnsi="Times New Roman" w:cs="Times New Roman"/>
                      <w:b w:val="0"/>
                      <w:bCs w:val="0"/>
                      <w:sz w:val="21"/>
                      <w:szCs w:val="21"/>
                    </w:rPr>
                    <w:t>GB14554-93</w:t>
                  </w:r>
                  <w:r>
                    <w:rPr>
                      <w:rFonts w:hint="default" w:ascii="Times New Roman" w:hAnsi="Times New Roman" w:cs="Times New Roman"/>
                      <w:b w:val="0"/>
                      <w:bCs w:val="0"/>
                      <w:sz w:val="21"/>
                      <w:szCs w:val="21"/>
                      <w:lang w:eastAsia="zh-CN"/>
                    </w:rPr>
                    <w:t>）、</w:t>
                  </w:r>
                  <w:r>
                    <w:rPr>
                      <w:rFonts w:hint="eastAsia" w:ascii="Times New Roman" w:hAnsi="Times New Roman" w:cs="Times New Roman"/>
                      <w:b w:val="0"/>
                      <w:bCs w:val="0"/>
                      <w:spacing w:val="-6"/>
                      <w:szCs w:val="21"/>
                      <w:lang w:eastAsia="zh-CN"/>
                    </w:rPr>
                    <w:t>《医疗机构水污染物排放标准》（GB18466-2005）（含2026年修改单）</w:t>
                  </w:r>
                </w:p>
              </w:tc>
            </w:tr>
            <w:tr w14:paraId="7765A2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82" w:type="pct"/>
                  <w:noWrap w:val="0"/>
                  <w:vAlign w:val="center"/>
                </w:tcPr>
                <w:p w14:paraId="66E3294A">
                  <w:pPr>
                    <w:jc w:val="center"/>
                    <w:rPr>
                      <w:rFonts w:hint="default" w:ascii="Times New Roman" w:hAnsi="Times New Roman" w:cs="Times New Roman"/>
                      <w:b w:val="0"/>
                      <w:bCs w:val="0"/>
                      <w:spacing w:val="-6"/>
                      <w:szCs w:val="21"/>
                    </w:rPr>
                  </w:pPr>
                  <w:r>
                    <w:rPr>
                      <w:rFonts w:hint="default" w:ascii="Times New Roman" w:hAnsi="Times New Roman" w:cs="Times New Roman"/>
                      <w:b w:val="0"/>
                      <w:bCs w:val="0"/>
                      <w:spacing w:val="-6"/>
                      <w:szCs w:val="21"/>
                    </w:rPr>
                    <w:t>硫化氢</w:t>
                  </w:r>
                </w:p>
              </w:tc>
              <w:tc>
                <w:tcPr>
                  <w:tcW w:w="901" w:type="pct"/>
                  <w:noWrap w:val="0"/>
                  <w:vAlign w:val="center"/>
                </w:tcPr>
                <w:p w14:paraId="3D0C8904">
                  <w:pPr>
                    <w:jc w:val="center"/>
                    <w:rPr>
                      <w:rFonts w:hint="default" w:ascii="Times New Roman" w:hAnsi="Times New Roman" w:eastAsia="宋体" w:cs="Times New Roman"/>
                      <w:b w:val="0"/>
                      <w:bCs w:val="0"/>
                      <w:spacing w:val="-6"/>
                      <w:szCs w:val="21"/>
                      <w:lang w:val="en-US" w:eastAsia="zh-CN"/>
                    </w:rPr>
                  </w:pPr>
                  <w:r>
                    <w:rPr>
                      <w:rFonts w:hint="default" w:ascii="Times New Roman" w:hAnsi="Times New Roman" w:cs="Times New Roman"/>
                      <w:b w:val="0"/>
                      <w:bCs w:val="0"/>
                      <w:szCs w:val="21"/>
                      <w:lang w:val="en-US" w:eastAsia="zh-CN"/>
                    </w:rPr>
                    <w:t>0.33kg/h</w:t>
                  </w:r>
                </w:p>
              </w:tc>
              <w:tc>
                <w:tcPr>
                  <w:tcW w:w="954" w:type="pct"/>
                  <w:noWrap w:val="0"/>
                  <w:vAlign w:val="center"/>
                </w:tcPr>
                <w:p w14:paraId="0BB1D94F">
                  <w:pPr>
                    <w:jc w:val="center"/>
                    <w:rPr>
                      <w:rFonts w:hint="default" w:ascii="Times New Roman" w:hAnsi="Times New Roman" w:cs="Times New Roman"/>
                      <w:b w:val="0"/>
                      <w:bCs w:val="0"/>
                      <w:spacing w:val="-6"/>
                      <w:sz w:val="21"/>
                      <w:szCs w:val="21"/>
                    </w:rPr>
                  </w:pPr>
                  <w:r>
                    <w:rPr>
                      <w:rFonts w:hint="default" w:ascii="Times New Roman" w:hAnsi="Times New Roman" w:cs="Times New Roman"/>
                      <w:b w:val="0"/>
                      <w:bCs w:val="0"/>
                      <w:szCs w:val="21"/>
                    </w:rPr>
                    <w:t>0.03</w:t>
                  </w:r>
                  <w:r>
                    <w:rPr>
                      <w:rFonts w:hint="default" w:ascii="Times New Roman" w:hAnsi="Times New Roman" w:cs="Times New Roman"/>
                      <w:b w:val="0"/>
                      <w:bCs w:val="0"/>
                      <w:szCs w:val="21"/>
                      <w:lang w:val="en-US" w:eastAsia="zh-CN"/>
                    </w:rPr>
                    <w:t>mg/m</w:t>
                  </w:r>
                  <w:r>
                    <w:rPr>
                      <w:rFonts w:hint="default" w:ascii="Times New Roman" w:hAnsi="Times New Roman" w:cs="Times New Roman"/>
                      <w:b w:val="0"/>
                      <w:bCs w:val="0"/>
                      <w:szCs w:val="21"/>
                      <w:vertAlign w:val="superscript"/>
                      <w:lang w:val="en-US" w:eastAsia="zh-CN"/>
                    </w:rPr>
                    <w:t>3</w:t>
                  </w:r>
                </w:p>
              </w:tc>
              <w:tc>
                <w:tcPr>
                  <w:tcW w:w="2362" w:type="pct"/>
                  <w:vMerge w:val="continue"/>
                  <w:noWrap w:val="0"/>
                  <w:vAlign w:val="center"/>
                </w:tcPr>
                <w:p w14:paraId="5FA33FD2">
                  <w:pPr>
                    <w:jc w:val="center"/>
                    <w:rPr>
                      <w:rFonts w:hint="default" w:ascii="Times New Roman" w:hAnsi="Times New Roman" w:cs="Times New Roman"/>
                      <w:b w:val="0"/>
                      <w:bCs w:val="0"/>
                      <w:spacing w:val="-6"/>
                      <w:szCs w:val="21"/>
                    </w:rPr>
                  </w:pPr>
                </w:p>
              </w:tc>
            </w:tr>
            <w:tr w14:paraId="1FCBA8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82" w:type="pct"/>
                  <w:noWrap w:val="0"/>
                  <w:vAlign w:val="center"/>
                </w:tcPr>
                <w:p w14:paraId="7FA3C842">
                  <w:pPr>
                    <w:jc w:val="center"/>
                    <w:rPr>
                      <w:rFonts w:hint="default" w:ascii="Times New Roman" w:hAnsi="Times New Roman" w:cs="Times New Roman"/>
                      <w:b w:val="0"/>
                      <w:bCs w:val="0"/>
                      <w:spacing w:val="-6"/>
                      <w:szCs w:val="21"/>
                    </w:rPr>
                  </w:pPr>
                  <w:r>
                    <w:rPr>
                      <w:rFonts w:hint="default" w:ascii="Times New Roman" w:hAnsi="Times New Roman" w:cs="Times New Roman"/>
                      <w:b w:val="0"/>
                      <w:bCs w:val="0"/>
                      <w:spacing w:val="-6"/>
                      <w:szCs w:val="21"/>
                    </w:rPr>
                    <w:t>臭气</w:t>
                  </w:r>
                </w:p>
              </w:tc>
              <w:tc>
                <w:tcPr>
                  <w:tcW w:w="901" w:type="pct"/>
                  <w:noWrap w:val="0"/>
                  <w:vAlign w:val="center"/>
                </w:tcPr>
                <w:p w14:paraId="331DA745">
                  <w:pPr>
                    <w:jc w:val="center"/>
                    <w:rPr>
                      <w:rFonts w:hint="default" w:ascii="Times New Roman" w:hAnsi="Times New Roman" w:eastAsia="宋体" w:cs="Times New Roman"/>
                      <w:b w:val="0"/>
                      <w:bCs w:val="0"/>
                      <w:spacing w:val="-6"/>
                      <w:szCs w:val="21"/>
                      <w:lang w:val="en-US" w:eastAsia="zh-CN"/>
                    </w:rPr>
                  </w:pPr>
                  <w:r>
                    <w:rPr>
                      <w:rFonts w:hint="default" w:ascii="Times New Roman" w:hAnsi="Times New Roman" w:cs="Times New Roman"/>
                      <w:b w:val="0"/>
                      <w:bCs w:val="0"/>
                      <w:szCs w:val="21"/>
                      <w:lang w:val="en-US" w:eastAsia="zh-CN"/>
                    </w:rPr>
                    <w:t>2000（无量纲）</w:t>
                  </w:r>
                </w:p>
              </w:tc>
              <w:tc>
                <w:tcPr>
                  <w:tcW w:w="954" w:type="pct"/>
                  <w:noWrap w:val="0"/>
                  <w:vAlign w:val="center"/>
                </w:tcPr>
                <w:p w14:paraId="3C4EDA64">
                  <w:pPr>
                    <w:jc w:val="center"/>
                    <w:rPr>
                      <w:rFonts w:hint="default" w:ascii="Times New Roman" w:hAnsi="Times New Roman" w:cs="Times New Roman"/>
                      <w:b w:val="0"/>
                      <w:bCs w:val="0"/>
                      <w:spacing w:val="-6"/>
                      <w:szCs w:val="21"/>
                    </w:rPr>
                  </w:pPr>
                  <w:r>
                    <w:rPr>
                      <w:rFonts w:hint="default" w:ascii="Times New Roman" w:hAnsi="Times New Roman" w:cs="Times New Roman"/>
                      <w:b w:val="0"/>
                      <w:bCs w:val="0"/>
                      <w:szCs w:val="21"/>
                    </w:rPr>
                    <w:t>10</w:t>
                  </w:r>
                  <w:r>
                    <w:rPr>
                      <w:rFonts w:hint="default" w:ascii="Times New Roman" w:hAnsi="Times New Roman" w:cs="Times New Roman"/>
                      <w:b w:val="0"/>
                      <w:bCs w:val="0"/>
                      <w:szCs w:val="21"/>
                      <w:lang w:eastAsia="zh-CN"/>
                    </w:rPr>
                    <w:t>（无量纲）</w:t>
                  </w:r>
                </w:p>
              </w:tc>
              <w:tc>
                <w:tcPr>
                  <w:tcW w:w="2362" w:type="pct"/>
                  <w:vMerge w:val="continue"/>
                  <w:noWrap w:val="0"/>
                  <w:vAlign w:val="center"/>
                </w:tcPr>
                <w:p w14:paraId="6A034FDE">
                  <w:pPr>
                    <w:jc w:val="center"/>
                    <w:rPr>
                      <w:rFonts w:hint="default" w:ascii="Times New Roman" w:hAnsi="Times New Roman" w:cs="Times New Roman"/>
                      <w:b w:val="0"/>
                      <w:bCs w:val="0"/>
                      <w:spacing w:val="-6"/>
                      <w:szCs w:val="21"/>
                    </w:rPr>
                  </w:pPr>
                </w:p>
              </w:tc>
            </w:tr>
            <w:tr w14:paraId="28593B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82" w:type="pct"/>
                  <w:noWrap w:val="0"/>
                  <w:vAlign w:val="center"/>
                </w:tcPr>
                <w:p w14:paraId="71E6F13C">
                  <w:pPr>
                    <w:jc w:val="center"/>
                    <w:rPr>
                      <w:rFonts w:hint="default" w:ascii="Times New Roman" w:hAnsi="Times New Roman" w:eastAsia="宋体" w:cs="Times New Roman"/>
                      <w:b w:val="0"/>
                      <w:bCs w:val="0"/>
                      <w:spacing w:val="-6"/>
                      <w:szCs w:val="21"/>
                      <w:lang w:val="en-US" w:eastAsia="zh-CN"/>
                    </w:rPr>
                  </w:pPr>
                  <w:r>
                    <w:rPr>
                      <w:rFonts w:hint="default" w:ascii="Times New Roman" w:hAnsi="Times New Roman" w:cs="Times New Roman"/>
                      <w:b w:val="0"/>
                      <w:bCs w:val="0"/>
                      <w:spacing w:val="-6"/>
                      <w:szCs w:val="21"/>
                      <w:lang w:val="en-US" w:eastAsia="zh-CN"/>
                    </w:rPr>
                    <w:t>颗粒物</w:t>
                  </w:r>
                </w:p>
              </w:tc>
              <w:tc>
                <w:tcPr>
                  <w:tcW w:w="901" w:type="pct"/>
                  <w:noWrap w:val="0"/>
                  <w:vAlign w:val="center"/>
                </w:tcPr>
                <w:p w14:paraId="1341FEE8">
                  <w:pPr>
                    <w:jc w:val="center"/>
                    <w:rPr>
                      <w:rFonts w:hint="default" w:ascii="Times New Roman" w:hAnsi="Times New Roman" w:cs="Times New Roman"/>
                      <w:b w:val="0"/>
                      <w:bCs w:val="0"/>
                      <w:szCs w:val="21"/>
                      <w:lang w:val="en-US" w:eastAsia="zh-CN"/>
                    </w:rPr>
                  </w:pPr>
                  <w:r>
                    <w:rPr>
                      <w:rFonts w:hint="default" w:ascii="Times New Roman" w:hAnsi="Times New Roman" w:cs="Times New Roman"/>
                      <w:b w:val="0"/>
                      <w:bCs w:val="0"/>
                      <w:szCs w:val="21"/>
                      <w:lang w:val="en-US" w:eastAsia="zh-CN"/>
                    </w:rPr>
                    <w:t>120</w:t>
                  </w:r>
                  <w:r>
                    <w:rPr>
                      <w:rFonts w:hint="default" w:ascii="Times New Roman" w:hAnsi="Times New Roman" w:eastAsia="Segoe UI" w:cs="Times New Roman"/>
                      <w:b w:val="0"/>
                      <w:bCs w:val="0"/>
                      <w:i w:val="0"/>
                      <w:iCs w:val="0"/>
                      <w:caps w:val="0"/>
                      <w:color w:val="0F1115"/>
                      <w:spacing w:val="0"/>
                      <w:sz w:val="22"/>
                      <w:szCs w:val="22"/>
                      <w:shd w:val="clear" w:fill="FFFFFF"/>
                    </w:rPr>
                    <w:t>mg/m³</w:t>
                  </w:r>
                </w:p>
              </w:tc>
              <w:tc>
                <w:tcPr>
                  <w:tcW w:w="954" w:type="pct"/>
                  <w:noWrap w:val="0"/>
                  <w:vAlign w:val="center"/>
                </w:tcPr>
                <w:p w14:paraId="470C8312">
                  <w:pPr>
                    <w:jc w:val="center"/>
                    <w:rPr>
                      <w:rFonts w:hint="default" w:ascii="Times New Roman" w:hAnsi="Times New Roman" w:eastAsia="宋体" w:cs="Times New Roman"/>
                      <w:b w:val="0"/>
                      <w:bCs w:val="0"/>
                      <w:szCs w:val="21"/>
                      <w:lang w:val="en-US" w:eastAsia="zh-CN"/>
                    </w:rPr>
                  </w:pPr>
                  <w:r>
                    <w:rPr>
                      <w:rFonts w:hint="default" w:ascii="Times New Roman" w:hAnsi="Times New Roman" w:cs="Times New Roman"/>
                      <w:b w:val="0"/>
                      <w:bCs w:val="0"/>
                      <w:szCs w:val="21"/>
                      <w:lang w:val="en-US" w:eastAsia="zh-CN"/>
                    </w:rPr>
                    <w:t>1.0</w:t>
                  </w:r>
                  <w:r>
                    <w:rPr>
                      <w:rFonts w:hint="default" w:ascii="Times New Roman" w:hAnsi="Times New Roman" w:eastAsia="Segoe UI" w:cs="Times New Roman"/>
                      <w:b w:val="0"/>
                      <w:bCs w:val="0"/>
                      <w:i w:val="0"/>
                      <w:iCs w:val="0"/>
                      <w:caps w:val="0"/>
                      <w:color w:val="0F1115"/>
                      <w:spacing w:val="0"/>
                      <w:sz w:val="22"/>
                      <w:szCs w:val="22"/>
                      <w:shd w:val="clear" w:fill="FFFFFF"/>
                    </w:rPr>
                    <w:t>mg/m³</w:t>
                  </w:r>
                </w:p>
              </w:tc>
              <w:tc>
                <w:tcPr>
                  <w:tcW w:w="2362" w:type="pct"/>
                  <w:vMerge w:val="restart"/>
                  <w:noWrap w:val="0"/>
                  <w:vAlign w:val="center"/>
                </w:tcPr>
                <w:p w14:paraId="37D99A57">
                  <w:pPr>
                    <w:jc w:val="center"/>
                    <w:rPr>
                      <w:rFonts w:hint="default" w:ascii="Times New Roman" w:hAnsi="Times New Roman" w:eastAsia="宋体" w:cs="Times New Roman"/>
                      <w:b w:val="0"/>
                      <w:bCs w:val="0"/>
                      <w:spacing w:val="-6"/>
                      <w:szCs w:val="21"/>
                      <w:lang w:eastAsia="zh-CN"/>
                    </w:rPr>
                  </w:pPr>
                  <w:r>
                    <w:rPr>
                      <w:rFonts w:hint="default" w:ascii="Times New Roman" w:hAnsi="Times New Roman" w:eastAsia="Segoe UI" w:cs="Times New Roman"/>
                      <w:b w:val="0"/>
                      <w:bCs w:val="0"/>
                      <w:i w:val="0"/>
                      <w:iCs w:val="0"/>
                      <w:caps w:val="0"/>
                      <w:color w:val="0F1115"/>
                      <w:spacing w:val="0"/>
                      <w:sz w:val="22"/>
                      <w:szCs w:val="22"/>
                      <w:shd w:val="clear" w:fill="FFFFFF"/>
                    </w:rPr>
                    <w:t>《大气污染物综合排放标准》（GB16297-1996</w:t>
                  </w:r>
                  <w:r>
                    <w:rPr>
                      <w:rFonts w:hint="default" w:ascii="Times New Roman" w:hAnsi="Times New Roman" w:eastAsia="宋体" w:cs="Times New Roman"/>
                      <w:b w:val="0"/>
                      <w:bCs w:val="0"/>
                      <w:i w:val="0"/>
                      <w:iCs w:val="0"/>
                      <w:caps w:val="0"/>
                      <w:color w:val="0F1115"/>
                      <w:spacing w:val="0"/>
                      <w:sz w:val="22"/>
                      <w:szCs w:val="22"/>
                      <w:shd w:val="clear" w:fill="FFFFFF"/>
                      <w:lang w:eastAsia="zh-CN"/>
                    </w:rPr>
                    <w:t>）</w:t>
                  </w:r>
                </w:p>
              </w:tc>
            </w:tr>
            <w:tr w14:paraId="710694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82" w:type="pct"/>
                  <w:noWrap w:val="0"/>
                  <w:vAlign w:val="center"/>
                </w:tcPr>
                <w:p w14:paraId="71799A71">
                  <w:pPr>
                    <w:jc w:val="center"/>
                    <w:rPr>
                      <w:rFonts w:hint="default" w:ascii="Times New Roman" w:hAnsi="Times New Roman" w:eastAsia="宋体" w:cs="Times New Roman"/>
                      <w:b w:val="0"/>
                      <w:bCs w:val="0"/>
                      <w:spacing w:val="-6"/>
                      <w:szCs w:val="21"/>
                      <w:lang w:val="en-US" w:eastAsia="zh-CN"/>
                    </w:rPr>
                  </w:pPr>
                  <w:r>
                    <w:rPr>
                      <w:rFonts w:hint="default" w:ascii="Times New Roman" w:hAnsi="Times New Roman" w:cs="Times New Roman"/>
                      <w:b w:val="0"/>
                      <w:bCs w:val="0"/>
                      <w:spacing w:val="-6"/>
                      <w:szCs w:val="21"/>
                      <w:lang w:val="en-US" w:eastAsia="zh-CN"/>
                    </w:rPr>
                    <w:t>二氧化硫</w:t>
                  </w:r>
                </w:p>
              </w:tc>
              <w:tc>
                <w:tcPr>
                  <w:tcW w:w="901" w:type="pct"/>
                  <w:noWrap w:val="0"/>
                  <w:vAlign w:val="center"/>
                </w:tcPr>
                <w:p w14:paraId="66DEE991">
                  <w:pPr>
                    <w:jc w:val="center"/>
                    <w:rPr>
                      <w:rFonts w:hint="default" w:ascii="Times New Roman" w:hAnsi="Times New Roman" w:cs="Times New Roman"/>
                      <w:b w:val="0"/>
                      <w:bCs w:val="0"/>
                      <w:szCs w:val="21"/>
                      <w:lang w:val="en-US" w:eastAsia="zh-CN"/>
                    </w:rPr>
                  </w:pPr>
                  <w:r>
                    <w:rPr>
                      <w:rFonts w:hint="default" w:ascii="Times New Roman" w:hAnsi="Times New Roman" w:cs="Times New Roman"/>
                      <w:b w:val="0"/>
                      <w:bCs w:val="0"/>
                      <w:szCs w:val="21"/>
                      <w:lang w:val="en-US" w:eastAsia="zh-CN"/>
                    </w:rPr>
                    <w:t>550</w:t>
                  </w:r>
                  <w:r>
                    <w:rPr>
                      <w:rFonts w:hint="default" w:ascii="Times New Roman" w:hAnsi="Times New Roman" w:eastAsia="Segoe UI" w:cs="Times New Roman"/>
                      <w:b w:val="0"/>
                      <w:bCs w:val="0"/>
                      <w:i w:val="0"/>
                      <w:iCs w:val="0"/>
                      <w:caps w:val="0"/>
                      <w:color w:val="0F1115"/>
                      <w:spacing w:val="0"/>
                      <w:sz w:val="22"/>
                      <w:szCs w:val="22"/>
                      <w:shd w:val="clear" w:fill="FFFFFF"/>
                    </w:rPr>
                    <w:t>mg/m³</w:t>
                  </w:r>
                </w:p>
              </w:tc>
              <w:tc>
                <w:tcPr>
                  <w:tcW w:w="954" w:type="pct"/>
                  <w:noWrap w:val="0"/>
                  <w:vAlign w:val="center"/>
                </w:tcPr>
                <w:p w14:paraId="2D0E90AD">
                  <w:pPr>
                    <w:jc w:val="center"/>
                    <w:rPr>
                      <w:rFonts w:hint="default" w:ascii="Times New Roman" w:hAnsi="Times New Roman" w:eastAsia="宋体" w:cs="Times New Roman"/>
                      <w:b w:val="0"/>
                      <w:bCs w:val="0"/>
                      <w:szCs w:val="21"/>
                      <w:lang w:val="en-US" w:eastAsia="zh-CN"/>
                    </w:rPr>
                  </w:pPr>
                  <w:r>
                    <w:rPr>
                      <w:rFonts w:hint="eastAsia" w:ascii="Times New Roman" w:hAnsi="Times New Roman" w:cs="Times New Roman"/>
                      <w:b w:val="0"/>
                      <w:bCs w:val="0"/>
                      <w:szCs w:val="21"/>
                      <w:lang w:val="en-US" w:eastAsia="zh-CN"/>
                    </w:rPr>
                    <w:t>0.40</w:t>
                  </w:r>
                  <w:r>
                    <w:rPr>
                      <w:rFonts w:hint="default" w:ascii="Times New Roman" w:hAnsi="Times New Roman" w:eastAsia="Segoe UI" w:cs="Times New Roman"/>
                      <w:b w:val="0"/>
                      <w:bCs w:val="0"/>
                      <w:i w:val="0"/>
                      <w:iCs w:val="0"/>
                      <w:caps w:val="0"/>
                      <w:color w:val="0F1115"/>
                      <w:spacing w:val="0"/>
                      <w:sz w:val="22"/>
                      <w:szCs w:val="22"/>
                      <w:shd w:val="clear" w:fill="FFFFFF"/>
                    </w:rPr>
                    <w:t>mg/m³</w:t>
                  </w:r>
                </w:p>
              </w:tc>
              <w:tc>
                <w:tcPr>
                  <w:tcW w:w="2362" w:type="pct"/>
                  <w:vMerge w:val="continue"/>
                  <w:noWrap w:val="0"/>
                  <w:vAlign w:val="center"/>
                </w:tcPr>
                <w:p w14:paraId="590F7E6C">
                  <w:pPr>
                    <w:jc w:val="center"/>
                    <w:rPr>
                      <w:rFonts w:hint="default" w:ascii="Times New Roman" w:hAnsi="Times New Roman" w:cs="Times New Roman"/>
                      <w:b w:val="0"/>
                      <w:bCs w:val="0"/>
                      <w:spacing w:val="-6"/>
                      <w:szCs w:val="21"/>
                    </w:rPr>
                  </w:pPr>
                </w:p>
              </w:tc>
            </w:tr>
            <w:tr w14:paraId="290F01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82" w:type="pct"/>
                  <w:noWrap w:val="0"/>
                  <w:vAlign w:val="center"/>
                </w:tcPr>
                <w:p w14:paraId="65283BF8">
                  <w:pPr>
                    <w:jc w:val="center"/>
                    <w:rPr>
                      <w:rFonts w:hint="default" w:ascii="Times New Roman" w:hAnsi="Times New Roman" w:eastAsia="宋体" w:cs="Times New Roman"/>
                      <w:b w:val="0"/>
                      <w:bCs w:val="0"/>
                      <w:spacing w:val="-6"/>
                      <w:szCs w:val="21"/>
                      <w:lang w:val="en-US" w:eastAsia="zh-CN"/>
                    </w:rPr>
                  </w:pPr>
                  <w:r>
                    <w:rPr>
                      <w:rFonts w:hint="default" w:ascii="Times New Roman" w:hAnsi="Times New Roman" w:cs="Times New Roman"/>
                      <w:b w:val="0"/>
                      <w:bCs w:val="0"/>
                      <w:spacing w:val="-6"/>
                      <w:szCs w:val="21"/>
                      <w:lang w:val="en-US" w:eastAsia="zh-CN"/>
                    </w:rPr>
                    <w:t>氮氧化物</w:t>
                  </w:r>
                </w:p>
              </w:tc>
              <w:tc>
                <w:tcPr>
                  <w:tcW w:w="901" w:type="pct"/>
                  <w:noWrap w:val="0"/>
                  <w:vAlign w:val="center"/>
                </w:tcPr>
                <w:p w14:paraId="2893411E">
                  <w:pPr>
                    <w:jc w:val="center"/>
                    <w:rPr>
                      <w:rFonts w:hint="default" w:ascii="Times New Roman" w:hAnsi="Times New Roman" w:cs="Times New Roman"/>
                      <w:b w:val="0"/>
                      <w:bCs w:val="0"/>
                      <w:szCs w:val="21"/>
                      <w:lang w:val="en-US" w:eastAsia="zh-CN"/>
                    </w:rPr>
                  </w:pPr>
                  <w:r>
                    <w:rPr>
                      <w:rFonts w:hint="default" w:ascii="Times New Roman" w:hAnsi="Times New Roman" w:cs="Times New Roman"/>
                      <w:b w:val="0"/>
                      <w:bCs w:val="0"/>
                      <w:szCs w:val="21"/>
                      <w:lang w:val="en-US" w:eastAsia="zh-CN"/>
                    </w:rPr>
                    <w:t>240</w:t>
                  </w:r>
                  <w:r>
                    <w:rPr>
                      <w:rFonts w:hint="default" w:ascii="Times New Roman" w:hAnsi="Times New Roman" w:eastAsia="Segoe UI" w:cs="Times New Roman"/>
                      <w:b w:val="0"/>
                      <w:bCs w:val="0"/>
                      <w:i w:val="0"/>
                      <w:iCs w:val="0"/>
                      <w:caps w:val="0"/>
                      <w:color w:val="0F1115"/>
                      <w:spacing w:val="0"/>
                      <w:sz w:val="22"/>
                      <w:szCs w:val="22"/>
                      <w:shd w:val="clear" w:fill="FFFFFF"/>
                    </w:rPr>
                    <w:t>mg/m³</w:t>
                  </w:r>
                </w:p>
              </w:tc>
              <w:tc>
                <w:tcPr>
                  <w:tcW w:w="954" w:type="pct"/>
                  <w:noWrap w:val="0"/>
                  <w:vAlign w:val="center"/>
                </w:tcPr>
                <w:p w14:paraId="1CB7C7C3">
                  <w:pPr>
                    <w:jc w:val="center"/>
                    <w:rPr>
                      <w:rFonts w:hint="default" w:ascii="Times New Roman" w:hAnsi="Times New Roman" w:eastAsia="宋体" w:cs="Times New Roman"/>
                      <w:b w:val="0"/>
                      <w:bCs w:val="0"/>
                      <w:szCs w:val="21"/>
                      <w:lang w:val="en-US" w:eastAsia="zh-CN"/>
                    </w:rPr>
                  </w:pPr>
                  <w:r>
                    <w:rPr>
                      <w:rFonts w:hint="eastAsia" w:ascii="Times New Roman" w:hAnsi="Times New Roman" w:cs="Times New Roman"/>
                      <w:b w:val="0"/>
                      <w:bCs w:val="0"/>
                      <w:szCs w:val="21"/>
                      <w:lang w:val="en-US" w:eastAsia="zh-CN"/>
                    </w:rPr>
                    <w:t>0.12</w:t>
                  </w:r>
                  <w:r>
                    <w:rPr>
                      <w:rFonts w:hint="default" w:ascii="Times New Roman" w:hAnsi="Times New Roman" w:eastAsia="Segoe UI" w:cs="Times New Roman"/>
                      <w:b w:val="0"/>
                      <w:bCs w:val="0"/>
                      <w:i w:val="0"/>
                      <w:iCs w:val="0"/>
                      <w:caps w:val="0"/>
                      <w:color w:val="0F1115"/>
                      <w:spacing w:val="0"/>
                      <w:sz w:val="22"/>
                      <w:szCs w:val="22"/>
                      <w:shd w:val="clear" w:fill="FFFFFF"/>
                    </w:rPr>
                    <w:t>mg/m³</w:t>
                  </w:r>
                </w:p>
              </w:tc>
              <w:tc>
                <w:tcPr>
                  <w:tcW w:w="2362" w:type="pct"/>
                  <w:vMerge w:val="continue"/>
                  <w:noWrap w:val="0"/>
                  <w:vAlign w:val="center"/>
                </w:tcPr>
                <w:p w14:paraId="6F41E163">
                  <w:pPr>
                    <w:jc w:val="center"/>
                    <w:rPr>
                      <w:rFonts w:hint="default" w:ascii="Times New Roman" w:hAnsi="Times New Roman" w:cs="Times New Roman"/>
                      <w:b w:val="0"/>
                      <w:bCs w:val="0"/>
                      <w:spacing w:val="-6"/>
                      <w:szCs w:val="21"/>
                    </w:rPr>
                  </w:pPr>
                </w:p>
              </w:tc>
            </w:tr>
          </w:tbl>
          <w:p w14:paraId="2BAA4C8E">
            <w:pPr>
              <w:pStyle w:val="2"/>
              <w:rPr>
                <w:rFonts w:hint="default" w:eastAsia="宋体"/>
                <w:lang w:val="en-US" w:eastAsia="zh-CN"/>
              </w:rPr>
            </w:pPr>
          </w:p>
          <w:p w14:paraId="08F3A70C">
            <w:pPr>
              <w:spacing w:line="360" w:lineRule="auto"/>
              <w:ind w:firstLine="482" w:firstLineChars="200"/>
              <w:rPr>
                <w:b/>
                <w:bCs/>
                <w:sz w:val="24"/>
              </w:rPr>
            </w:pPr>
            <w:r>
              <w:rPr>
                <w:rFonts w:hint="eastAsia"/>
                <w:b/>
                <w:bCs/>
                <w:sz w:val="24"/>
                <w:lang w:eastAsia="zh-CN"/>
              </w:rPr>
              <w:t>3.</w:t>
            </w:r>
            <w:r>
              <w:rPr>
                <w:b/>
                <w:bCs/>
                <w:sz w:val="24"/>
              </w:rPr>
              <w:t>噪声排放标准</w:t>
            </w:r>
          </w:p>
          <w:p w14:paraId="0F6BB10E">
            <w:pPr>
              <w:pStyle w:val="4"/>
              <w:numPr>
                <w:ilvl w:val="0"/>
                <w:numId w:val="0"/>
              </w:numPr>
              <w:spacing w:line="360" w:lineRule="auto"/>
              <w:ind w:leftChars="0" w:firstLine="480" w:firstLineChars="200"/>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本项目位于淮南市潘集区芦集镇潘三矿，不在《淮南市中心城区声环境功能区划分方案》划定的声环境功能区内，根据《声环境质量标准》（GB3096-2008）中乡村声环境功能确定原则，结合项目周边实际情况，执行标准如下：</w:t>
            </w:r>
          </w:p>
          <w:p w14:paraId="46747608">
            <w:pPr>
              <w:pStyle w:val="4"/>
              <w:numPr>
                <w:ilvl w:val="0"/>
                <w:numId w:val="0"/>
              </w:numPr>
              <w:spacing w:line="360" w:lineRule="auto"/>
              <w:ind w:leftChars="0" w:firstLine="480" w:firstLineChars="200"/>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北侧厂界（紧邻潘集区芦集镇再生水厂）</w:t>
            </w:r>
            <w:r>
              <w:rPr>
                <w:rFonts w:hint="eastAsia" w:ascii="Times New Roman" w:eastAsia="宋体" w:cs="Times New Roman"/>
                <w:lang w:val="en-US" w:eastAsia="zh-CN"/>
              </w:rPr>
              <w:t>、东厂界（商铺）</w:t>
            </w:r>
            <w:r>
              <w:rPr>
                <w:rFonts w:hint="default" w:ascii="Times New Roman" w:hAnsi="Times New Roman" w:eastAsia="宋体" w:cs="Times New Roman"/>
                <w:lang w:val="en-US" w:eastAsia="zh-CN"/>
              </w:rPr>
              <w:t>：执行《工业企业厂界环境噪声排放标准》（GB12348-2008）2类标准。</w:t>
            </w:r>
          </w:p>
          <w:p w14:paraId="727E9855">
            <w:pPr>
              <w:pStyle w:val="4"/>
              <w:numPr>
                <w:ilvl w:val="0"/>
                <w:numId w:val="0"/>
              </w:numPr>
              <w:spacing w:line="360" w:lineRule="auto"/>
              <w:ind w:leftChars="0" w:firstLine="480" w:firstLineChars="200"/>
              <w:rPr>
                <w:rFonts w:hint="eastAsia"/>
                <w:lang w:val="en-US" w:eastAsia="zh-CN"/>
              </w:rPr>
            </w:pPr>
            <w:r>
              <w:rPr>
                <w:rFonts w:hint="default" w:ascii="Times New Roman" w:hAnsi="Times New Roman" w:eastAsia="宋体" w:cs="Times New Roman"/>
                <w:lang w:val="en-US" w:eastAsia="zh-CN"/>
              </w:rPr>
              <w:t>南、西侧厂界（周边以居住为主）：执行《工业企业厂界环境噪声排放标准》（GB12348-2008）1类标准。</w:t>
            </w:r>
          </w:p>
          <w:p w14:paraId="6F5986BF">
            <w:pPr>
              <w:autoSpaceDE w:val="0"/>
              <w:autoSpaceDN w:val="0"/>
              <w:adjustRightInd w:val="0"/>
              <w:jc w:val="center"/>
              <w:rPr>
                <w:b/>
                <w:kern w:val="0"/>
                <w:szCs w:val="21"/>
              </w:rPr>
            </w:pPr>
            <w:r>
              <w:rPr>
                <w:b/>
                <w:kern w:val="0"/>
                <w:szCs w:val="21"/>
              </w:rPr>
              <w:t>表3-</w:t>
            </w:r>
            <w:r>
              <w:rPr>
                <w:rFonts w:hint="eastAsia"/>
                <w:b/>
                <w:kern w:val="0"/>
                <w:szCs w:val="21"/>
                <w:lang w:val="en-US" w:eastAsia="zh-CN"/>
              </w:rPr>
              <w:t>7</w:t>
            </w:r>
            <w:r>
              <w:rPr>
                <w:b/>
                <w:kern w:val="0"/>
                <w:szCs w:val="21"/>
              </w:rPr>
              <w:t xml:space="preserve">  厂界噪声排放限值 单位dB（A）</w:t>
            </w:r>
          </w:p>
          <w:tbl>
            <w:tblPr>
              <w:tblStyle w:val="1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791"/>
              <w:gridCol w:w="1814"/>
              <w:gridCol w:w="2803"/>
            </w:tblGrid>
            <w:tr w14:paraId="206C24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91" w:type="dxa"/>
                  <w:noWrap w:val="0"/>
                  <w:vAlign w:val="center"/>
                </w:tcPr>
                <w:p w14:paraId="0270EACC">
                  <w:pPr>
                    <w:pStyle w:val="23"/>
                    <w:spacing w:line="240" w:lineRule="auto"/>
                    <w:ind w:firstLine="0"/>
                    <w:jc w:val="center"/>
                    <w:rPr>
                      <w:rFonts w:ascii="Times New Roman" w:hAnsi="Times New Roman"/>
                      <w:sz w:val="21"/>
                      <w:szCs w:val="21"/>
                    </w:rPr>
                  </w:pPr>
                  <w:r>
                    <w:rPr>
                      <w:rFonts w:ascii="Times New Roman" w:hAnsi="Times New Roman"/>
                      <w:sz w:val="21"/>
                      <w:szCs w:val="21"/>
                    </w:rPr>
                    <w:t>标准</w:t>
                  </w:r>
                </w:p>
              </w:tc>
              <w:tc>
                <w:tcPr>
                  <w:tcW w:w="1814" w:type="dxa"/>
                  <w:noWrap w:val="0"/>
                  <w:vAlign w:val="center"/>
                </w:tcPr>
                <w:p w14:paraId="3C0C53C3">
                  <w:pPr>
                    <w:pStyle w:val="23"/>
                    <w:spacing w:line="240" w:lineRule="auto"/>
                    <w:ind w:firstLine="0"/>
                    <w:jc w:val="center"/>
                    <w:rPr>
                      <w:rFonts w:ascii="Times New Roman" w:hAnsi="Times New Roman"/>
                      <w:sz w:val="21"/>
                      <w:szCs w:val="21"/>
                    </w:rPr>
                  </w:pPr>
                  <w:r>
                    <w:rPr>
                      <w:rFonts w:ascii="Times New Roman" w:hAnsi="Times New Roman"/>
                      <w:kern w:val="0"/>
                      <w:sz w:val="21"/>
                      <w:szCs w:val="21"/>
                    </w:rPr>
                    <w:t>昼间</w:t>
                  </w:r>
                </w:p>
              </w:tc>
              <w:tc>
                <w:tcPr>
                  <w:tcW w:w="2803" w:type="dxa"/>
                  <w:noWrap w:val="0"/>
                  <w:vAlign w:val="center"/>
                </w:tcPr>
                <w:p w14:paraId="61076582">
                  <w:pPr>
                    <w:pStyle w:val="23"/>
                    <w:spacing w:line="240" w:lineRule="auto"/>
                    <w:ind w:firstLine="0"/>
                    <w:jc w:val="center"/>
                    <w:rPr>
                      <w:rFonts w:ascii="Times New Roman" w:hAnsi="Times New Roman"/>
                      <w:sz w:val="21"/>
                      <w:szCs w:val="21"/>
                    </w:rPr>
                  </w:pPr>
                  <w:r>
                    <w:rPr>
                      <w:rFonts w:ascii="Times New Roman" w:hAnsi="Times New Roman"/>
                      <w:kern w:val="0"/>
                      <w:sz w:val="21"/>
                      <w:szCs w:val="21"/>
                    </w:rPr>
                    <w:t>夜间</w:t>
                  </w:r>
                </w:p>
              </w:tc>
            </w:tr>
            <w:tr w14:paraId="17DC97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91" w:type="dxa"/>
                  <w:noWrap w:val="0"/>
                  <w:vAlign w:val="center"/>
                </w:tcPr>
                <w:p w14:paraId="365E840E">
                  <w:pPr>
                    <w:pStyle w:val="23"/>
                    <w:spacing w:line="240" w:lineRule="auto"/>
                    <w:ind w:firstLine="0"/>
                    <w:jc w:val="center"/>
                    <w:rPr>
                      <w:rFonts w:ascii="Times New Roman" w:hAnsi="Times New Roman"/>
                      <w:b w:val="0"/>
                      <w:bCs w:val="0"/>
                      <w:sz w:val="21"/>
                      <w:szCs w:val="21"/>
                    </w:rPr>
                  </w:pPr>
                  <w:r>
                    <w:rPr>
                      <w:rFonts w:ascii="Times New Roman" w:hAnsi="Times New Roman"/>
                      <w:b w:val="0"/>
                      <w:bCs w:val="0"/>
                      <w:kern w:val="0"/>
                      <w:sz w:val="21"/>
                      <w:szCs w:val="21"/>
                    </w:rPr>
                    <w:t>（GB12348-2008）</w:t>
                  </w:r>
                  <w:r>
                    <w:rPr>
                      <w:rFonts w:hint="eastAsia" w:ascii="Times New Roman" w:hAnsi="Times New Roman"/>
                      <w:b w:val="0"/>
                      <w:bCs w:val="0"/>
                      <w:kern w:val="0"/>
                      <w:sz w:val="21"/>
                      <w:szCs w:val="21"/>
                      <w:lang w:val="en-US" w:eastAsia="zh-CN"/>
                    </w:rPr>
                    <w:t>1</w:t>
                  </w:r>
                  <w:r>
                    <w:rPr>
                      <w:rFonts w:ascii="Times New Roman" w:hAnsi="Times New Roman"/>
                      <w:b w:val="0"/>
                      <w:bCs w:val="0"/>
                      <w:kern w:val="0"/>
                      <w:sz w:val="21"/>
                      <w:szCs w:val="21"/>
                    </w:rPr>
                    <w:t>类功能区排放标准</w:t>
                  </w:r>
                </w:p>
              </w:tc>
              <w:tc>
                <w:tcPr>
                  <w:tcW w:w="1814" w:type="dxa"/>
                  <w:noWrap w:val="0"/>
                  <w:vAlign w:val="center"/>
                </w:tcPr>
                <w:p w14:paraId="58DC2C70">
                  <w:pPr>
                    <w:pStyle w:val="23"/>
                    <w:spacing w:line="240" w:lineRule="auto"/>
                    <w:ind w:firstLine="0"/>
                    <w:jc w:val="center"/>
                    <w:rPr>
                      <w:rFonts w:hint="default" w:ascii="Times New Roman" w:hAnsi="Times New Roman" w:eastAsia="宋体"/>
                      <w:b w:val="0"/>
                      <w:bCs w:val="0"/>
                      <w:sz w:val="21"/>
                      <w:szCs w:val="21"/>
                      <w:lang w:val="en-US" w:eastAsia="zh-CN"/>
                    </w:rPr>
                  </w:pPr>
                  <w:r>
                    <w:rPr>
                      <w:rFonts w:hint="eastAsia" w:ascii="Times New Roman" w:hAnsi="Times New Roman"/>
                      <w:b w:val="0"/>
                      <w:bCs w:val="0"/>
                      <w:sz w:val="21"/>
                      <w:szCs w:val="21"/>
                      <w:lang w:val="en-US" w:eastAsia="zh-CN"/>
                    </w:rPr>
                    <w:t>55</w:t>
                  </w:r>
                </w:p>
              </w:tc>
              <w:tc>
                <w:tcPr>
                  <w:tcW w:w="2803" w:type="dxa"/>
                  <w:noWrap w:val="0"/>
                  <w:vAlign w:val="center"/>
                </w:tcPr>
                <w:p w14:paraId="2F361A60">
                  <w:pPr>
                    <w:pStyle w:val="23"/>
                    <w:spacing w:line="240" w:lineRule="auto"/>
                    <w:ind w:firstLine="0"/>
                    <w:jc w:val="center"/>
                    <w:rPr>
                      <w:rFonts w:hint="default" w:ascii="Times New Roman" w:hAnsi="Times New Roman" w:eastAsia="宋体"/>
                      <w:b w:val="0"/>
                      <w:bCs w:val="0"/>
                      <w:sz w:val="21"/>
                      <w:szCs w:val="21"/>
                      <w:lang w:val="en-US" w:eastAsia="zh-CN"/>
                    </w:rPr>
                  </w:pPr>
                  <w:r>
                    <w:rPr>
                      <w:rFonts w:hint="eastAsia" w:ascii="Times New Roman" w:hAnsi="Times New Roman"/>
                      <w:b w:val="0"/>
                      <w:bCs w:val="0"/>
                      <w:sz w:val="21"/>
                      <w:szCs w:val="21"/>
                      <w:lang w:val="en-US" w:eastAsia="zh-CN"/>
                    </w:rPr>
                    <w:t>45</w:t>
                  </w:r>
                </w:p>
              </w:tc>
            </w:tr>
            <w:tr w14:paraId="120825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91" w:type="dxa"/>
                  <w:noWrap w:val="0"/>
                  <w:vAlign w:val="center"/>
                </w:tcPr>
                <w:p w14:paraId="488F994D">
                  <w:pPr>
                    <w:pStyle w:val="23"/>
                    <w:spacing w:line="240" w:lineRule="auto"/>
                    <w:ind w:firstLine="0"/>
                    <w:jc w:val="center"/>
                    <w:rPr>
                      <w:rFonts w:ascii="Times New Roman" w:hAnsi="Times New Roman"/>
                      <w:b w:val="0"/>
                      <w:bCs w:val="0"/>
                      <w:kern w:val="0"/>
                      <w:sz w:val="21"/>
                      <w:szCs w:val="21"/>
                    </w:rPr>
                  </w:pPr>
                  <w:r>
                    <w:rPr>
                      <w:rFonts w:ascii="Times New Roman" w:hAnsi="Times New Roman"/>
                      <w:b w:val="0"/>
                      <w:bCs w:val="0"/>
                      <w:kern w:val="0"/>
                      <w:sz w:val="21"/>
                      <w:szCs w:val="21"/>
                    </w:rPr>
                    <w:t>（GB12348-2008）</w:t>
                  </w:r>
                  <w:r>
                    <w:rPr>
                      <w:rFonts w:hint="eastAsia" w:ascii="Times New Roman" w:hAnsi="Times New Roman"/>
                      <w:b w:val="0"/>
                      <w:bCs w:val="0"/>
                      <w:kern w:val="0"/>
                      <w:sz w:val="21"/>
                      <w:szCs w:val="21"/>
                      <w:lang w:val="en-US" w:eastAsia="zh-CN"/>
                    </w:rPr>
                    <w:t>2</w:t>
                  </w:r>
                  <w:r>
                    <w:rPr>
                      <w:rFonts w:ascii="Times New Roman" w:hAnsi="Times New Roman"/>
                      <w:b w:val="0"/>
                      <w:bCs w:val="0"/>
                      <w:kern w:val="0"/>
                      <w:sz w:val="21"/>
                      <w:szCs w:val="21"/>
                    </w:rPr>
                    <w:t>类功能区排放标准</w:t>
                  </w:r>
                </w:p>
              </w:tc>
              <w:tc>
                <w:tcPr>
                  <w:tcW w:w="1814" w:type="dxa"/>
                  <w:noWrap w:val="0"/>
                  <w:vAlign w:val="center"/>
                </w:tcPr>
                <w:p w14:paraId="13E7FAB4">
                  <w:pPr>
                    <w:pStyle w:val="23"/>
                    <w:spacing w:line="240" w:lineRule="auto"/>
                    <w:ind w:firstLine="0"/>
                    <w:jc w:val="center"/>
                    <w:rPr>
                      <w:rFonts w:hint="default" w:ascii="Times New Roman" w:hAnsi="Times New Roman"/>
                      <w:b w:val="0"/>
                      <w:bCs w:val="0"/>
                      <w:sz w:val="21"/>
                      <w:szCs w:val="21"/>
                      <w:lang w:val="en-US" w:eastAsia="zh-CN"/>
                    </w:rPr>
                  </w:pPr>
                  <w:r>
                    <w:rPr>
                      <w:rFonts w:hint="eastAsia" w:ascii="Times New Roman" w:hAnsi="Times New Roman"/>
                      <w:b w:val="0"/>
                      <w:bCs w:val="0"/>
                      <w:sz w:val="21"/>
                      <w:szCs w:val="21"/>
                      <w:lang w:val="en-US" w:eastAsia="zh-CN"/>
                    </w:rPr>
                    <w:t>60</w:t>
                  </w:r>
                </w:p>
              </w:tc>
              <w:tc>
                <w:tcPr>
                  <w:tcW w:w="2803" w:type="dxa"/>
                  <w:noWrap w:val="0"/>
                  <w:vAlign w:val="center"/>
                </w:tcPr>
                <w:p w14:paraId="1A0F26AA">
                  <w:pPr>
                    <w:pStyle w:val="23"/>
                    <w:spacing w:line="240" w:lineRule="auto"/>
                    <w:ind w:firstLine="0"/>
                    <w:jc w:val="center"/>
                    <w:rPr>
                      <w:rFonts w:hint="default" w:ascii="Times New Roman" w:hAnsi="Times New Roman"/>
                      <w:b w:val="0"/>
                      <w:bCs w:val="0"/>
                      <w:sz w:val="21"/>
                      <w:szCs w:val="21"/>
                      <w:lang w:val="en-US" w:eastAsia="zh-CN"/>
                    </w:rPr>
                  </w:pPr>
                  <w:r>
                    <w:rPr>
                      <w:rFonts w:hint="eastAsia" w:ascii="Times New Roman" w:hAnsi="Times New Roman"/>
                      <w:b w:val="0"/>
                      <w:bCs w:val="0"/>
                      <w:sz w:val="21"/>
                      <w:szCs w:val="21"/>
                      <w:lang w:val="en-US" w:eastAsia="zh-CN"/>
                    </w:rPr>
                    <w:t>50</w:t>
                  </w:r>
                </w:p>
              </w:tc>
            </w:tr>
          </w:tbl>
          <w:p w14:paraId="72FD6C54">
            <w:pPr>
              <w:autoSpaceDE w:val="0"/>
              <w:autoSpaceDN w:val="0"/>
              <w:adjustRightInd w:val="0"/>
              <w:jc w:val="center"/>
              <w:rPr>
                <w:b/>
                <w:kern w:val="0"/>
                <w:szCs w:val="21"/>
              </w:rPr>
            </w:pPr>
          </w:p>
          <w:p w14:paraId="73F80424">
            <w:pPr>
              <w:spacing w:line="360" w:lineRule="auto"/>
              <w:ind w:firstLine="482" w:firstLineChars="200"/>
              <w:textAlignment w:val="baseline"/>
              <w:rPr>
                <w:sz w:val="24"/>
              </w:rPr>
            </w:pPr>
            <w:r>
              <w:rPr>
                <w:rFonts w:hint="eastAsia"/>
                <w:b/>
                <w:bCs/>
                <w:sz w:val="24"/>
                <w:lang w:eastAsia="zh-CN"/>
              </w:rPr>
              <w:t>4.</w:t>
            </w:r>
            <w:r>
              <w:rPr>
                <w:b/>
                <w:bCs/>
                <w:sz w:val="24"/>
              </w:rPr>
              <w:t>固体废物排放标准</w:t>
            </w:r>
          </w:p>
          <w:p w14:paraId="543F6C5C">
            <w:pPr>
              <w:spacing w:line="360" w:lineRule="auto"/>
              <w:ind w:firstLine="480" w:firstLineChars="200"/>
              <w:rPr>
                <w:kern w:val="0"/>
                <w:sz w:val="24"/>
              </w:rPr>
            </w:pPr>
            <w:r>
              <w:rPr>
                <w:sz w:val="24"/>
              </w:rPr>
              <w:t>一般工业固体废物贮存执行《一般工业固体废物贮存和填埋污染控制标准》（GB 18599-2020）。危险废物贮存执行《危险废物贮存污染控制标准》 （GB18597-2023）。</w:t>
            </w:r>
          </w:p>
        </w:tc>
      </w:tr>
      <w:tr w14:paraId="5402285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525" w:hRule="atLeast"/>
          <w:jc w:val="center"/>
        </w:trPr>
        <w:tc>
          <w:tcPr>
            <w:tcW w:w="425" w:type="dxa"/>
            <w:noWrap w:val="0"/>
            <w:vAlign w:val="center"/>
          </w:tcPr>
          <w:p w14:paraId="4BA89170">
            <w:pPr>
              <w:adjustRightInd w:val="0"/>
              <w:snapToGrid w:val="0"/>
              <w:jc w:val="center"/>
              <w:rPr>
                <w:rFonts w:hint="eastAsia" w:ascii="宋体" w:hAnsi="宋体" w:cs="宋体"/>
                <w:kern w:val="0"/>
                <w:szCs w:val="21"/>
              </w:rPr>
            </w:pPr>
            <w:r>
              <w:rPr>
                <w:rFonts w:hint="eastAsia" w:ascii="宋体" w:hAnsi="宋体" w:cs="宋体"/>
                <w:kern w:val="0"/>
                <w:szCs w:val="21"/>
              </w:rPr>
              <w:t>总量</w:t>
            </w:r>
          </w:p>
          <w:p w14:paraId="721581AD">
            <w:pPr>
              <w:adjustRightInd w:val="0"/>
              <w:snapToGrid w:val="0"/>
              <w:jc w:val="center"/>
              <w:rPr>
                <w:rFonts w:hint="eastAsia" w:ascii="宋体" w:hAnsi="宋体" w:cs="宋体"/>
                <w:kern w:val="0"/>
                <w:szCs w:val="21"/>
              </w:rPr>
            </w:pPr>
            <w:r>
              <w:rPr>
                <w:rFonts w:hint="eastAsia" w:ascii="宋体" w:hAnsi="宋体" w:cs="宋体"/>
                <w:kern w:val="0"/>
                <w:szCs w:val="21"/>
              </w:rPr>
              <w:t>控制</w:t>
            </w:r>
          </w:p>
          <w:p w14:paraId="6FE78255">
            <w:pPr>
              <w:adjustRightInd w:val="0"/>
              <w:snapToGrid w:val="0"/>
              <w:jc w:val="center"/>
              <w:rPr>
                <w:rFonts w:ascii="宋体" w:hAnsi="宋体" w:cs="宋体"/>
                <w:kern w:val="0"/>
                <w:szCs w:val="21"/>
              </w:rPr>
            </w:pPr>
            <w:r>
              <w:rPr>
                <w:rFonts w:hint="eastAsia" w:ascii="宋体" w:hAnsi="宋体" w:cs="宋体"/>
                <w:kern w:val="0"/>
                <w:szCs w:val="21"/>
              </w:rPr>
              <w:t>指标</w:t>
            </w:r>
          </w:p>
        </w:tc>
        <w:tc>
          <w:tcPr>
            <w:tcW w:w="8636" w:type="dxa"/>
            <w:noWrap w:val="0"/>
            <w:vAlign w:val="top"/>
          </w:tcPr>
          <w:p w14:paraId="1FC0DB39">
            <w:pPr>
              <w:pStyle w:val="23"/>
              <w:spacing w:line="360" w:lineRule="auto"/>
              <w:ind w:firstLine="480" w:firstLineChars="200"/>
              <w:rPr>
                <w:rFonts w:hint="eastAsia" w:ascii="Times New Roman" w:hAnsi="Times New Roman"/>
                <w:b w:val="0"/>
                <w:highlight w:val="none"/>
              </w:rPr>
            </w:pPr>
            <w:r>
              <w:rPr>
                <w:rFonts w:hint="eastAsia" w:ascii="Times New Roman" w:hAnsi="Times New Roman"/>
                <w:b w:val="0"/>
                <w:highlight w:val="none"/>
              </w:rPr>
              <w:t>根据《国务院关于印发</w:t>
            </w:r>
            <w:r>
              <w:rPr>
                <w:rFonts w:hint="eastAsia" w:ascii="Times New Roman" w:hAnsi="Times New Roman"/>
                <w:b w:val="0"/>
                <w:highlight w:val="none"/>
                <w:lang w:eastAsia="zh-CN"/>
              </w:rPr>
              <w:t>〈</w:t>
            </w:r>
            <w:r>
              <w:rPr>
                <w:rFonts w:hint="eastAsia" w:ascii="Times New Roman" w:hAnsi="Times New Roman"/>
                <w:b w:val="0"/>
                <w:highlight w:val="none"/>
              </w:rPr>
              <w:t>“十四五”节能减排综合性工作方案</w:t>
            </w:r>
            <w:r>
              <w:rPr>
                <w:rFonts w:hint="eastAsia" w:ascii="Times New Roman" w:hAnsi="Times New Roman"/>
                <w:b w:val="0"/>
                <w:highlight w:val="none"/>
                <w:lang w:eastAsia="zh-CN"/>
              </w:rPr>
              <w:t>〉的通知》</w:t>
            </w:r>
            <w:r>
              <w:rPr>
                <w:rFonts w:hint="eastAsia" w:ascii="Times New Roman" w:hAnsi="Times New Roman"/>
                <w:b w:val="0"/>
                <w:highlight w:val="none"/>
              </w:rPr>
              <w:t>（国发</w:t>
            </w:r>
            <w:r>
              <w:rPr>
                <w:rFonts w:hint="eastAsia" w:ascii="Times New Roman" w:hAnsi="Times New Roman"/>
                <w:b w:val="0"/>
                <w:highlight w:val="none"/>
                <w:lang w:eastAsia="zh-CN"/>
              </w:rPr>
              <w:t>〔2021〕</w:t>
            </w:r>
            <w:r>
              <w:rPr>
                <w:rFonts w:hint="eastAsia" w:ascii="Times New Roman" w:hAnsi="Times New Roman"/>
                <w:b w:val="0"/>
                <w:highlight w:val="none"/>
              </w:rPr>
              <w:t>33 号）、《关于印发大气污染防治行动计划的通知》（国发〔2013〕37 号），目前国家对化学需氧量（COD）、氨氮（NH</w:t>
            </w:r>
            <w:r>
              <w:rPr>
                <w:rFonts w:hint="eastAsia" w:ascii="Times New Roman" w:hAnsi="Times New Roman"/>
                <w:b w:val="0"/>
                <w:highlight w:val="none"/>
                <w:vertAlign w:val="subscript"/>
              </w:rPr>
              <w:t>3</w:t>
            </w:r>
            <w:r>
              <w:rPr>
                <w:rFonts w:hint="eastAsia" w:ascii="Times New Roman" w:hAnsi="Times New Roman"/>
                <w:b w:val="0"/>
                <w:highlight w:val="none"/>
              </w:rPr>
              <w:t>-N）、二氧化硫（SO</w:t>
            </w:r>
            <w:r>
              <w:rPr>
                <w:rFonts w:hint="eastAsia" w:ascii="Times New Roman" w:hAnsi="Times New Roman"/>
                <w:b w:val="0"/>
                <w:highlight w:val="none"/>
                <w:vertAlign w:val="subscript"/>
              </w:rPr>
              <w:t>2</w:t>
            </w:r>
            <w:r>
              <w:rPr>
                <w:rFonts w:hint="eastAsia" w:ascii="Times New Roman" w:hAnsi="Times New Roman"/>
                <w:b w:val="0"/>
                <w:highlight w:val="none"/>
              </w:rPr>
              <w:t>）、氮氧化物（NOx）、颗粒物、有机废气（VOCs）等主要污染物实行排放总量控制计划管理。</w:t>
            </w:r>
          </w:p>
          <w:p w14:paraId="16FAD4F0">
            <w:pPr>
              <w:pStyle w:val="23"/>
              <w:spacing w:line="360" w:lineRule="auto"/>
              <w:ind w:firstLine="480" w:firstLineChars="200"/>
              <w:rPr>
                <w:rFonts w:hint="eastAsia" w:ascii="Times New Roman" w:hAnsi="Times New Roman"/>
                <w:b w:val="0"/>
                <w:highlight w:val="none"/>
                <w:lang w:eastAsia="zh-CN"/>
              </w:rPr>
            </w:pPr>
            <w:r>
              <w:rPr>
                <w:rFonts w:hint="eastAsia" w:ascii="Times New Roman" w:hAnsi="Times New Roman"/>
                <w:b w:val="0"/>
                <w:highlight w:val="none"/>
              </w:rPr>
              <w:t>根据工程分析，本项目无二氧化硫、氮氧化物、颗粒物和挥发性有机物的排放，因此二氧化硫、氮氧化物、颗粒物和挥发性有机物无需申请总量控制指标；本项目产生的废水经过自建污水处理站处理后经市政污水管网接入到</w:t>
            </w:r>
            <w:r>
              <w:rPr>
                <w:rFonts w:hint="eastAsia"/>
                <w:b w:val="0"/>
                <w:bCs w:val="0"/>
                <w:sz w:val="24"/>
                <w:szCs w:val="24"/>
                <w:highlight w:val="none"/>
                <w:lang w:val="en-US" w:eastAsia="zh-CN"/>
              </w:rPr>
              <w:t>潘集区芦集镇再生水厂</w:t>
            </w:r>
            <w:r>
              <w:rPr>
                <w:rFonts w:hint="eastAsia" w:ascii="Times New Roman" w:hAnsi="Times New Roman"/>
                <w:b w:val="0"/>
                <w:highlight w:val="none"/>
              </w:rPr>
              <w:t>处理，最终排入</w:t>
            </w:r>
            <w:r>
              <w:rPr>
                <w:rFonts w:hint="eastAsia" w:ascii="Times New Roman" w:hAnsi="Times New Roman"/>
                <w:b w:val="0"/>
                <w:color w:val="auto"/>
                <w:highlight w:val="none"/>
              </w:rPr>
              <w:t>到</w:t>
            </w:r>
            <w:r>
              <w:rPr>
                <w:rFonts w:hint="eastAsia" w:ascii="Times New Roman" w:hAnsi="Times New Roman"/>
                <w:b w:val="0"/>
                <w:color w:val="auto"/>
                <w:highlight w:val="none"/>
                <w:lang w:val="en-US" w:eastAsia="zh-CN"/>
              </w:rPr>
              <w:t>泥河</w:t>
            </w:r>
            <w:r>
              <w:rPr>
                <w:rFonts w:hint="eastAsia" w:ascii="Times New Roman" w:hAnsi="Times New Roman"/>
                <w:b w:val="0"/>
                <w:color w:val="auto"/>
                <w:highlight w:val="none"/>
                <w:lang w:eastAsia="zh-CN"/>
              </w:rPr>
              <w:t>。</w:t>
            </w:r>
            <w:r>
              <w:rPr>
                <w:rFonts w:hint="eastAsia" w:ascii="Times New Roman" w:hAnsi="Times New Roman"/>
                <w:b w:val="0"/>
                <w:color w:val="auto"/>
                <w:sz w:val="24"/>
                <w:szCs w:val="24"/>
                <w:highlight w:val="none"/>
                <w:lang w:eastAsia="zh-CN"/>
              </w:rPr>
              <w:t>污水处理站综合废水排放量为</w:t>
            </w:r>
            <w:r>
              <w:rPr>
                <w:rFonts w:hint="eastAsia" w:ascii="Times New Roman" w:hAnsi="Times New Roman"/>
                <w:b w:val="0"/>
                <w:color w:val="auto"/>
                <w:sz w:val="24"/>
                <w:szCs w:val="24"/>
                <w:highlight w:val="none"/>
                <w:lang w:val="en-US" w:eastAsia="zh-CN"/>
              </w:rPr>
              <w:t>19901.009t/a</w:t>
            </w:r>
            <w:r>
              <w:rPr>
                <w:rFonts w:hint="eastAsia" w:ascii="Times New Roman" w:hAnsi="Times New Roman"/>
                <w:b w:val="0"/>
                <w:color w:val="auto"/>
                <w:highlight w:val="none"/>
                <w:lang w:eastAsia="zh-CN"/>
              </w:rPr>
              <w:t>，经潘集区芦集镇再生水厂处理达到《城镇污水处理厂污染物排放标准》（GB18918-2002）一级A标准（COD：50mg/L、氨氮：5mg/L）排入</w:t>
            </w:r>
            <w:r>
              <w:rPr>
                <w:rFonts w:hint="eastAsia" w:ascii="Times New Roman" w:hAnsi="Times New Roman"/>
                <w:b w:val="0"/>
                <w:highlight w:val="none"/>
                <w:lang w:val="en-US" w:eastAsia="zh-CN"/>
              </w:rPr>
              <w:t>泥河</w:t>
            </w:r>
            <w:r>
              <w:rPr>
                <w:rFonts w:hint="eastAsia" w:ascii="Times New Roman" w:hAnsi="Times New Roman"/>
                <w:b w:val="0"/>
                <w:highlight w:val="none"/>
                <w:lang w:eastAsia="zh-CN"/>
              </w:rPr>
              <w:t>。</w:t>
            </w:r>
          </w:p>
          <w:p w14:paraId="41594802">
            <w:pPr>
              <w:pStyle w:val="7"/>
              <w:spacing w:line="240" w:lineRule="auto"/>
              <w:ind w:firstLine="480" w:firstLineChars="200"/>
              <w:rPr>
                <w:rFonts w:hint="default" w:ascii="Times New Roman" w:hAnsi="Times New Roman"/>
                <w:b w:val="0"/>
                <w:sz w:val="24"/>
                <w:szCs w:val="24"/>
                <w:highlight w:val="none"/>
                <w:lang w:val="en-US" w:eastAsia="zh-CN"/>
              </w:rPr>
            </w:pPr>
            <w:r>
              <w:rPr>
                <w:rFonts w:hint="eastAsia" w:ascii="Times New Roman" w:hAnsi="Times New Roman"/>
                <w:b w:val="0"/>
                <w:sz w:val="24"/>
                <w:szCs w:val="24"/>
                <w:highlight w:val="none"/>
                <w:lang w:val="en-US" w:eastAsia="zh-CN"/>
              </w:rPr>
              <w:t>则COD排放量为</w:t>
            </w:r>
            <w:r>
              <w:rPr>
                <w:rFonts w:hint="eastAsia"/>
                <w:b w:val="0"/>
                <w:sz w:val="24"/>
                <w:szCs w:val="24"/>
                <w:highlight w:val="none"/>
                <w:lang w:val="en-US" w:eastAsia="zh-CN"/>
              </w:rPr>
              <w:t>19901.009</w:t>
            </w:r>
            <w:r>
              <w:rPr>
                <w:rFonts w:hint="eastAsia" w:ascii="Times New Roman" w:hAnsi="Times New Roman"/>
                <w:b w:val="0"/>
                <w:sz w:val="24"/>
                <w:szCs w:val="24"/>
                <w:highlight w:val="none"/>
                <w:lang w:val="en-US" w:eastAsia="zh-CN"/>
              </w:rPr>
              <w:t>t/a*50mg/L=</w:t>
            </w:r>
            <w:r>
              <w:rPr>
                <w:rFonts w:hint="eastAsia"/>
                <w:b w:val="0"/>
                <w:sz w:val="24"/>
                <w:szCs w:val="24"/>
                <w:highlight w:val="none"/>
                <w:lang w:val="en-US" w:eastAsia="zh-CN"/>
              </w:rPr>
              <w:t>0.9951</w:t>
            </w:r>
            <w:r>
              <w:rPr>
                <w:rFonts w:hint="eastAsia" w:ascii="Times New Roman" w:hAnsi="Times New Roman"/>
                <w:b w:val="0"/>
                <w:sz w:val="24"/>
                <w:szCs w:val="24"/>
                <w:highlight w:val="none"/>
                <w:lang w:val="en-US" w:eastAsia="zh-CN"/>
              </w:rPr>
              <w:t>t/a；</w:t>
            </w:r>
          </w:p>
          <w:p w14:paraId="4F061833">
            <w:pPr>
              <w:pStyle w:val="7"/>
              <w:spacing w:line="240" w:lineRule="auto"/>
              <w:ind w:firstLine="480" w:firstLineChars="200"/>
              <w:rPr>
                <w:rFonts w:hint="default"/>
                <w:highlight w:val="none"/>
                <w:lang w:val="en-US" w:eastAsia="zh-CN"/>
              </w:rPr>
            </w:pPr>
            <w:r>
              <w:rPr>
                <w:rFonts w:hint="eastAsia" w:ascii="Times New Roman" w:hAnsi="Times New Roman"/>
                <w:b w:val="0"/>
                <w:sz w:val="24"/>
                <w:szCs w:val="24"/>
                <w:highlight w:val="none"/>
                <w:lang w:val="en-US" w:eastAsia="zh-CN"/>
              </w:rPr>
              <w:t>氨氮排放量为</w:t>
            </w:r>
            <w:r>
              <w:rPr>
                <w:rFonts w:hint="eastAsia"/>
                <w:b w:val="0"/>
                <w:sz w:val="24"/>
                <w:szCs w:val="24"/>
                <w:highlight w:val="none"/>
                <w:lang w:val="en-US" w:eastAsia="zh-CN"/>
              </w:rPr>
              <w:t>19901.009</w:t>
            </w:r>
            <w:r>
              <w:rPr>
                <w:rFonts w:hint="eastAsia" w:ascii="Times New Roman" w:hAnsi="Times New Roman"/>
                <w:b w:val="0"/>
                <w:sz w:val="24"/>
                <w:szCs w:val="24"/>
                <w:highlight w:val="none"/>
                <w:lang w:val="en-US" w:eastAsia="zh-CN"/>
              </w:rPr>
              <w:t>t/a*5mg/L=</w:t>
            </w:r>
            <w:r>
              <w:rPr>
                <w:rFonts w:hint="eastAsia"/>
                <w:b w:val="0"/>
                <w:sz w:val="24"/>
                <w:szCs w:val="24"/>
                <w:highlight w:val="none"/>
                <w:lang w:val="en-US" w:eastAsia="zh-CN"/>
              </w:rPr>
              <w:t>0.0995</w:t>
            </w:r>
            <w:r>
              <w:rPr>
                <w:rFonts w:hint="eastAsia" w:ascii="Times New Roman" w:hAnsi="Times New Roman"/>
                <w:b w:val="0"/>
                <w:sz w:val="24"/>
                <w:szCs w:val="24"/>
                <w:highlight w:val="none"/>
                <w:lang w:val="en-US" w:eastAsia="zh-CN"/>
              </w:rPr>
              <w:t>t/a；</w:t>
            </w:r>
          </w:p>
          <w:p w14:paraId="45F2A11F">
            <w:pPr>
              <w:spacing w:line="240" w:lineRule="auto"/>
              <w:ind w:firstLine="480" w:firstLineChars="200"/>
              <w:jc w:val="left"/>
              <w:rPr>
                <w:rFonts w:hint="eastAsia"/>
                <w:sz w:val="24"/>
                <w:szCs w:val="24"/>
                <w:highlight w:val="yellow"/>
              </w:rPr>
            </w:pPr>
            <w:r>
              <w:rPr>
                <w:rFonts w:hint="eastAsia" w:ascii="Times New Roman" w:hAnsi="Times New Roman"/>
                <w:b w:val="0"/>
                <w:sz w:val="24"/>
                <w:szCs w:val="24"/>
                <w:highlight w:val="none"/>
              </w:rPr>
              <w:t>本项目废水总量控制指标申请如下：COD为</w:t>
            </w:r>
            <w:r>
              <w:rPr>
                <w:rFonts w:hint="eastAsia"/>
                <w:b w:val="0"/>
                <w:sz w:val="24"/>
                <w:szCs w:val="24"/>
                <w:highlight w:val="none"/>
                <w:lang w:val="en-US" w:eastAsia="zh-CN"/>
              </w:rPr>
              <w:t>0.9951</w:t>
            </w:r>
            <w:r>
              <w:rPr>
                <w:rFonts w:hint="eastAsia" w:ascii="Times New Roman" w:hAnsi="Times New Roman"/>
                <w:b w:val="0"/>
                <w:sz w:val="24"/>
                <w:szCs w:val="24"/>
                <w:highlight w:val="none"/>
              </w:rPr>
              <w:t>t/a、氨氮为</w:t>
            </w:r>
            <w:r>
              <w:rPr>
                <w:rFonts w:hint="eastAsia"/>
                <w:b w:val="0"/>
                <w:sz w:val="24"/>
                <w:szCs w:val="24"/>
                <w:highlight w:val="none"/>
                <w:lang w:val="en-US" w:eastAsia="zh-CN"/>
              </w:rPr>
              <w:t>0.0995</w:t>
            </w:r>
            <w:r>
              <w:rPr>
                <w:rFonts w:hint="eastAsia" w:ascii="Times New Roman" w:hAnsi="Times New Roman"/>
                <w:b w:val="0"/>
                <w:sz w:val="24"/>
                <w:szCs w:val="24"/>
                <w:highlight w:val="none"/>
              </w:rPr>
              <w:t>t/a。</w:t>
            </w:r>
          </w:p>
          <w:p w14:paraId="3180C197">
            <w:pPr>
              <w:pStyle w:val="23"/>
              <w:spacing w:line="360" w:lineRule="auto"/>
              <w:ind w:firstLine="482" w:firstLineChars="200"/>
              <w:rPr>
                <w:rFonts w:ascii="Times New Roman"/>
              </w:rPr>
            </w:pPr>
          </w:p>
        </w:tc>
      </w:tr>
    </w:tbl>
    <w:p w14:paraId="706766AD">
      <w:pPr>
        <w:pStyle w:val="13"/>
        <w:jc w:val="center"/>
        <w:outlineLvl w:val="0"/>
        <w:rPr>
          <w:rFonts w:ascii="黑体" w:hAnsi="黑体" w:eastAsia="黑体"/>
          <w:snapToGrid w:val="0"/>
          <w:sz w:val="30"/>
          <w:szCs w:val="30"/>
        </w:rPr>
      </w:pPr>
      <w:r>
        <w:rPr>
          <w:rFonts w:ascii="黑体" w:hAnsi="黑体" w:eastAsia="黑体"/>
          <w:snapToGrid w:val="0"/>
          <w:sz w:val="36"/>
          <w:szCs w:val="36"/>
        </w:rPr>
        <w:br w:type="page"/>
      </w:r>
      <w:r>
        <w:rPr>
          <w:rFonts w:hint="eastAsia" w:ascii="黑体" w:hAnsi="黑体" w:eastAsia="黑体"/>
          <w:snapToGrid w:val="0"/>
          <w:sz w:val="30"/>
          <w:szCs w:val="30"/>
        </w:rPr>
        <w:t>四、主要环境影响和保护措施</w:t>
      </w:r>
    </w:p>
    <w:tbl>
      <w:tblPr>
        <w:tblStyle w:val="14"/>
        <w:tblW w:w="8981"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637"/>
        <w:gridCol w:w="8344"/>
      </w:tblGrid>
      <w:tr w14:paraId="672F8CD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297" w:hRule="atLeast"/>
          <w:jc w:val="center"/>
        </w:trPr>
        <w:tc>
          <w:tcPr>
            <w:tcW w:w="637" w:type="dxa"/>
            <w:noWrap w:val="0"/>
            <w:tcMar>
              <w:left w:w="28" w:type="dxa"/>
              <w:right w:w="28" w:type="dxa"/>
            </w:tcMar>
            <w:vAlign w:val="center"/>
          </w:tcPr>
          <w:p w14:paraId="5763D37B">
            <w:pPr>
              <w:pStyle w:val="13"/>
              <w:adjustRightInd w:val="0"/>
              <w:snapToGrid w:val="0"/>
              <w:spacing w:before="0" w:beforeAutospacing="0" w:after="0" w:afterAutospacing="0"/>
              <w:jc w:val="center"/>
              <w:rPr>
                <w:rFonts w:ascii="Times New Roman" w:hAnsi="Times New Roman"/>
                <w:kern w:val="2"/>
                <w:sz w:val="21"/>
                <w:szCs w:val="21"/>
              </w:rPr>
            </w:pPr>
            <w:r>
              <w:rPr>
                <w:rFonts w:ascii="Times New Roman" w:hAnsi="Times New Roman"/>
                <w:kern w:val="2"/>
                <w:sz w:val="21"/>
                <w:szCs w:val="21"/>
              </w:rPr>
              <w:t>施工</w:t>
            </w:r>
          </w:p>
          <w:p w14:paraId="2B2019E6">
            <w:pPr>
              <w:pStyle w:val="13"/>
              <w:adjustRightInd w:val="0"/>
              <w:snapToGrid w:val="0"/>
              <w:spacing w:before="0" w:beforeAutospacing="0" w:after="0" w:afterAutospacing="0"/>
              <w:jc w:val="center"/>
              <w:rPr>
                <w:rFonts w:ascii="Times New Roman" w:hAnsi="Times New Roman"/>
                <w:kern w:val="2"/>
                <w:sz w:val="21"/>
                <w:szCs w:val="21"/>
              </w:rPr>
            </w:pPr>
            <w:r>
              <w:rPr>
                <w:rFonts w:ascii="Times New Roman" w:hAnsi="Times New Roman"/>
                <w:kern w:val="2"/>
                <w:sz w:val="21"/>
                <w:szCs w:val="21"/>
              </w:rPr>
              <w:t>期环</w:t>
            </w:r>
          </w:p>
          <w:p w14:paraId="242D1E7D">
            <w:pPr>
              <w:pStyle w:val="13"/>
              <w:adjustRightInd w:val="0"/>
              <w:snapToGrid w:val="0"/>
              <w:spacing w:before="0" w:beforeAutospacing="0" w:after="0" w:afterAutospacing="0"/>
              <w:jc w:val="center"/>
              <w:rPr>
                <w:rFonts w:ascii="Times New Roman" w:hAnsi="Times New Roman"/>
                <w:kern w:val="2"/>
                <w:sz w:val="21"/>
                <w:szCs w:val="21"/>
              </w:rPr>
            </w:pPr>
            <w:r>
              <w:rPr>
                <w:rFonts w:ascii="Times New Roman" w:hAnsi="Times New Roman"/>
                <w:kern w:val="2"/>
                <w:sz w:val="21"/>
                <w:szCs w:val="21"/>
              </w:rPr>
              <w:t>境保</w:t>
            </w:r>
          </w:p>
          <w:p w14:paraId="7BD8260E">
            <w:pPr>
              <w:pStyle w:val="13"/>
              <w:adjustRightInd w:val="0"/>
              <w:snapToGrid w:val="0"/>
              <w:spacing w:before="0" w:beforeAutospacing="0" w:after="0" w:afterAutospacing="0"/>
              <w:jc w:val="center"/>
              <w:rPr>
                <w:rFonts w:ascii="Times New Roman" w:hAnsi="Times New Roman"/>
                <w:kern w:val="2"/>
                <w:sz w:val="21"/>
                <w:szCs w:val="21"/>
              </w:rPr>
            </w:pPr>
            <w:r>
              <w:rPr>
                <w:rFonts w:ascii="Times New Roman" w:hAnsi="Times New Roman"/>
                <w:kern w:val="2"/>
                <w:sz w:val="21"/>
                <w:szCs w:val="21"/>
              </w:rPr>
              <w:t>护措</w:t>
            </w:r>
          </w:p>
          <w:p w14:paraId="2EBCFDB1">
            <w:pPr>
              <w:pStyle w:val="13"/>
              <w:adjustRightInd w:val="0"/>
              <w:snapToGrid w:val="0"/>
              <w:spacing w:before="0" w:beforeAutospacing="0" w:after="0" w:afterAutospacing="0"/>
              <w:jc w:val="center"/>
              <w:rPr>
                <w:rFonts w:ascii="Times New Roman" w:hAnsi="Times New Roman"/>
                <w:bCs/>
                <w:kern w:val="2"/>
                <w:sz w:val="21"/>
                <w:szCs w:val="21"/>
                <w:highlight w:val="yellow"/>
              </w:rPr>
            </w:pPr>
            <w:r>
              <w:rPr>
                <w:rFonts w:ascii="Times New Roman" w:hAnsi="Times New Roman"/>
                <w:kern w:val="2"/>
                <w:sz w:val="21"/>
                <w:szCs w:val="21"/>
              </w:rPr>
              <w:t>施</w:t>
            </w:r>
          </w:p>
        </w:tc>
        <w:tc>
          <w:tcPr>
            <w:tcW w:w="8344" w:type="dxa"/>
            <w:noWrap w:val="0"/>
            <w:vAlign w:val="top"/>
          </w:tcPr>
          <w:p w14:paraId="3DED5151">
            <w:pPr>
              <w:wordWrap w:val="0"/>
              <w:topLinePunct/>
              <w:spacing w:line="360" w:lineRule="auto"/>
              <w:contextualSpacing/>
              <w:textAlignment w:val="center"/>
              <w:rPr>
                <w:b/>
                <w:kern w:val="0"/>
                <w:sz w:val="28"/>
                <w:szCs w:val="28"/>
              </w:rPr>
            </w:pPr>
            <w:r>
              <w:rPr>
                <w:b/>
                <w:kern w:val="0"/>
                <w:sz w:val="28"/>
                <w:szCs w:val="28"/>
              </w:rPr>
              <w:t>施工期环境影响分析</w:t>
            </w:r>
          </w:p>
          <w:p w14:paraId="0D04973E">
            <w:pPr>
              <w:spacing w:line="360" w:lineRule="auto"/>
              <w:ind w:firstLine="480" w:firstLineChars="200"/>
              <w:rPr>
                <w:sz w:val="24"/>
                <w:highlight w:val="yellow"/>
              </w:rPr>
            </w:pPr>
            <w:r>
              <w:rPr>
                <w:rFonts w:hint="eastAsia"/>
                <w:bCs/>
                <w:sz w:val="24"/>
                <w:lang w:eastAsia="zh-CN"/>
              </w:rPr>
              <w:t>项目利用</w:t>
            </w:r>
            <w:r>
              <w:rPr>
                <w:rFonts w:ascii="Segoe UI" w:hAnsi="Segoe UI" w:eastAsia="Segoe UI" w:cs="Segoe UI"/>
                <w:i w:val="0"/>
                <w:iCs w:val="0"/>
                <w:caps w:val="0"/>
                <w:color w:val="0F1115"/>
                <w:spacing w:val="0"/>
                <w:sz w:val="24"/>
                <w:szCs w:val="24"/>
                <w:shd w:val="clear" w:color="auto" w:fill="FFFFFF"/>
              </w:rPr>
              <w:t>原淮南东方医院集团潘三医院原址进行改造建设</w:t>
            </w:r>
            <w:r>
              <w:rPr>
                <w:rFonts w:hint="eastAsia"/>
                <w:sz w:val="24"/>
              </w:rPr>
              <w:t>，其</w:t>
            </w:r>
            <w:r>
              <w:rPr>
                <w:sz w:val="24"/>
              </w:rPr>
              <w:t>施工期主要是对设备进行</w:t>
            </w:r>
            <w:r>
              <w:rPr>
                <w:rFonts w:hint="eastAsia"/>
                <w:sz w:val="24"/>
              </w:rPr>
              <w:t>搬运、</w:t>
            </w:r>
            <w:r>
              <w:rPr>
                <w:sz w:val="24"/>
              </w:rPr>
              <w:t>安装，</w:t>
            </w:r>
            <w:r>
              <w:rPr>
                <w:rFonts w:hint="eastAsia"/>
                <w:sz w:val="24"/>
              </w:rPr>
              <w:t>会产生少量固废、粉尘及噪声污染。其中固废统一收集处理；设备搬运安装都是在白天进行，且在室内；电钻切割开槽等工序产生</w:t>
            </w:r>
            <w:r>
              <w:rPr>
                <w:rFonts w:hint="eastAsia"/>
                <w:sz w:val="24"/>
                <w:lang w:eastAsia="zh-CN"/>
              </w:rPr>
              <w:t>的</w:t>
            </w:r>
            <w:r>
              <w:rPr>
                <w:rFonts w:hint="eastAsia"/>
                <w:sz w:val="24"/>
              </w:rPr>
              <w:t>粉尘，采取洒水抑尘等措施，项目施工期对周边环境影响较小，属于局部、短期、可恢复性的。故本次环评不对项目施工期环境影响做详细分析。</w:t>
            </w:r>
          </w:p>
        </w:tc>
      </w:tr>
    </w:tbl>
    <w:p w14:paraId="4C05FB71">
      <w:pPr>
        <w:pStyle w:val="19"/>
        <w:rPr>
          <w:bCs/>
          <w:szCs w:val="21"/>
        </w:rPr>
        <w:sectPr>
          <w:pgSz w:w="11905" w:h="16838"/>
          <w:pgMar w:top="1701" w:right="1531" w:bottom="2126" w:left="1531" w:header="851" w:footer="850" w:gutter="0"/>
          <w:cols w:space="720" w:num="1"/>
          <w:docGrid w:linePitch="312" w:charSpace="0"/>
        </w:sectPr>
      </w:pPr>
    </w:p>
    <w:tbl>
      <w:tblPr>
        <w:tblStyle w:val="15"/>
        <w:tblW w:w="494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9"/>
        <w:gridCol w:w="12293"/>
      </w:tblGrid>
      <w:tr w14:paraId="4B5352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8" w:type="dxa"/>
            <w:noWrap w:val="0"/>
            <w:vAlign w:val="top"/>
          </w:tcPr>
          <w:p w14:paraId="4E52E445">
            <w:pPr>
              <w:adjustRightInd w:val="0"/>
              <w:snapToGrid w:val="0"/>
              <w:jc w:val="center"/>
              <w:rPr>
                <w:bCs/>
                <w:szCs w:val="21"/>
              </w:rPr>
            </w:pPr>
            <w:r>
              <w:rPr>
                <w:bCs/>
                <w:szCs w:val="21"/>
              </w:rPr>
              <w:t>运营</w:t>
            </w:r>
          </w:p>
          <w:p w14:paraId="25000BB0">
            <w:pPr>
              <w:adjustRightInd w:val="0"/>
              <w:snapToGrid w:val="0"/>
              <w:jc w:val="center"/>
              <w:rPr>
                <w:bCs/>
                <w:szCs w:val="21"/>
              </w:rPr>
            </w:pPr>
            <w:r>
              <w:rPr>
                <w:bCs/>
                <w:szCs w:val="21"/>
              </w:rPr>
              <w:t>期环</w:t>
            </w:r>
          </w:p>
          <w:p w14:paraId="6F6F7290">
            <w:pPr>
              <w:adjustRightInd w:val="0"/>
              <w:snapToGrid w:val="0"/>
              <w:jc w:val="center"/>
              <w:rPr>
                <w:bCs/>
                <w:szCs w:val="21"/>
              </w:rPr>
            </w:pPr>
            <w:r>
              <w:rPr>
                <w:bCs/>
                <w:szCs w:val="21"/>
              </w:rPr>
              <w:t>境影</w:t>
            </w:r>
          </w:p>
          <w:p w14:paraId="478F5A05">
            <w:pPr>
              <w:adjustRightInd w:val="0"/>
              <w:snapToGrid w:val="0"/>
              <w:jc w:val="center"/>
              <w:rPr>
                <w:bCs/>
                <w:szCs w:val="21"/>
              </w:rPr>
            </w:pPr>
            <w:r>
              <w:rPr>
                <w:bCs/>
                <w:szCs w:val="21"/>
              </w:rPr>
              <w:t>响和</w:t>
            </w:r>
          </w:p>
          <w:p w14:paraId="4E0054A7">
            <w:pPr>
              <w:adjustRightInd w:val="0"/>
              <w:snapToGrid w:val="0"/>
              <w:jc w:val="center"/>
              <w:rPr>
                <w:bCs/>
                <w:szCs w:val="21"/>
              </w:rPr>
            </w:pPr>
            <w:r>
              <w:rPr>
                <w:bCs/>
                <w:szCs w:val="21"/>
              </w:rPr>
              <w:t>保护</w:t>
            </w:r>
          </w:p>
          <w:p w14:paraId="4243960A">
            <w:pPr>
              <w:pStyle w:val="19"/>
              <w:ind w:firstLine="0"/>
              <w:jc w:val="center"/>
              <w:rPr>
                <w:bCs/>
                <w:sz w:val="21"/>
                <w:szCs w:val="21"/>
                <w:vertAlign w:val="baseline"/>
              </w:rPr>
            </w:pPr>
            <w:r>
              <w:rPr>
                <w:bCs/>
                <w:sz w:val="21"/>
                <w:szCs w:val="21"/>
              </w:rPr>
              <w:t>措施</w:t>
            </w:r>
          </w:p>
        </w:tc>
        <w:tc>
          <w:tcPr>
            <w:tcW w:w="12695" w:type="dxa"/>
            <w:noWrap w:val="0"/>
            <w:vAlign w:val="top"/>
          </w:tcPr>
          <w:p w14:paraId="02B43635">
            <w:pPr>
              <w:pStyle w:val="23"/>
              <w:ind w:firstLine="482" w:firstLineChars="200"/>
              <w:rPr>
                <w:rFonts w:ascii="Times New Roman" w:hAnsi="Times New Roman"/>
              </w:rPr>
            </w:pPr>
            <w:r>
              <w:rPr>
                <w:rFonts w:hint="eastAsia" w:ascii="Times New Roman" w:hAnsi="Times New Roman"/>
                <w:lang w:eastAsia="zh-CN"/>
              </w:rPr>
              <w:t>1.</w:t>
            </w:r>
            <w:r>
              <w:rPr>
                <w:rFonts w:hint="eastAsia" w:ascii="Times New Roman" w:hAnsi="Times New Roman"/>
              </w:rPr>
              <w:t>废气</w:t>
            </w:r>
          </w:p>
          <w:p w14:paraId="573167A7">
            <w:pPr>
              <w:pStyle w:val="23"/>
              <w:ind w:firstLine="482" w:firstLineChars="200"/>
              <w:rPr>
                <w:rFonts w:ascii="Times New Roman" w:hAnsi="Times New Roman"/>
              </w:rPr>
            </w:pPr>
            <w:r>
              <w:rPr>
                <w:rFonts w:ascii="Times New Roman" w:hAnsi="Times New Roman"/>
              </w:rPr>
              <w:t>1.1污染工序及源强分析</w:t>
            </w:r>
          </w:p>
          <w:p w14:paraId="73F4472D">
            <w:pPr>
              <w:pStyle w:val="23"/>
              <w:ind w:firstLine="480" w:firstLineChars="200"/>
              <w:rPr>
                <w:rFonts w:hint="eastAsia" w:ascii="Times New Roman" w:hAnsi="Times New Roman"/>
                <w:b w:val="0"/>
                <w:bCs/>
                <w:lang w:eastAsia="zh-CN"/>
              </w:rPr>
            </w:pPr>
            <w:r>
              <w:rPr>
                <w:rFonts w:hint="eastAsia" w:ascii="Times New Roman" w:hAnsi="Times New Roman"/>
                <w:b w:val="0"/>
                <w:bCs/>
              </w:rPr>
              <w:t>项目运营过程中产生的废气主要为</w:t>
            </w:r>
            <w:r>
              <w:rPr>
                <w:rFonts w:hint="eastAsia" w:ascii="Times New Roman" w:hAnsi="Times New Roman"/>
                <w:b w:val="0"/>
                <w:bCs w:val="0"/>
                <w:sz w:val="24"/>
                <w:lang w:val="en-US" w:eastAsia="zh-CN"/>
              </w:rPr>
              <w:t>污水处理站排放的恶臭，备用柴油发电机组产生的废气、检验废气</w:t>
            </w:r>
            <w:r>
              <w:rPr>
                <w:rFonts w:hint="eastAsia" w:ascii="Times New Roman" w:hAnsi="Times New Roman"/>
                <w:b/>
                <w:bCs/>
                <w:sz w:val="24"/>
                <w:lang w:val="en-US" w:eastAsia="zh-CN"/>
              </w:rPr>
              <w:t>。</w:t>
            </w:r>
            <w:r>
              <w:rPr>
                <w:rFonts w:hint="eastAsia" w:ascii="Times New Roman" w:hAnsi="Times New Roman"/>
                <w:b w:val="0"/>
                <w:bCs/>
                <w:lang w:eastAsia="zh-CN"/>
              </w:rPr>
              <w:t>废气源强及排放口信息汇总具体见下表。</w:t>
            </w:r>
          </w:p>
          <w:p w14:paraId="798FDC2A">
            <w:pPr>
              <w:pStyle w:val="5"/>
              <w:jc w:val="center"/>
              <w:rPr>
                <w:b/>
                <w:bCs/>
                <w:szCs w:val="21"/>
                <w:highlight w:val="none"/>
              </w:rPr>
            </w:pPr>
            <w:r>
              <w:rPr>
                <w:b/>
                <w:bCs/>
                <w:szCs w:val="21"/>
                <w:highlight w:val="none"/>
              </w:rPr>
              <w:t>表</w:t>
            </w:r>
            <w:r>
              <w:rPr>
                <w:rFonts w:hint="eastAsia"/>
                <w:b/>
                <w:bCs/>
                <w:szCs w:val="21"/>
                <w:highlight w:val="none"/>
              </w:rPr>
              <w:t>4-1 项目</w:t>
            </w:r>
            <w:r>
              <w:rPr>
                <w:b/>
                <w:bCs/>
                <w:szCs w:val="21"/>
                <w:highlight w:val="none"/>
              </w:rPr>
              <w:t>废气污染源正常排放汇总表</w:t>
            </w:r>
          </w:p>
          <w:tbl>
            <w:tblPr>
              <w:tblStyle w:val="14"/>
              <w:tblW w:w="5000"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361"/>
              <w:gridCol w:w="361"/>
              <w:gridCol w:w="362"/>
              <w:gridCol w:w="647"/>
              <w:gridCol w:w="562"/>
              <w:gridCol w:w="649"/>
              <w:gridCol w:w="521"/>
              <w:gridCol w:w="495"/>
              <w:gridCol w:w="495"/>
              <w:gridCol w:w="362"/>
              <w:gridCol w:w="684"/>
              <w:gridCol w:w="570"/>
              <w:gridCol w:w="615"/>
              <w:gridCol w:w="705"/>
              <w:gridCol w:w="645"/>
              <w:gridCol w:w="420"/>
              <w:gridCol w:w="540"/>
              <w:gridCol w:w="480"/>
              <w:gridCol w:w="645"/>
              <w:gridCol w:w="782"/>
              <w:gridCol w:w="649"/>
              <w:gridCol w:w="507"/>
            </w:tblGrid>
            <w:tr w14:paraId="439A79F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149" w:type="pct"/>
                  <w:vMerge w:val="restart"/>
                  <w:noWrap w:val="0"/>
                  <w:vAlign w:val="center"/>
                </w:tcPr>
                <w:p w14:paraId="40990F8E">
                  <w:pPr>
                    <w:pStyle w:val="5"/>
                    <w:jc w:val="center"/>
                    <w:rPr>
                      <w:b/>
                      <w:bCs/>
                      <w:szCs w:val="21"/>
                    </w:rPr>
                  </w:pPr>
                  <w:r>
                    <w:rPr>
                      <w:b/>
                      <w:bCs/>
                      <w:szCs w:val="21"/>
                    </w:rPr>
                    <w:t>产排污环节</w:t>
                  </w:r>
                </w:p>
              </w:tc>
              <w:tc>
                <w:tcPr>
                  <w:tcW w:w="149" w:type="pct"/>
                  <w:vMerge w:val="restart"/>
                  <w:noWrap w:val="0"/>
                  <w:vAlign w:val="center"/>
                </w:tcPr>
                <w:p w14:paraId="14B673C1">
                  <w:pPr>
                    <w:pStyle w:val="5"/>
                    <w:jc w:val="center"/>
                    <w:rPr>
                      <w:b/>
                      <w:bCs/>
                      <w:szCs w:val="21"/>
                    </w:rPr>
                  </w:pPr>
                  <w:r>
                    <w:rPr>
                      <w:b/>
                      <w:bCs/>
                      <w:szCs w:val="21"/>
                    </w:rPr>
                    <w:t>排放形式</w:t>
                  </w:r>
                </w:p>
              </w:tc>
              <w:tc>
                <w:tcPr>
                  <w:tcW w:w="150" w:type="pct"/>
                  <w:vMerge w:val="restart"/>
                  <w:noWrap w:val="0"/>
                  <w:vAlign w:val="center"/>
                </w:tcPr>
                <w:p w14:paraId="35FEC239">
                  <w:pPr>
                    <w:pStyle w:val="5"/>
                    <w:jc w:val="center"/>
                    <w:rPr>
                      <w:b/>
                      <w:bCs/>
                      <w:szCs w:val="21"/>
                    </w:rPr>
                  </w:pPr>
                  <w:r>
                    <w:rPr>
                      <w:b/>
                      <w:bCs/>
                      <w:szCs w:val="21"/>
                    </w:rPr>
                    <w:t>污染物</w:t>
                  </w:r>
                </w:p>
                <w:p w14:paraId="6ACD88BC">
                  <w:pPr>
                    <w:pStyle w:val="5"/>
                    <w:jc w:val="center"/>
                    <w:rPr>
                      <w:b/>
                      <w:bCs/>
                      <w:szCs w:val="21"/>
                    </w:rPr>
                  </w:pPr>
                  <w:r>
                    <w:rPr>
                      <w:b/>
                      <w:bCs/>
                      <w:szCs w:val="21"/>
                    </w:rPr>
                    <w:t>种类</w:t>
                  </w:r>
                </w:p>
              </w:tc>
              <w:tc>
                <w:tcPr>
                  <w:tcW w:w="770" w:type="pct"/>
                  <w:gridSpan w:val="3"/>
                  <w:noWrap w:val="0"/>
                  <w:vAlign w:val="center"/>
                </w:tcPr>
                <w:p w14:paraId="6E43B8F7">
                  <w:pPr>
                    <w:pStyle w:val="5"/>
                    <w:jc w:val="center"/>
                    <w:rPr>
                      <w:rFonts w:hint="eastAsia"/>
                      <w:b/>
                      <w:bCs/>
                      <w:szCs w:val="21"/>
                    </w:rPr>
                  </w:pPr>
                  <w:r>
                    <w:rPr>
                      <w:b/>
                      <w:bCs/>
                      <w:szCs w:val="21"/>
                    </w:rPr>
                    <w:t>污染物产生</w:t>
                  </w:r>
                  <w:r>
                    <w:rPr>
                      <w:rFonts w:hint="eastAsia"/>
                      <w:b/>
                      <w:bCs/>
                      <w:szCs w:val="21"/>
                    </w:rPr>
                    <w:t>情况</w:t>
                  </w:r>
                </w:p>
              </w:tc>
              <w:tc>
                <w:tcPr>
                  <w:tcW w:w="1060" w:type="pct"/>
                  <w:gridSpan w:val="5"/>
                  <w:noWrap w:val="0"/>
                  <w:vAlign w:val="center"/>
                </w:tcPr>
                <w:p w14:paraId="43E3C481">
                  <w:pPr>
                    <w:pStyle w:val="5"/>
                    <w:jc w:val="center"/>
                    <w:rPr>
                      <w:b/>
                      <w:bCs/>
                      <w:szCs w:val="21"/>
                    </w:rPr>
                  </w:pPr>
                  <w:r>
                    <w:rPr>
                      <w:b/>
                      <w:bCs/>
                      <w:szCs w:val="21"/>
                    </w:rPr>
                    <w:t>污染治理设施</w:t>
                  </w:r>
                </w:p>
              </w:tc>
              <w:tc>
                <w:tcPr>
                  <w:tcW w:w="783" w:type="pct"/>
                  <w:gridSpan w:val="3"/>
                  <w:noWrap w:val="0"/>
                  <w:vAlign w:val="center"/>
                </w:tcPr>
                <w:p w14:paraId="136593C2">
                  <w:pPr>
                    <w:pStyle w:val="5"/>
                    <w:jc w:val="center"/>
                    <w:rPr>
                      <w:rFonts w:hint="eastAsia"/>
                      <w:b/>
                      <w:bCs/>
                      <w:szCs w:val="21"/>
                    </w:rPr>
                  </w:pPr>
                  <w:r>
                    <w:rPr>
                      <w:b/>
                      <w:bCs/>
                      <w:szCs w:val="21"/>
                    </w:rPr>
                    <w:t>污染物排放</w:t>
                  </w:r>
                  <w:r>
                    <w:rPr>
                      <w:rFonts w:hint="eastAsia"/>
                      <w:b/>
                      <w:bCs/>
                      <w:szCs w:val="21"/>
                    </w:rPr>
                    <w:t>情况</w:t>
                  </w:r>
                </w:p>
              </w:tc>
              <w:tc>
                <w:tcPr>
                  <w:tcW w:w="1456" w:type="pct"/>
                  <w:gridSpan w:val="6"/>
                  <w:noWrap w:val="0"/>
                  <w:vAlign w:val="center"/>
                </w:tcPr>
                <w:p w14:paraId="232E8621">
                  <w:pPr>
                    <w:pStyle w:val="5"/>
                    <w:jc w:val="center"/>
                    <w:rPr>
                      <w:b/>
                      <w:bCs/>
                      <w:szCs w:val="21"/>
                    </w:rPr>
                  </w:pPr>
                  <w:r>
                    <w:rPr>
                      <w:b/>
                      <w:bCs/>
                      <w:szCs w:val="21"/>
                    </w:rPr>
                    <w:t>排放口基本情况</w:t>
                  </w:r>
                </w:p>
              </w:tc>
              <w:tc>
                <w:tcPr>
                  <w:tcW w:w="479" w:type="pct"/>
                  <w:gridSpan w:val="2"/>
                  <w:noWrap w:val="0"/>
                  <w:vAlign w:val="center"/>
                </w:tcPr>
                <w:p w14:paraId="1C06E86B">
                  <w:pPr>
                    <w:pStyle w:val="5"/>
                    <w:jc w:val="center"/>
                    <w:rPr>
                      <w:b/>
                      <w:bCs/>
                      <w:szCs w:val="21"/>
                    </w:rPr>
                  </w:pPr>
                  <w:r>
                    <w:rPr>
                      <w:b/>
                      <w:bCs/>
                      <w:szCs w:val="21"/>
                    </w:rPr>
                    <w:t>排放标准</w:t>
                  </w:r>
                </w:p>
              </w:tc>
            </w:tr>
            <w:tr w14:paraId="21422A4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149" w:type="pct"/>
                  <w:vMerge w:val="continue"/>
                  <w:noWrap w:val="0"/>
                  <w:vAlign w:val="center"/>
                </w:tcPr>
                <w:p w14:paraId="089FB093">
                  <w:pPr>
                    <w:pStyle w:val="5"/>
                    <w:jc w:val="center"/>
                    <w:rPr>
                      <w:b/>
                      <w:bCs/>
                      <w:szCs w:val="21"/>
                    </w:rPr>
                  </w:pPr>
                </w:p>
              </w:tc>
              <w:tc>
                <w:tcPr>
                  <w:tcW w:w="149" w:type="pct"/>
                  <w:vMerge w:val="continue"/>
                  <w:noWrap w:val="0"/>
                  <w:vAlign w:val="center"/>
                </w:tcPr>
                <w:p w14:paraId="68DFE0F0">
                  <w:pPr>
                    <w:pStyle w:val="5"/>
                    <w:jc w:val="center"/>
                    <w:rPr>
                      <w:b/>
                      <w:bCs/>
                      <w:szCs w:val="21"/>
                    </w:rPr>
                  </w:pPr>
                </w:p>
              </w:tc>
              <w:tc>
                <w:tcPr>
                  <w:tcW w:w="150" w:type="pct"/>
                  <w:vMerge w:val="continue"/>
                  <w:noWrap w:val="0"/>
                  <w:vAlign w:val="center"/>
                </w:tcPr>
                <w:p w14:paraId="78B130F0">
                  <w:pPr>
                    <w:pStyle w:val="5"/>
                    <w:jc w:val="center"/>
                    <w:rPr>
                      <w:b/>
                      <w:bCs/>
                      <w:szCs w:val="21"/>
                    </w:rPr>
                  </w:pPr>
                </w:p>
              </w:tc>
              <w:tc>
                <w:tcPr>
                  <w:tcW w:w="268" w:type="pct"/>
                  <w:noWrap w:val="0"/>
                  <w:vAlign w:val="center"/>
                </w:tcPr>
                <w:p w14:paraId="428EEC64">
                  <w:pPr>
                    <w:pStyle w:val="5"/>
                    <w:jc w:val="center"/>
                    <w:rPr>
                      <w:b/>
                      <w:bCs/>
                      <w:szCs w:val="21"/>
                    </w:rPr>
                  </w:pPr>
                  <w:r>
                    <w:rPr>
                      <w:b/>
                      <w:bCs/>
                      <w:szCs w:val="21"/>
                    </w:rPr>
                    <w:t>产生浓度</w:t>
                  </w:r>
                </w:p>
              </w:tc>
              <w:tc>
                <w:tcPr>
                  <w:tcW w:w="233" w:type="pct"/>
                  <w:noWrap w:val="0"/>
                  <w:vAlign w:val="center"/>
                </w:tcPr>
                <w:p w14:paraId="5FB2B8B0">
                  <w:pPr>
                    <w:pStyle w:val="5"/>
                    <w:jc w:val="center"/>
                    <w:rPr>
                      <w:rFonts w:hint="eastAsia"/>
                      <w:b/>
                      <w:bCs/>
                      <w:szCs w:val="21"/>
                    </w:rPr>
                  </w:pPr>
                  <w:r>
                    <w:rPr>
                      <w:b/>
                      <w:bCs/>
                      <w:szCs w:val="21"/>
                    </w:rPr>
                    <w:t>产生</w:t>
                  </w:r>
                  <w:r>
                    <w:rPr>
                      <w:rFonts w:hint="eastAsia"/>
                      <w:b/>
                      <w:bCs/>
                      <w:szCs w:val="21"/>
                    </w:rPr>
                    <w:t>速率</w:t>
                  </w:r>
                </w:p>
              </w:tc>
              <w:tc>
                <w:tcPr>
                  <w:tcW w:w="269" w:type="pct"/>
                  <w:noWrap w:val="0"/>
                  <w:vAlign w:val="center"/>
                </w:tcPr>
                <w:p w14:paraId="2743E4CC">
                  <w:pPr>
                    <w:pStyle w:val="5"/>
                    <w:jc w:val="center"/>
                    <w:rPr>
                      <w:b/>
                      <w:bCs/>
                      <w:szCs w:val="21"/>
                    </w:rPr>
                  </w:pPr>
                  <w:r>
                    <w:rPr>
                      <w:b/>
                      <w:bCs/>
                      <w:szCs w:val="21"/>
                    </w:rPr>
                    <w:t>产生量</w:t>
                  </w:r>
                </w:p>
              </w:tc>
              <w:tc>
                <w:tcPr>
                  <w:tcW w:w="216" w:type="pct"/>
                  <w:noWrap w:val="0"/>
                  <w:vAlign w:val="center"/>
                </w:tcPr>
                <w:p w14:paraId="510DCDBD">
                  <w:pPr>
                    <w:pStyle w:val="5"/>
                    <w:jc w:val="center"/>
                    <w:rPr>
                      <w:b/>
                      <w:bCs/>
                      <w:szCs w:val="21"/>
                    </w:rPr>
                  </w:pPr>
                  <w:r>
                    <w:rPr>
                      <w:b/>
                      <w:bCs/>
                      <w:szCs w:val="21"/>
                    </w:rPr>
                    <w:t>处理能力</w:t>
                  </w:r>
                </w:p>
              </w:tc>
              <w:tc>
                <w:tcPr>
                  <w:tcW w:w="205" w:type="pct"/>
                  <w:vMerge w:val="restart"/>
                  <w:noWrap w:val="0"/>
                  <w:vAlign w:val="center"/>
                </w:tcPr>
                <w:p w14:paraId="47A5C3CF">
                  <w:pPr>
                    <w:pStyle w:val="5"/>
                    <w:jc w:val="center"/>
                    <w:rPr>
                      <w:b/>
                      <w:bCs/>
                      <w:szCs w:val="21"/>
                    </w:rPr>
                  </w:pPr>
                  <w:r>
                    <w:rPr>
                      <w:b/>
                      <w:bCs/>
                      <w:szCs w:val="21"/>
                    </w:rPr>
                    <w:t>收集效率</w:t>
                  </w:r>
                </w:p>
              </w:tc>
              <w:tc>
                <w:tcPr>
                  <w:tcW w:w="205" w:type="pct"/>
                  <w:vMerge w:val="restart"/>
                  <w:noWrap w:val="0"/>
                  <w:vAlign w:val="center"/>
                </w:tcPr>
                <w:p w14:paraId="642B6792">
                  <w:pPr>
                    <w:pStyle w:val="5"/>
                    <w:jc w:val="center"/>
                    <w:rPr>
                      <w:b/>
                      <w:bCs/>
                      <w:szCs w:val="21"/>
                    </w:rPr>
                  </w:pPr>
                  <w:r>
                    <w:rPr>
                      <w:b/>
                      <w:bCs/>
                      <w:szCs w:val="21"/>
                    </w:rPr>
                    <w:t>去除效率</w:t>
                  </w:r>
                </w:p>
              </w:tc>
              <w:tc>
                <w:tcPr>
                  <w:tcW w:w="150" w:type="pct"/>
                  <w:vMerge w:val="restart"/>
                  <w:noWrap w:val="0"/>
                  <w:vAlign w:val="center"/>
                </w:tcPr>
                <w:p w14:paraId="0BE8A907">
                  <w:pPr>
                    <w:pStyle w:val="5"/>
                    <w:jc w:val="center"/>
                    <w:rPr>
                      <w:b/>
                      <w:bCs/>
                      <w:szCs w:val="21"/>
                    </w:rPr>
                  </w:pPr>
                  <w:r>
                    <w:rPr>
                      <w:b/>
                      <w:bCs/>
                      <w:szCs w:val="21"/>
                    </w:rPr>
                    <w:t>是否可行技术</w:t>
                  </w:r>
                </w:p>
              </w:tc>
              <w:tc>
                <w:tcPr>
                  <w:tcW w:w="283" w:type="pct"/>
                  <w:vMerge w:val="restart"/>
                  <w:noWrap w:val="0"/>
                  <w:vAlign w:val="center"/>
                </w:tcPr>
                <w:p w14:paraId="39A9E679">
                  <w:pPr>
                    <w:pStyle w:val="5"/>
                    <w:jc w:val="center"/>
                    <w:rPr>
                      <w:rFonts w:hint="eastAsia"/>
                      <w:b/>
                      <w:bCs/>
                      <w:szCs w:val="21"/>
                    </w:rPr>
                  </w:pPr>
                  <w:r>
                    <w:rPr>
                      <w:rFonts w:hint="eastAsia"/>
                      <w:b/>
                      <w:bCs/>
                      <w:szCs w:val="21"/>
                    </w:rPr>
                    <w:t>处理工艺</w:t>
                  </w:r>
                </w:p>
              </w:tc>
              <w:tc>
                <w:tcPr>
                  <w:tcW w:w="236" w:type="pct"/>
                  <w:noWrap w:val="0"/>
                  <w:vAlign w:val="center"/>
                </w:tcPr>
                <w:p w14:paraId="3CEA1823">
                  <w:pPr>
                    <w:pStyle w:val="5"/>
                    <w:jc w:val="center"/>
                    <w:rPr>
                      <w:b/>
                      <w:bCs/>
                      <w:szCs w:val="21"/>
                    </w:rPr>
                  </w:pPr>
                  <w:r>
                    <w:rPr>
                      <w:b/>
                      <w:bCs/>
                      <w:szCs w:val="21"/>
                    </w:rPr>
                    <w:t>排放浓度</w:t>
                  </w:r>
                </w:p>
              </w:tc>
              <w:tc>
                <w:tcPr>
                  <w:tcW w:w="255" w:type="pct"/>
                  <w:noWrap w:val="0"/>
                  <w:vAlign w:val="center"/>
                </w:tcPr>
                <w:p w14:paraId="2C0CEBA3">
                  <w:pPr>
                    <w:pStyle w:val="5"/>
                    <w:jc w:val="center"/>
                    <w:rPr>
                      <w:b/>
                      <w:bCs/>
                      <w:szCs w:val="21"/>
                    </w:rPr>
                  </w:pPr>
                  <w:r>
                    <w:rPr>
                      <w:rFonts w:hint="eastAsia"/>
                      <w:b/>
                      <w:bCs/>
                      <w:szCs w:val="21"/>
                    </w:rPr>
                    <w:t>排放速率</w:t>
                  </w:r>
                </w:p>
              </w:tc>
              <w:tc>
                <w:tcPr>
                  <w:tcW w:w="292" w:type="pct"/>
                  <w:noWrap w:val="0"/>
                  <w:vAlign w:val="center"/>
                </w:tcPr>
                <w:p w14:paraId="66E4273E">
                  <w:pPr>
                    <w:pStyle w:val="5"/>
                    <w:jc w:val="center"/>
                    <w:rPr>
                      <w:b/>
                      <w:bCs/>
                      <w:szCs w:val="21"/>
                    </w:rPr>
                  </w:pPr>
                  <w:r>
                    <w:rPr>
                      <w:b/>
                      <w:bCs/>
                      <w:szCs w:val="21"/>
                    </w:rPr>
                    <w:t>排放量</w:t>
                  </w:r>
                </w:p>
              </w:tc>
              <w:tc>
                <w:tcPr>
                  <w:tcW w:w="267" w:type="pct"/>
                  <w:noWrap w:val="0"/>
                  <w:vAlign w:val="center"/>
                </w:tcPr>
                <w:p w14:paraId="350E909E">
                  <w:pPr>
                    <w:pStyle w:val="5"/>
                    <w:jc w:val="center"/>
                    <w:rPr>
                      <w:b/>
                      <w:bCs/>
                      <w:szCs w:val="21"/>
                    </w:rPr>
                  </w:pPr>
                  <w:r>
                    <w:rPr>
                      <w:b/>
                      <w:bCs/>
                      <w:szCs w:val="21"/>
                    </w:rPr>
                    <w:t>编号及名称</w:t>
                  </w:r>
                </w:p>
              </w:tc>
              <w:tc>
                <w:tcPr>
                  <w:tcW w:w="174" w:type="pct"/>
                  <w:noWrap w:val="0"/>
                  <w:vAlign w:val="center"/>
                </w:tcPr>
                <w:p w14:paraId="4D9A8E04">
                  <w:pPr>
                    <w:pStyle w:val="5"/>
                    <w:jc w:val="center"/>
                    <w:rPr>
                      <w:b/>
                      <w:bCs/>
                      <w:szCs w:val="21"/>
                    </w:rPr>
                  </w:pPr>
                  <w:r>
                    <w:rPr>
                      <w:b/>
                      <w:bCs/>
                      <w:szCs w:val="21"/>
                    </w:rPr>
                    <w:t>高度</w:t>
                  </w:r>
                </w:p>
              </w:tc>
              <w:tc>
                <w:tcPr>
                  <w:tcW w:w="223" w:type="pct"/>
                  <w:noWrap w:val="0"/>
                  <w:vAlign w:val="center"/>
                </w:tcPr>
                <w:p w14:paraId="4EEC8E41">
                  <w:pPr>
                    <w:pStyle w:val="5"/>
                    <w:jc w:val="center"/>
                    <w:rPr>
                      <w:b/>
                      <w:bCs/>
                      <w:szCs w:val="21"/>
                    </w:rPr>
                  </w:pPr>
                  <w:r>
                    <w:rPr>
                      <w:b/>
                      <w:bCs/>
                      <w:szCs w:val="21"/>
                    </w:rPr>
                    <w:t>内径</w:t>
                  </w:r>
                </w:p>
              </w:tc>
              <w:tc>
                <w:tcPr>
                  <w:tcW w:w="199" w:type="pct"/>
                  <w:noWrap w:val="0"/>
                  <w:vAlign w:val="center"/>
                </w:tcPr>
                <w:p w14:paraId="18BC0195">
                  <w:pPr>
                    <w:pStyle w:val="5"/>
                    <w:jc w:val="center"/>
                    <w:rPr>
                      <w:b/>
                      <w:bCs/>
                      <w:szCs w:val="21"/>
                    </w:rPr>
                  </w:pPr>
                  <w:r>
                    <w:rPr>
                      <w:b/>
                      <w:bCs/>
                      <w:szCs w:val="21"/>
                    </w:rPr>
                    <w:t>温度</w:t>
                  </w:r>
                </w:p>
              </w:tc>
              <w:tc>
                <w:tcPr>
                  <w:tcW w:w="267" w:type="pct"/>
                  <w:noWrap w:val="0"/>
                  <w:vAlign w:val="center"/>
                </w:tcPr>
                <w:p w14:paraId="703DBC75">
                  <w:pPr>
                    <w:pStyle w:val="5"/>
                    <w:jc w:val="center"/>
                    <w:rPr>
                      <w:b/>
                      <w:bCs/>
                      <w:szCs w:val="21"/>
                    </w:rPr>
                  </w:pPr>
                  <w:r>
                    <w:rPr>
                      <w:b/>
                      <w:bCs/>
                      <w:szCs w:val="21"/>
                    </w:rPr>
                    <w:t>类型</w:t>
                  </w:r>
                </w:p>
              </w:tc>
              <w:tc>
                <w:tcPr>
                  <w:tcW w:w="324" w:type="pct"/>
                  <w:noWrap w:val="0"/>
                  <w:vAlign w:val="center"/>
                </w:tcPr>
                <w:p w14:paraId="644D9223">
                  <w:pPr>
                    <w:pStyle w:val="5"/>
                    <w:jc w:val="center"/>
                    <w:rPr>
                      <w:b/>
                      <w:bCs/>
                      <w:szCs w:val="21"/>
                    </w:rPr>
                  </w:pPr>
                  <w:r>
                    <w:rPr>
                      <w:b/>
                      <w:bCs/>
                      <w:szCs w:val="21"/>
                    </w:rPr>
                    <w:t>地理</w:t>
                  </w:r>
                </w:p>
                <w:p w14:paraId="2BF1B9BC">
                  <w:pPr>
                    <w:pStyle w:val="5"/>
                    <w:jc w:val="center"/>
                    <w:rPr>
                      <w:b/>
                      <w:bCs/>
                      <w:szCs w:val="21"/>
                    </w:rPr>
                  </w:pPr>
                  <w:r>
                    <w:rPr>
                      <w:b/>
                      <w:bCs/>
                      <w:szCs w:val="21"/>
                    </w:rPr>
                    <w:t>坐标</w:t>
                  </w:r>
                </w:p>
              </w:tc>
              <w:tc>
                <w:tcPr>
                  <w:tcW w:w="269" w:type="pct"/>
                  <w:vMerge w:val="restart"/>
                  <w:noWrap w:val="0"/>
                  <w:vAlign w:val="center"/>
                </w:tcPr>
                <w:p w14:paraId="155A3D22">
                  <w:pPr>
                    <w:pStyle w:val="5"/>
                    <w:jc w:val="center"/>
                    <w:rPr>
                      <w:b/>
                      <w:bCs/>
                      <w:szCs w:val="21"/>
                    </w:rPr>
                  </w:pPr>
                  <w:r>
                    <w:rPr>
                      <w:b/>
                      <w:bCs/>
                      <w:szCs w:val="21"/>
                    </w:rPr>
                    <w:t>浓度</w:t>
                  </w:r>
                </w:p>
                <w:p w14:paraId="7F30BCB2">
                  <w:pPr>
                    <w:pStyle w:val="5"/>
                    <w:jc w:val="center"/>
                    <w:rPr>
                      <w:b/>
                      <w:bCs/>
                      <w:szCs w:val="21"/>
                    </w:rPr>
                  </w:pPr>
                  <w:r>
                    <w:rPr>
                      <w:b/>
                      <w:bCs/>
                      <w:szCs w:val="21"/>
                    </w:rPr>
                    <w:t>mg/m</w:t>
                  </w:r>
                  <w:r>
                    <w:rPr>
                      <w:b/>
                      <w:bCs/>
                      <w:szCs w:val="21"/>
                      <w:vertAlign w:val="superscript"/>
                    </w:rPr>
                    <w:t>3</w:t>
                  </w:r>
                </w:p>
              </w:tc>
              <w:tc>
                <w:tcPr>
                  <w:tcW w:w="210" w:type="pct"/>
                  <w:vMerge w:val="restart"/>
                  <w:noWrap w:val="0"/>
                  <w:vAlign w:val="center"/>
                </w:tcPr>
                <w:p w14:paraId="6990F403">
                  <w:pPr>
                    <w:pStyle w:val="5"/>
                    <w:jc w:val="center"/>
                    <w:rPr>
                      <w:b/>
                      <w:bCs/>
                      <w:szCs w:val="21"/>
                    </w:rPr>
                  </w:pPr>
                  <w:r>
                    <w:rPr>
                      <w:b/>
                      <w:bCs/>
                      <w:szCs w:val="21"/>
                    </w:rPr>
                    <w:t>速率</w:t>
                  </w:r>
                </w:p>
                <w:p w14:paraId="4293E4FB">
                  <w:pPr>
                    <w:pStyle w:val="5"/>
                    <w:jc w:val="center"/>
                    <w:rPr>
                      <w:b/>
                      <w:bCs/>
                      <w:szCs w:val="21"/>
                    </w:rPr>
                  </w:pPr>
                  <w:r>
                    <w:rPr>
                      <w:b/>
                      <w:bCs/>
                      <w:szCs w:val="21"/>
                    </w:rPr>
                    <w:t>kg/h</w:t>
                  </w:r>
                </w:p>
              </w:tc>
            </w:tr>
            <w:tr w14:paraId="7CA7EF7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149" w:type="pct"/>
                  <w:vMerge w:val="continue"/>
                  <w:noWrap w:val="0"/>
                  <w:vAlign w:val="center"/>
                </w:tcPr>
                <w:p w14:paraId="370A6011">
                  <w:pPr>
                    <w:pStyle w:val="5"/>
                    <w:jc w:val="center"/>
                    <w:rPr>
                      <w:b/>
                      <w:bCs/>
                      <w:szCs w:val="21"/>
                    </w:rPr>
                  </w:pPr>
                </w:p>
              </w:tc>
              <w:tc>
                <w:tcPr>
                  <w:tcW w:w="149" w:type="pct"/>
                  <w:vMerge w:val="continue"/>
                  <w:noWrap w:val="0"/>
                  <w:vAlign w:val="center"/>
                </w:tcPr>
                <w:p w14:paraId="70F6F340">
                  <w:pPr>
                    <w:pStyle w:val="5"/>
                    <w:jc w:val="center"/>
                    <w:rPr>
                      <w:b/>
                      <w:bCs/>
                      <w:szCs w:val="21"/>
                    </w:rPr>
                  </w:pPr>
                </w:p>
              </w:tc>
              <w:tc>
                <w:tcPr>
                  <w:tcW w:w="150" w:type="pct"/>
                  <w:vMerge w:val="continue"/>
                  <w:noWrap w:val="0"/>
                  <w:vAlign w:val="center"/>
                </w:tcPr>
                <w:p w14:paraId="7357C2C0">
                  <w:pPr>
                    <w:pStyle w:val="5"/>
                    <w:jc w:val="center"/>
                    <w:rPr>
                      <w:b/>
                      <w:bCs/>
                      <w:szCs w:val="21"/>
                    </w:rPr>
                  </w:pPr>
                </w:p>
              </w:tc>
              <w:tc>
                <w:tcPr>
                  <w:tcW w:w="268" w:type="pct"/>
                  <w:noWrap w:val="0"/>
                  <w:vAlign w:val="center"/>
                </w:tcPr>
                <w:p w14:paraId="6387DBC8">
                  <w:pPr>
                    <w:pStyle w:val="5"/>
                    <w:jc w:val="center"/>
                    <w:rPr>
                      <w:b/>
                      <w:bCs/>
                      <w:szCs w:val="21"/>
                    </w:rPr>
                  </w:pPr>
                  <w:r>
                    <w:rPr>
                      <w:b/>
                      <w:bCs/>
                      <w:szCs w:val="21"/>
                    </w:rPr>
                    <w:t>mg/m</w:t>
                  </w:r>
                  <w:r>
                    <w:rPr>
                      <w:b/>
                      <w:bCs/>
                      <w:szCs w:val="21"/>
                      <w:vertAlign w:val="superscript"/>
                    </w:rPr>
                    <w:t>3</w:t>
                  </w:r>
                </w:p>
              </w:tc>
              <w:tc>
                <w:tcPr>
                  <w:tcW w:w="233" w:type="pct"/>
                  <w:noWrap w:val="0"/>
                  <w:vAlign w:val="center"/>
                </w:tcPr>
                <w:p w14:paraId="4AC1328C">
                  <w:pPr>
                    <w:pStyle w:val="5"/>
                    <w:jc w:val="center"/>
                    <w:rPr>
                      <w:b/>
                      <w:bCs/>
                      <w:szCs w:val="21"/>
                    </w:rPr>
                  </w:pPr>
                  <w:r>
                    <w:rPr>
                      <w:b/>
                      <w:bCs/>
                      <w:szCs w:val="21"/>
                    </w:rPr>
                    <w:t>kg/h</w:t>
                  </w:r>
                </w:p>
              </w:tc>
              <w:tc>
                <w:tcPr>
                  <w:tcW w:w="269" w:type="pct"/>
                  <w:noWrap w:val="0"/>
                  <w:vAlign w:val="center"/>
                </w:tcPr>
                <w:p w14:paraId="4B5C8ACF">
                  <w:pPr>
                    <w:pStyle w:val="5"/>
                    <w:jc w:val="center"/>
                    <w:rPr>
                      <w:b/>
                      <w:bCs/>
                      <w:szCs w:val="21"/>
                    </w:rPr>
                  </w:pPr>
                  <w:r>
                    <w:rPr>
                      <w:rFonts w:hint="eastAsia"/>
                      <w:b/>
                      <w:bCs/>
                      <w:szCs w:val="21"/>
                      <w:lang w:val="en-US" w:eastAsia="zh-CN"/>
                    </w:rPr>
                    <w:t>kg</w:t>
                  </w:r>
                  <w:r>
                    <w:rPr>
                      <w:b/>
                      <w:bCs/>
                      <w:szCs w:val="21"/>
                    </w:rPr>
                    <w:t>/a</w:t>
                  </w:r>
                </w:p>
              </w:tc>
              <w:tc>
                <w:tcPr>
                  <w:tcW w:w="216" w:type="pct"/>
                  <w:noWrap w:val="0"/>
                  <w:vAlign w:val="center"/>
                </w:tcPr>
                <w:p w14:paraId="39800023">
                  <w:pPr>
                    <w:pStyle w:val="5"/>
                    <w:jc w:val="center"/>
                    <w:rPr>
                      <w:b/>
                      <w:bCs/>
                      <w:szCs w:val="21"/>
                    </w:rPr>
                  </w:pPr>
                  <w:r>
                    <w:rPr>
                      <w:b/>
                      <w:bCs/>
                      <w:szCs w:val="21"/>
                    </w:rPr>
                    <w:t>m</w:t>
                  </w:r>
                  <w:r>
                    <w:rPr>
                      <w:b/>
                      <w:bCs/>
                      <w:szCs w:val="21"/>
                      <w:vertAlign w:val="superscript"/>
                    </w:rPr>
                    <w:t>3</w:t>
                  </w:r>
                  <w:r>
                    <w:rPr>
                      <w:b/>
                      <w:bCs/>
                      <w:szCs w:val="21"/>
                    </w:rPr>
                    <w:t>/h</w:t>
                  </w:r>
                </w:p>
              </w:tc>
              <w:tc>
                <w:tcPr>
                  <w:tcW w:w="205" w:type="pct"/>
                  <w:vMerge w:val="continue"/>
                  <w:noWrap w:val="0"/>
                  <w:vAlign w:val="center"/>
                </w:tcPr>
                <w:p w14:paraId="3430104E">
                  <w:pPr>
                    <w:pStyle w:val="5"/>
                    <w:rPr>
                      <w:b/>
                      <w:bCs/>
                      <w:szCs w:val="21"/>
                    </w:rPr>
                  </w:pPr>
                </w:p>
              </w:tc>
              <w:tc>
                <w:tcPr>
                  <w:tcW w:w="205" w:type="pct"/>
                  <w:vMerge w:val="continue"/>
                  <w:noWrap w:val="0"/>
                  <w:vAlign w:val="center"/>
                </w:tcPr>
                <w:p w14:paraId="7F39F0CB">
                  <w:pPr>
                    <w:pStyle w:val="5"/>
                    <w:rPr>
                      <w:b/>
                      <w:bCs/>
                      <w:szCs w:val="21"/>
                    </w:rPr>
                  </w:pPr>
                </w:p>
              </w:tc>
              <w:tc>
                <w:tcPr>
                  <w:tcW w:w="150" w:type="pct"/>
                  <w:vMerge w:val="continue"/>
                  <w:noWrap w:val="0"/>
                  <w:vAlign w:val="center"/>
                </w:tcPr>
                <w:p w14:paraId="08363A19">
                  <w:pPr>
                    <w:pStyle w:val="5"/>
                    <w:jc w:val="center"/>
                    <w:rPr>
                      <w:b/>
                      <w:bCs/>
                      <w:szCs w:val="21"/>
                    </w:rPr>
                  </w:pPr>
                </w:p>
              </w:tc>
              <w:tc>
                <w:tcPr>
                  <w:tcW w:w="283" w:type="pct"/>
                  <w:vMerge w:val="continue"/>
                  <w:noWrap w:val="0"/>
                  <w:vAlign w:val="center"/>
                </w:tcPr>
                <w:p w14:paraId="0A60AA28">
                  <w:pPr>
                    <w:pStyle w:val="5"/>
                    <w:jc w:val="center"/>
                    <w:rPr>
                      <w:b/>
                      <w:bCs/>
                      <w:szCs w:val="21"/>
                    </w:rPr>
                  </w:pPr>
                </w:p>
              </w:tc>
              <w:tc>
                <w:tcPr>
                  <w:tcW w:w="236" w:type="pct"/>
                  <w:noWrap w:val="0"/>
                  <w:vAlign w:val="center"/>
                </w:tcPr>
                <w:p w14:paraId="42805093">
                  <w:pPr>
                    <w:pStyle w:val="5"/>
                    <w:jc w:val="center"/>
                    <w:rPr>
                      <w:b/>
                      <w:bCs/>
                      <w:szCs w:val="21"/>
                    </w:rPr>
                  </w:pPr>
                  <w:r>
                    <w:rPr>
                      <w:b/>
                      <w:bCs/>
                      <w:szCs w:val="21"/>
                    </w:rPr>
                    <w:t>mg/m</w:t>
                  </w:r>
                  <w:r>
                    <w:rPr>
                      <w:b/>
                      <w:bCs/>
                      <w:szCs w:val="21"/>
                      <w:vertAlign w:val="superscript"/>
                    </w:rPr>
                    <w:t>3</w:t>
                  </w:r>
                </w:p>
              </w:tc>
              <w:tc>
                <w:tcPr>
                  <w:tcW w:w="255" w:type="pct"/>
                  <w:noWrap w:val="0"/>
                  <w:vAlign w:val="center"/>
                </w:tcPr>
                <w:p w14:paraId="7DE15154">
                  <w:pPr>
                    <w:pStyle w:val="5"/>
                    <w:jc w:val="center"/>
                    <w:rPr>
                      <w:b/>
                      <w:bCs/>
                      <w:szCs w:val="21"/>
                    </w:rPr>
                  </w:pPr>
                  <w:r>
                    <w:rPr>
                      <w:b/>
                      <w:bCs/>
                      <w:szCs w:val="21"/>
                    </w:rPr>
                    <w:t>kg/h</w:t>
                  </w:r>
                </w:p>
              </w:tc>
              <w:tc>
                <w:tcPr>
                  <w:tcW w:w="292" w:type="pct"/>
                  <w:noWrap w:val="0"/>
                  <w:vAlign w:val="center"/>
                </w:tcPr>
                <w:p w14:paraId="5D57100C">
                  <w:pPr>
                    <w:pStyle w:val="5"/>
                    <w:jc w:val="center"/>
                    <w:rPr>
                      <w:b/>
                      <w:bCs/>
                      <w:szCs w:val="21"/>
                    </w:rPr>
                  </w:pPr>
                  <w:r>
                    <w:rPr>
                      <w:rFonts w:hint="eastAsia"/>
                      <w:b/>
                      <w:bCs/>
                      <w:szCs w:val="21"/>
                      <w:lang w:val="en-US" w:eastAsia="zh-CN"/>
                    </w:rPr>
                    <w:t>kg</w:t>
                  </w:r>
                  <w:r>
                    <w:rPr>
                      <w:b/>
                      <w:bCs/>
                      <w:szCs w:val="21"/>
                    </w:rPr>
                    <w:t>/a</w:t>
                  </w:r>
                </w:p>
              </w:tc>
              <w:tc>
                <w:tcPr>
                  <w:tcW w:w="267" w:type="pct"/>
                  <w:noWrap w:val="0"/>
                  <w:vAlign w:val="center"/>
                </w:tcPr>
                <w:p w14:paraId="7B5ACD8A">
                  <w:pPr>
                    <w:pStyle w:val="5"/>
                    <w:jc w:val="center"/>
                    <w:rPr>
                      <w:b/>
                      <w:bCs/>
                      <w:szCs w:val="21"/>
                    </w:rPr>
                  </w:pPr>
                  <w:r>
                    <w:rPr>
                      <w:b/>
                      <w:bCs/>
                      <w:szCs w:val="21"/>
                    </w:rPr>
                    <w:t>/</w:t>
                  </w:r>
                </w:p>
              </w:tc>
              <w:tc>
                <w:tcPr>
                  <w:tcW w:w="174" w:type="pct"/>
                  <w:noWrap w:val="0"/>
                  <w:vAlign w:val="center"/>
                </w:tcPr>
                <w:p w14:paraId="4EE77056">
                  <w:pPr>
                    <w:pStyle w:val="5"/>
                    <w:jc w:val="center"/>
                    <w:rPr>
                      <w:b/>
                      <w:bCs/>
                      <w:szCs w:val="21"/>
                    </w:rPr>
                  </w:pPr>
                  <w:r>
                    <w:rPr>
                      <w:b/>
                      <w:bCs/>
                      <w:szCs w:val="21"/>
                    </w:rPr>
                    <w:t>m</w:t>
                  </w:r>
                </w:p>
              </w:tc>
              <w:tc>
                <w:tcPr>
                  <w:tcW w:w="223" w:type="pct"/>
                  <w:noWrap w:val="0"/>
                  <w:vAlign w:val="center"/>
                </w:tcPr>
                <w:p w14:paraId="693728BC">
                  <w:pPr>
                    <w:pStyle w:val="5"/>
                    <w:jc w:val="center"/>
                    <w:rPr>
                      <w:b/>
                      <w:bCs/>
                      <w:szCs w:val="21"/>
                    </w:rPr>
                  </w:pPr>
                  <w:r>
                    <w:rPr>
                      <w:b/>
                      <w:bCs/>
                      <w:szCs w:val="21"/>
                    </w:rPr>
                    <w:t>m</w:t>
                  </w:r>
                </w:p>
              </w:tc>
              <w:tc>
                <w:tcPr>
                  <w:tcW w:w="199" w:type="pct"/>
                  <w:noWrap w:val="0"/>
                  <w:vAlign w:val="center"/>
                </w:tcPr>
                <w:p w14:paraId="2C8E8E06">
                  <w:pPr>
                    <w:pStyle w:val="5"/>
                    <w:jc w:val="center"/>
                    <w:rPr>
                      <w:b/>
                      <w:bCs/>
                      <w:szCs w:val="21"/>
                    </w:rPr>
                  </w:pPr>
                  <w:r>
                    <w:rPr>
                      <w:b/>
                      <w:bCs/>
                      <w:szCs w:val="21"/>
                    </w:rPr>
                    <w:t>℃</w:t>
                  </w:r>
                </w:p>
              </w:tc>
              <w:tc>
                <w:tcPr>
                  <w:tcW w:w="267" w:type="pct"/>
                  <w:noWrap w:val="0"/>
                  <w:vAlign w:val="center"/>
                </w:tcPr>
                <w:p w14:paraId="1AB9657C">
                  <w:pPr>
                    <w:pStyle w:val="5"/>
                    <w:jc w:val="center"/>
                    <w:rPr>
                      <w:b/>
                      <w:bCs/>
                      <w:szCs w:val="21"/>
                    </w:rPr>
                  </w:pPr>
                  <w:r>
                    <w:rPr>
                      <w:b/>
                      <w:bCs/>
                      <w:szCs w:val="21"/>
                    </w:rPr>
                    <w:t>/</w:t>
                  </w:r>
                </w:p>
              </w:tc>
              <w:tc>
                <w:tcPr>
                  <w:tcW w:w="324" w:type="pct"/>
                  <w:noWrap w:val="0"/>
                  <w:vAlign w:val="center"/>
                </w:tcPr>
                <w:p w14:paraId="38A2D4EB">
                  <w:pPr>
                    <w:pStyle w:val="5"/>
                    <w:jc w:val="center"/>
                    <w:rPr>
                      <w:b/>
                      <w:bCs/>
                      <w:szCs w:val="21"/>
                    </w:rPr>
                  </w:pPr>
                  <w:r>
                    <w:rPr>
                      <w:b/>
                      <w:bCs/>
                      <w:szCs w:val="21"/>
                    </w:rPr>
                    <w:t>/</w:t>
                  </w:r>
                </w:p>
              </w:tc>
              <w:tc>
                <w:tcPr>
                  <w:tcW w:w="269" w:type="pct"/>
                  <w:vMerge w:val="continue"/>
                  <w:noWrap w:val="0"/>
                  <w:vAlign w:val="center"/>
                </w:tcPr>
                <w:p w14:paraId="486BCDB1">
                  <w:pPr>
                    <w:pStyle w:val="5"/>
                    <w:jc w:val="center"/>
                    <w:rPr>
                      <w:b/>
                      <w:bCs/>
                      <w:szCs w:val="21"/>
                    </w:rPr>
                  </w:pPr>
                </w:p>
              </w:tc>
              <w:tc>
                <w:tcPr>
                  <w:tcW w:w="210" w:type="pct"/>
                  <w:vMerge w:val="continue"/>
                  <w:noWrap w:val="0"/>
                  <w:vAlign w:val="center"/>
                </w:tcPr>
                <w:p w14:paraId="12A432B2">
                  <w:pPr>
                    <w:pStyle w:val="5"/>
                    <w:jc w:val="center"/>
                    <w:rPr>
                      <w:b/>
                      <w:bCs/>
                      <w:szCs w:val="21"/>
                    </w:rPr>
                  </w:pPr>
                </w:p>
              </w:tc>
            </w:tr>
            <w:tr w14:paraId="290409A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7" w:hRule="atLeast"/>
                <w:jc w:val="center"/>
              </w:trPr>
              <w:tc>
                <w:tcPr>
                  <w:tcW w:w="149" w:type="pct"/>
                  <w:vMerge w:val="restart"/>
                  <w:noWrap w:val="0"/>
                  <w:vAlign w:val="center"/>
                </w:tcPr>
                <w:p w14:paraId="7B8CD5C8">
                  <w:pPr>
                    <w:pStyle w:val="5"/>
                    <w:jc w:val="center"/>
                    <w:rPr>
                      <w:rFonts w:hint="eastAsia" w:eastAsia="宋体"/>
                      <w:szCs w:val="21"/>
                      <w:lang w:eastAsia="zh-CN"/>
                    </w:rPr>
                  </w:pPr>
                  <w:r>
                    <w:rPr>
                      <w:rFonts w:hint="eastAsia"/>
                      <w:szCs w:val="21"/>
                      <w:lang w:eastAsia="zh-CN"/>
                    </w:rPr>
                    <w:t>污水站</w:t>
                  </w:r>
                </w:p>
              </w:tc>
              <w:tc>
                <w:tcPr>
                  <w:tcW w:w="149" w:type="pct"/>
                  <w:vMerge w:val="restart"/>
                  <w:noWrap w:val="0"/>
                  <w:vAlign w:val="center"/>
                </w:tcPr>
                <w:p w14:paraId="655D6506">
                  <w:pPr>
                    <w:pStyle w:val="5"/>
                    <w:jc w:val="center"/>
                    <w:rPr>
                      <w:rFonts w:hint="eastAsia"/>
                      <w:szCs w:val="21"/>
                    </w:rPr>
                  </w:pPr>
                  <w:r>
                    <w:rPr>
                      <w:rFonts w:hint="eastAsia"/>
                      <w:szCs w:val="21"/>
                    </w:rPr>
                    <w:t>有组织</w:t>
                  </w:r>
                </w:p>
              </w:tc>
              <w:tc>
                <w:tcPr>
                  <w:tcW w:w="150" w:type="pct"/>
                  <w:noWrap w:val="0"/>
                  <w:vAlign w:val="center"/>
                </w:tcPr>
                <w:p w14:paraId="4B52CB7C">
                  <w:pPr>
                    <w:pStyle w:val="5"/>
                    <w:ind w:left="0" w:leftChars="0" w:firstLine="0" w:firstLineChars="0"/>
                    <w:jc w:val="center"/>
                    <w:rPr>
                      <w:rFonts w:hint="eastAsia" w:eastAsia="宋体"/>
                      <w:szCs w:val="21"/>
                      <w:lang w:eastAsia="zh-CN"/>
                    </w:rPr>
                  </w:pPr>
                  <w:r>
                    <w:rPr>
                      <w:rFonts w:hint="eastAsia"/>
                      <w:szCs w:val="21"/>
                      <w:lang w:eastAsia="zh-CN"/>
                    </w:rPr>
                    <w:t>氨</w:t>
                  </w:r>
                </w:p>
              </w:tc>
              <w:tc>
                <w:tcPr>
                  <w:tcW w:w="268" w:type="pct"/>
                  <w:noWrap w:val="0"/>
                  <w:vAlign w:val="center"/>
                </w:tcPr>
                <w:p w14:paraId="09442D1F">
                  <w:pPr>
                    <w:jc w:val="center"/>
                    <w:rPr>
                      <w:rFonts w:hint="default" w:eastAsia="宋体"/>
                      <w:szCs w:val="21"/>
                      <w:lang w:val="en-US" w:eastAsia="zh-CN"/>
                    </w:rPr>
                  </w:pPr>
                  <w:r>
                    <w:rPr>
                      <w:rFonts w:hint="eastAsia"/>
                      <w:szCs w:val="21"/>
                      <w:lang w:val="en-US" w:eastAsia="zh-CN"/>
                    </w:rPr>
                    <w:t>0.1831</w:t>
                  </w:r>
                </w:p>
              </w:tc>
              <w:tc>
                <w:tcPr>
                  <w:tcW w:w="233" w:type="pct"/>
                  <w:noWrap w:val="0"/>
                  <w:vAlign w:val="center"/>
                </w:tcPr>
                <w:p w14:paraId="53B1B297">
                  <w:pPr>
                    <w:jc w:val="center"/>
                    <w:rPr>
                      <w:rFonts w:hint="default" w:eastAsia="宋体"/>
                      <w:szCs w:val="21"/>
                      <w:lang w:val="en-US" w:eastAsia="zh-CN"/>
                    </w:rPr>
                  </w:pPr>
                  <w:r>
                    <w:rPr>
                      <w:rFonts w:hint="eastAsia" w:eastAsia="宋体"/>
                      <w:szCs w:val="21"/>
                      <w:lang w:val="en-US" w:eastAsia="zh-CN"/>
                    </w:rPr>
                    <w:t>0.000</w:t>
                  </w:r>
                  <w:r>
                    <w:rPr>
                      <w:rFonts w:hint="eastAsia"/>
                      <w:szCs w:val="21"/>
                      <w:lang w:val="en-US" w:eastAsia="zh-CN"/>
                    </w:rPr>
                    <w:t>4</w:t>
                  </w:r>
                </w:p>
              </w:tc>
              <w:tc>
                <w:tcPr>
                  <w:tcW w:w="269" w:type="pct"/>
                  <w:noWrap w:val="0"/>
                  <w:vAlign w:val="center"/>
                </w:tcPr>
                <w:p w14:paraId="2D7F37F0">
                  <w:pPr>
                    <w:jc w:val="center"/>
                    <w:rPr>
                      <w:rFonts w:hint="default" w:eastAsia="宋体"/>
                      <w:szCs w:val="21"/>
                      <w:lang w:val="en-US" w:eastAsia="zh-CN"/>
                    </w:rPr>
                  </w:pPr>
                  <w:r>
                    <w:rPr>
                      <w:rFonts w:hint="eastAsia"/>
                      <w:szCs w:val="21"/>
                      <w:lang w:val="en-US" w:eastAsia="zh-CN"/>
                    </w:rPr>
                    <w:t>3.2079</w:t>
                  </w:r>
                </w:p>
              </w:tc>
              <w:tc>
                <w:tcPr>
                  <w:tcW w:w="216" w:type="pct"/>
                  <w:vMerge w:val="restart"/>
                  <w:noWrap w:val="0"/>
                  <w:vAlign w:val="center"/>
                </w:tcPr>
                <w:p w14:paraId="157A3061">
                  <w:pPr>
                    <w:spacing w:line="340" w:lineRule="exact"/>
                    <w:ind w:left="-105" w:leftChars="-50" w:right="-105" w:rightChars="-50"/>
                    <w:jc w:val="center"/>
                    <w:rPr>
                      <w:rFonts w:hint="default" w:eastAsia="宋体"/>
                      <w:szCs w:val="21"/>
                      <w:lang w:val="en-US" w:eastAsia="zh-CN"/>
                    </w:rPr>
                  </w:pPr>
                  <w:r>
                    <w:rPr>
                      <w:rFonts w:hint="eastAsia" w:eastAsia="宋体"/>
                      <w:szCs w:val="21"/>
                      <w:lang w:val="en-US" w:eastAsia="zh-CN"/>
                    </w:rPr>
                    <w:t>2000</w:t>
                  </w:r>
                </w:p>
              </w:tc>
              <w:tc>
                <w:tcPr>
                  <w:tcW w:w="205" w:type="pct"/>
                  <w:vMerge w:val="restart"/>
                  <w:noWrap w:val="0"/>
                  <w:vAlign w:val="center"/>
                </w:tcPr>
                <w:p w14:paraId="5527B184">
                  <w:pPr>
                    <w:pStyle w:val="5"/>
                    <w:ind w:left="0" w:leftChars="0" w:firstLine="0" w:firstLineChars="0"/>
                    <w:jc w:val="center"/>
                    <w:rPr>
                      <w:szCs w:val="21"/>
                    </w:rPr>
                  </w:pPr>
                  <w:r>
                    <w:rPr>
                      <w:rFonts w:hint="eastAsia"/>
                      <w:szCs w:val="21"/>
                    </w:rPr>
                    <w:t>90%</w:t>
                  </w:r>
                </w:p>
              </w:tc>
              <w:tc>
                <w:tcPr>
                  <w:tcW w:w="205" w:type="pct"/>
                  <w:vMerge w:val="restart"/>
                  <w:noWrap w:val="0"/>
                  <w:vAlign w:val="center"/>
                </w:tcPr>
                <w:p w14:paraId="59AEC09E">
                  <w:pPr>
                    <w:pStyle w:val="5"/>
                    <w:ind w:left="0" w:leftChars="0" w:firstLine="0" w:firstLineChars="0"/>
                    <w:jc w:val="center"/>
                    <w:rPr>
                      <w:szCs w:val="21"/>
                    </w:rPr>
                  </w:pPr>
                  <w:r>
                    <w:rPr>
                      <w:rFonts w:hint="eastAsia"/>
                      <w:szCs w:val="21"/>
                    </w:rPr>
                    <w:t>9</w:t>
                  </w:r>
                  <w:r>
                    <w:rPr>
                      <w:rFonts w:hint="eastAsia"/>
                      <w:szCs w:val="21"/>
                      <w:lang w:val="en-US" w:eastAsia="zh-CN"/>
                    </w:rPr>
                    <w:t>0</w:t>
                  </w:r>
                  <w:r>
                    <w:rPr>
                      <w:rFonts w:hint="eastAsia"/>
                      <w:szCs w:val="21"/>
                    </w:rPr>
                    <w:t>%</w:t>
                  </w:r>
                </w:p>
              </w:tc>
              <w:tc>
                <w:tcPr>
                  <w:tcW w:w="150" w:type="pct"/>
                  <w:vMerge w:val="restart"/>
                  <w:noWrap w:val="0"/>
                  <w:vAlign w:val="center"/>
                </w:tcPr>
                <w:p w14:paraId="39E07359">
                  <w:pPr>
                    <w:pStyle w:val="5"/>
                    <w:ind w:left="0" w:leftChars="0" w:firstLine="0" w:firstLineChars="0"/>
                    <w:jc w:val="center"/>
                    <w:rPr>
                      <w:szCs w:val="21"/>
                    </w:rPr>
                  </w:pPr>
                  <w:r>
                    <w:rPr>
                      <w:rFonts w:hint="eastAsia"/>
                      <w:szCs w:val="21"/>
                    </w:rPr>
                    <w:t>可行</w:t>
                  </w:r>
                </w:p>
              </w:tc>
              <w:tc>
                <w:tcPr>
                  <w:tcW w:w="283" w:type="pct"/>
                  <w:vMerge w:val="restart"/>
                  <w:noWrap w:val="0"/>
                  <w:vAlign w:val="center"/>
                </w:tcPr>
                <w:p w14:paraId="59C780CE">
                  <w:pPr>
                    <w:pStyle w:val="5"/>
                    <w:ind w:left="0" w:leftChars="0" w:firstLine="0" w:firstLineChars="0"/>
                    <w:jc w:val="center"/>
                    <w:rPr>
                      <w:rFonts w:hint="eastAsia" w:eastAsia="宋体"/>
                      <w:szCs w:val="21"/>
                      <w:lang w:eastAsia="zh-CN"/>
                    </w:rPr>
                  </w:pPr>
                  <w:r>
                    <w:rPr>
                      <w:rFonts w:hint="eastAsia"/>
                      <w:szCs w:val="21"/>
                      <w:lang w:eastAsia="zh-CN"/>
                    </w:rPr>
                    <w:t>二级活性炭吸附设备</w:t>
                  </w:r>
                </w:p>
              </w:tc>
              <w:tc>
                <w:tcPr>
                  <w:tcW w:w="236" w:type="pct"/>
                  <w:noWrap w:val="0"/>
                  <w:vAlign w:val="center"/>
                </w:tcPr>
                <w:p w14:paraId="74F9F62B">
                  <w:pPr>
                    <w:jc w:val="center"/>
                    <w:rPr>
                      <w:rFonts w:hint="default"/>
                      <w:szCs w:val="21"/>
                      <w:lang w:val="en-US"/>
                    </w:rPr>
                  </w:pPr>
                  <w:r>
                    <w:rPr>
                      <w:rFonts w:hint="eastAsia"/>
                      <w:szCs w:val="21"/>
                      <w:lang w:val="en-US" w:eastAsia="zh-CN"/>
                    </w:rPr>
                    <w:t>0.0183</w:t>
                  </w:r>
                </w:p>
              </w:tc>
              <w:tc>
                <w:tcPr>
                  <w:tcW w:w="255" w:type="pct"/>
                  <w:noWrap w:val="0"/>
                  <w:vAlign w:val="center"/>
                </w:tcPr>
                <w:p w14:paraId="1AA2CE52">
                  <w:pPr>
                    <w:jc w:val="center"/>
                    <w:rPr>
                      <w:rFonts w:hint="default" w:eastAsia="宋体"/>
                      <w:szCs w:val="21"/>
                      <w:lang w:val="en-US" w:eastAsia="zh-CN"/>
                    </w:rPr>
                  </w:pPr>
                  <w:r>
                    <w:rPr>
                      <w:rFonts w:hint="eastAsia"/>
                      <w:szCs w:val="21"/>
                      <w:lang w:val="en-US" w:eastAsia="zh-CN"/>
                    </w:rPr>
                    <w:t>3.7E-05</w:t>
                  </w:r>
                </w:p>
              </w:tc>
              <w:tc>
                <w:tcPr>
                  <w:tcW w:w="292" w:type="pct"/>
                  <w:noWrap w:val="0"/>
                  <w:vAlign w:val="center"/>
                </w:tcPr>
                <w:p w14:paraId="33092DF2">
                  <w:pPr>
                    <w:jc w:val="center"/>
                    <w:rPr>
                      <w:rFonts w:hint="default"/>
                      <w:szCs w:val="21"/>
                      <w:lang w:val="en-US"/>
                    </w:rPr>
                  </w:pPr>
                  <w:r>
                    <w:rPr>
                      <w:rFonts w:hint="eastAsia"/>
                      <w:szCs w:val="21"/>
                      <w:lang w:val="en-US" w:eastAsia="zh-CN"/>
                    </w:rPr>
                    <w:t>0.3208</w:t>
                  </w:r>
                </w:p>
              </w:tc>
              <w:tc>
                <w:tcPr>
                  <w:tcW w:w="267" w:type="pct"/>
                  <w:vMerge w:val="restart"/>
                  <w:noWrap w:val="0"/>
                  <w:vAlign w:val="center"/>
                </w:tcPr>
                <w:p w14:paraId="05213BB5">
                  <w:pPr>
                    <w:pStyle w:val="5"/>
                    <w:ind w:left="0" w:leftChars="0" w:firstLine="0" w:firstLineChars="0"/>
                    <w:jc w:val="center"/>
                    <w:rPr>
                      <w:szCs w:val="21"/>
                    </w:rPr>
                  </w:pPr>
                  <w:r>
                    <w:rPr>
                      <w:rFonts w:hint="eastAsia"/>
                      <w:szCs w:val="21"/>
                    </w:rPr>
                    <w:t>排气筒DA001</w:t>
                  </w:r>
                </w:p>
              </w:tc>
              <w:tc>
                <w:tcPr>
                  <w:tcW w:w="174" w:type="pct"/>
                  <w:vMerge w:val="restart"/>
                  <w:noWrap w:val="0"/>
                  <w:vAlign w:val="center"/>
                </w:tcPr>
                <w:p w14:paraId="01F71F74">
                  <w:pPr>
                    <w:pStyle w:val="5"/>
                    <w:ind w:left="0" w:leftChars="0" w:firstLine="0" w:firstLineChars="0"/>
                    <w:jc w:val="center"/>
                    <w:rPr>
                      <w:szCs w:val="21"/>
                    </w:rPr>
                  </w:pPr>
                  <w:r>
                    <w:rPr>
                      <w:rFonts w:hint="eastAsia"/>
                      <w:szCs w:val="21"/>
                    </w:rPr>
                    <w:t>15</w:t>
                  </w:r>
                </w:p>
              </w:tc>
              <w:tc>
                <w:tcPr>
                  <w:tcW w:w="223" w:type="pct"/>
                  <w:vMerge w:val="restart"/>
                  <w:noWrap w:val="0"/>
                  <w:vAlign w:val="center"/>
                </w:tcPr>
                <w:p w14:paraId="20C7FC5F">
                  <w:pPr>
                    <w:pStyle w:val="5"/>
                    <w:ind w:left="0" w:leftChars="0" w:firstLine="0" w:firstLineChars="0"/>
                    <w:jc w:val="center"/>
                    <w:rPr>
                      <w:rFonts w:hint="default" w:eastAsia="宋体"/>
                      <w:szCs w:val="21"/>
                      <w:lang w:val="en-US" w:eastAsia="zh-CN"/>
                    </w:rPr>
                  </w:pPr>
                  <w:r>
                    <w:rPr>
                      <w:rFonts w:hint="eastAsia"/>
                      <w:szCs w:val="21"/>
                      <w:lang w:val="en-US" w:eastAsia="zh-CN"/>
                    </w:rPr>
                    <w:t>0.24</w:t>
                  </w:r>
                </w:p>
              </w:tc>
              <w:tc>
                <w:tcPr>
                  <w:tcW w:w="199" w:type="pct"/>
                  <w:vMerge w:val="restart"/>
                  <w:noWrap w:val="0"/>
                  <w:vAlign w:val="center"/>
                </w:tcPr>
                <w:p w14:paraId="14E43E91">
                  <w:pPr>
                    <w:pStyle w:val="5"/>
                    <w:ind w:left="0" w:leftChars="0" w:firstLine="0" w:firstLineChars="0"/>
                    <w:jc w:val="center"/>
                    <w:rPr>
                      <w:rFonts w:hint="default"/>
                      <w:szCs w:val="21"/>
                      <w:lang w:val="en-US"/>
                    </w:rPr>
                  </w:pPr>
                  <w:r>
                    <w:rPr>
                      <w:rFonts w:hint="eastAsia"/>
                      <w:szCs w:val="21"/>
                      <w:lang w:val="en-US" w:eastAsia="zh-CN"/>
                    </w:rPr>
                    <w:t>25</w:t>
                  </w:r>
                </w:p>
              </w:tc>
              <w:tc>
                <w:tcPr>
                  <w:tcW w:w="267" w:type="pct"/>
                  <w:vMerge w:val="restart"/>
                  <w:noWrap w:val="0"/>
                  <w:vAlign w:val="center"/>
                </w:tcPr>
                <w:p w14:paraId="4A44CA12">
                  <w:pPr>
                    <w:pStyle w:val="5"/>
                    <w:ind w:left="0" w:leftChars="0" w:firstLine="0" w:firstLineChars="0"/>
                    <w:jc w:val="center"/>
                    <w:rPr>
                      <w:color w:val="auto"/>
                      <w:szCs w:val="21"/>
                    </w:rPr>
                  </w:pPr>
                  <w:r>
                    <w:rPr>
                      <w:rFonts w:hint="eastAsia"/>
                      <w:color w:val="auto"/>
                      <w:szCs w:val="21"/>
                    </w:rPr>
                    <w:t>一般排放口</w:t>
                  </w:r>
                </w:p>
              </w:tc>
              <w:tc>
                <w:tcPr>
                  <w:tcW w:w="324" w:type="pct"/>
                  <w:vMerge w:val="restart"/>
                  <w:noWrap w:val="0"/>
                  <w:vAlign w:val="center"/>
                </w:tcPr>
                <w:p w14:paraId="4484196F">
                  <w:pPr>
                    <w:pStyle w:val="5"/>
                    <w:ind w:left="0" w:leftChars="0" w:firstLine="0" w:firstLineChars="0"/>
                    <w:jc w:val="center"/>
                    <w:rPr>
                      <w:color w:val="auto"/>
                      <w:szCs w:val="21"/>
                      <w:highlight w:val="none"/>
                    </w:rPr>
                  </w:pPr>
                  <w:r>
                    <w:rPr>
                      <w:rFonts w:hint="eastAsia"/>
                      <w:color w:val="auto"/>
                      <w:szCs w:val="21"/>
                      <w:highlight w:val="none"/>
                    </w:rPr>
                    <w:t>116.742114,32.815809</w:t>
                  </w:r>
                </w:p>
              </w:tc>
              <w:tc>
                <w:tcPr>
                  <w:tcW w:w="269" w:type="pct"/>
                  <w:noWrap w:val="0"/>
                  <w:vAlign w:val="center"/>
                </w:tcPr>
                <w:p w14:paraId="2E530342">
                  <w:pPr>
                    <w:pStyle w:val="5"/>
                    <w:jc w:val="center"/>
                    <w:rPr>
                      <w:rFonts w:hint="default" w:eastAsia="宋体"/>
                      <w:color w:val="auto"/>
                      <w:szCs w:val="21"/>
                      <w:highlight w:val="none"/>
                      <w:lang w:val="en-US" w:eastAsia="zh-CN"/>
                    </w:rPr>
                  </w:pPr>
                  <w:r>
                    <w:rPr>
                      <w:rFonts w:hint="eastAsia"/>
                      <w:color w:val="auto"/>
                      <w:szCs w:val="21"/>
                      <w:highlight w:val="none"/>
                      <w:lang w:val="en-US" w:eastAsia="zh-CN"/>
                    </w:rPr>
                    <w:t>--</w:t>
                  </w:r>
                </w:p>
              </w:tc>
              <w:tc>
                <w:tcPr>
                  <w:tcW w:w="210" w:type="pct"/>
                  <w:noWrap w:val="0"/>
                  <w:vAlign w:val="center"/>
                </w:tcPr>
                <w:p w14:paraId="6F291A03">
                  <w:pPr>
                    <w:pStyle w:val="5"/>
                    <w:jc w:val="center"/>
                    <w:rPr>
                      <w:rFonts w:hint="default" w:eastAsia="宋体"/>
                      <w:szCs w:val="21"/>
                      <w:lang w:val="en-US" w:eastAsia="zh-CN"/>
                    </w:rPr>
                  </w:pPr>
                  <w:r>
                    <w:rPr>
                      <w:rFonts w:hint="eastAsia" w:eastAsia="宋体"/>
                      <w:szCs w:val="21"/>
                      <w:lang w:val="en-US" w:eastAsia="zh-CN"/>
                    </w:rPr>
                    <w:t>4.9</w:t>
                  </w:r>
                </w:p>
              </w:tc>
            </w:tr>
            <w:tr w14:paraId="553913B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149" w:type="pct"/>
                  <w:vMerge w:val="continue"/>
                  <w:noWrap w:val="0"/>
                  <w:vAlign w:val="center"/>
                </w:tcPr>
                <w:p w14:paraId="65DEB225">
                  <w:pPr>
                    <w:pStyle w:val="5"/>
                    <w:jc w:val="center"/>
                    <w:rPr>
                      <w:rFonts w:hint="eastAsia"/>
                      <w:szCs w:val="21"/>
                      <w:lang w:eastAsia="zh-CN"/>
                    </w:rPr>
                  </w:pPr>
                </w:p>
              </w:tc>
              <w:tc>
                <w:tcPr>
                  <w:tcW w:w="149" w:type="pct"/>
                  <w:vMerge w:val="continue"/>
                  <w:noWrap w:val="0"/>
                  <w:vAlign w:val="center"/>
                </w:tcPr>
                <w:p w14:paraId="34FA0CFE">
                  <w:pPr>
                    <w:pStyle w:val="5"/>
                    <w:jc w:val="center"/>
                    <w:rPr>
                      <w:rFonts w:hint="eastAsia"/>
                      <w:szCs w:val="21"/>
                    </w:rPr>
                  </w:pPr>
                </w:p>
              </w:tc>
              <w:tc>
                <w:tcPr>
                  <w:tcW w:w="150" w:type="pct"/>
                  <w:noWrap w:val="0"/>
                  <w:vAlign w:val="center"/>
                </w:tcPr>
                <w:p w14:paraId="6EDFA173">
                  <w:pPr>
                    <w:pStyle w:val="5"/>
                    <w:ind w:left="0" w:leftChars="0" w:firstLine="0" w:firstLineChars="0"/>
                    <w:jc w:val="center"/>
                    <w:rPr>
                      <w:rFonts w:hint="eastAsia"/>
                      <w:szCs w:val="21"/>
                      <w:lang w:eastAsia="zh-CN"/>
                    </w:rPr>
                  </w:pPr>
                  <w:r>
                    <w:rPr>
                      <w:rFonts w:hint="eastAsia"/>
                      <w:szCs w:val="21"/>
                      <w:lang w:eastAsia="zh-CN"/>
                    </w:rPr>
                    <w:t>硫化氢</w:t>
                  </w:r>
                </w:p>
              </w:tc>
              <w:tc>
                <w:tcPr>
                  <w:tcW w:w="268" w:type="pct"/>
                  <w:noWrap w:val="0"/>
                  <w:vAlign w:val="center"/>
                </w:tcPr>
                <w:p w14:paraId="672BFF4D">
                  <w:pPr>
                    <w:jc w:val="center"/>
                    <w:rPr>
                      <w:rFonts w:hint="default"/>
                      <w:szCs w:val="21"/>
                      <w:lang w:val="en-US" w:eastAsia="zh-CN"/>
                    </w:rPr>
                  </w:pPr>
                  <w:r>
                    <w:rPr>
                      <w:rFonts w:hint="eastAsia"/>
                      <w:szCs w:val="21"/>
                      <w:lang w:val="en-US" w:eastAsia="zh-CN"/>
                    </w:rPr>
                    <w:t>0.0071</w:t>
                  </w:r>
                </w:p>
              </w:tc>
              <w:tc>
                <w:tcPr>
                  <w:tcW w:w="233" w:type="pct"/>
                  <w:noWrap w:val="0"/>
                  <w:vAlign w:val="center"/>
                </w:tcPr>
                <w:p w14:paraId="791BABC4">
                  <w:pPr>
                    <w:jc w:val="center"/>
                    <w:rPr>
                      <w:rFonts w:hint="eastAsia"/>
                      <w:szCs w:val="21"/>
                      <w:lang w:val="en-US" w:eastAsia="zh-CN"/>
                    </w:rPr>
                  </w:pPr>
                  <w:r>
                    <w:rPr>
                      <w:rFonts w:hint="eastAsia"/>
                      <w:szCs w:val="21"/>
                      <w:lang w:val="en-US" w:eastAsia="zh-CN"/>
                    </w:rPr>
                    <w:t>1.4E-05</w:t>
                  </w:r>
                </w:p>
              </w:tc>
              <w:tc>
                <w:tcPr>
                  <w:tcW w:w="269" w:type="pct"/>
                  <w:noWrap w:val="0"/>
                  <w:vAlign w:val="center"/>
                </w:tcPr>
                <w:p w14:paraId="6526A177">
                  <w:pPr>
                    <w:jc w:val="center"/>
                    <w:rPr>
                      <w:rFonts w:hint="default"/>
                      <w:szCs w:val="21"/>
                      <w:lang w:val="en-US" w:eastAsia="zh-CN"/>
                    </w:rPr>
                  </w:pPr>
                  <w:r>
                    <w:rPr>
                      <w:rFonts w:hint="eastAsia"/>
                      <w:szCs w:val="21"/>
                      <w:lang w:val="en-US" w:eastAsia="zh-CN"/>
                    </w:rPr>
                    <w:t>0.1242</w:t>
                  </w:r>
                </w:p>
              </w:tc>
              <w:tc>
                <w:tcPr>
                  <w:tcW w:w="216" w:type="pct"/>
                  <w:vMerge w:val="continue"/>
                  <w:noWrap w:val="0"/>
                  <w:vAlign w:val="center"/>
                </w:tcPr>
                <w:p w14:paraId="6632278E">
                  <w:pPr>
                    <w:spacing w:line="340" w:lineRule="exact"/>
                    <w:ind w:left="-105" w:leftChars="-50" w:right="-105" w:rightChars="-50"/>
                    <w:jc w:val="center"/>
                    <w:rPr>
                      <w:rFonts w:hint="eastAsia"/>
                      <w:szCs w:val="21"/>
                      <w:lang w:val="en-US" w:eastAsia="zh-CN"/>
                    </w:rPr>
                  </w:pPr>
                </w:p>
              </w:tc>
              <w:tc>
                <w:tcPr>
                  <w:tcW w:w="205" w:type="pct"/>
                  <w:vMerge w:val="continue"/>
                  <w:noWrap w:val="0"/>
                  <w:vAlign w:val="center"/>
                </w:tcPr>
                <w:p w14:paraId="6174B9A0">
                  <w:pPr>
                    <w:pStyle w:val="5"/>
                    <w:ind w:left="0" w:leftChars="0" w:firstLine="0" w:firstLineChars="0"/>
                    <w:jc w:val="center"/>
                    <w:rPr>
                      <w:rFonts w:hint="eastAsia"/>
                      <w:szCs w:val="21"/>
                    </w:rPr>
                  </w:pPr>
                </w:p>
              </w:tc>
              <w:tc>
                <w:tcPr>
                  <w:tcW w:w="205" w:type="pct"/>
                  <w:vMerge w:val="continue"/>
                  <w:noWrap w:val="0"/>
                  <w:vAlign w:val="center"/>
                </w:tcPr>
                <w:p w14:paraId="69073430">
                  <w:pPr>
                    <w:pStyle w:val="5"/>
                    <w:ind w:left="0" w:leftChars="0" w:firstLine="0" w:firstLineChars="0"/>
                    <w:jc w:val="center"/>
                    <w:rPr>
                      <w:rFonts w:hint="eastAsia"/>
                      <w:szCs w:val="21"/>
                    </w:rPr>
                  </w:pPr>
                </w:p>
              </w:tc>
              <w:tc>
                <w:tcPr>
                  <w:tcW w:w="150" w:type="pct"/>
                  <w:vMerge w:val="continue"/>
                  <w:noWrap w:val="0"/>
                  <w:vAlign w:val="center"/>
                </w:tcPr>
                <w:p w14:paraId="380AB335">
                  <w:pPr>
                    <w:pStyle w:val="5"/>
                    <w:ind w:left="0" w:leftChars="0" w:firstLine="0" w:firstLineChars="0"/>
                    <w:jc w:val="center"/>
                    <w:rPr>
                      <w:rFonts w:hint="eastAsia"/>
                      <w:szCs w:val="21"/>
                    </w:rPr>
                  </w:pPr>
                </w:p>
              </w:tc>
              <w:tc>
                <w:tcPr>
                  <w:tcW w:w="283" w:type="pct"/>
                  <w:vMerge w:val="continue"/>
                  <w:noWrap w:val="0"/>
                  <w:vAlign w:val="center"/>
                </w:tcPr>
                <w:p w14:paraId="1FFAAF98">
                  <w:pPr>
                    <w:pStyle w:val="5"/>
                    <w:ind w:left="0" w:leftChars="0" w:firstLine="0" w:firstLineChars="0"/>
                    <w:jc w:val="center"/>
                    <w:rPr>
                      <w:rFonts w:hint="eastAsia"/>
                      <w:szCs w:val="21"/>
                      <w:lang w:eastAsia="zh-CN"/>
                    </w:rPr>
                  </w:pPr>
                </w:p>
              </w:tc>
              <w:tc>
                <w:tcPr>
                  <w:tcW w:w="236" w:type="pct"/>
                  <w:noWrap w:val="0"/>
                  <w:vAlign w:val="center"/>
                </w:tcPr>
                <w:p w14:paraId="296336C8">
                  <w:pPr>
                    <w:jc w:val="center"/>
                    <w:rPr>
                      <w:rFonts w:hint="eastAsia"/>
                      <w:szCs w:val="21"/>
                      <w:lang w:val="en-US" w:eastAsia="zh-CN"/>
                    </w:rPr>
                  </w:pPr>
                  <w:r>
                    <w:rPr>
                      <w:rFonts w:hint="eastAsia"/>
                      <w:szCs w:val="21"/>
                      <w:lang w:val="en-US" w:eastAsia="zh-CN"/>
                    </w:rPr>
                    <w:t>0.0007</w:t>
                  </w:r>
                </w:p>
              </w:tc>
              <w:tc>
                <w:tcPr>
                  <w:tcW w:w="255" w:type="pct"/>
                  <w:noWrap w:val="0"/>
                  <w:vAlign w:val="center"/>
                </w:tcPr>
                <w:p w14:paraId="67E62B8F">
                  <w:pPr>
                    <w:jc w:val="center"/>
                    <w:rPr>
                      <w:rFonts w:hint="eastAsia"/>
                      <w:szCs w:val="21"/>
                      <w:lang w:val="en-US" w:eastAsia="zh-CN"/>
                    </w:rPr>
                  </w:pPr>
                  <w:r>
                    <w:rPr>
                      <w:rFonts w:hint="eastAsia"/>
                      <w:szCs w:val="21"/>
                      <w:lang w:val="en-US" w:eastAsia="zh-CN"/>
                    </w:rPr>
                    <w:t>1.4E-06</w:t>
                  </w:r>
                </w:p>
              </w:tc>
              <w:tc>
                <w:tcPr>
                  <w:tcW w:w="292" w:type="pct"/>
                  <w:noWrap w:val="0"/>
                  <w:vAlign w:val="center"/>
                </w:tcPr>
                <w:p w14:paraId="6C151619">
                  <w:pPr>
                    <w:jc w:val="center"/>
                    <w:rPr>
                      <w:rFonts w:hint="default"/>
                      <w:szCs w:val="21"/>
                      <w:lang w:val="en-US" w:eastAsia="zh-CN"/>
                    </w:rPr>
                  </w:pPr>
                  <w:r>
                    <w:rPr>
                      <w:rFonts w:hint="eastAsia"/>
                      <w:szCs w:val="21"/>
                      <w:lang w:val="en-US" w:eastAsia="zh-CN"/>
                    </w:rPr>
                    <w:t>0.0124</w:t>
                  </w:r>
                </w:p>
              </w:tc>
              <w:tc>
                <w:tcPr>
                  <w:tcW w:w="267" w:type="pct"/>
                  <w:vMerge w:val="continue"/>
                  <w:noWrap w:val="0"/>
                  <w:vAlign w:val="center"/>
                </w:tcPr>
                <w:p w14:paraId="3EB79C3A">
                  <w:pPr>
                    <w:pStyle w:val="5"/>
                    <w:ind w:left="0" w:leftChars="0" w:firstLine="0" w:firstLineChars="0"/>
                    <w:jc w:val="center"/>
                    <w:rPr>
                      <w:rFonts w:hint="eastAsia"/>
                      <w:szCs w:val="21"/>
                    </w:rPr>
                  </w:pPr>
                </w:p>
              </w:tc>
              <w:tc>
                <w:tcPr>
                  <w:tcW w:w="174" w:type="pct"/>
                  <w:vMerge w:val="continue"/>
                  <w:noWrap w:val="0"/>
                  <w:vAlign w:val="center"/>
                </w:tcPr>
                <w:p w14:paraId="36FAA617">
                  <w:pPr>
                    <w:pStyle w:val="5"/>
                    <w:ind w:left="0" w:leftChars="0" w:firstLine="0" w:firstLineChars="0"/>
                    <w:jc w:val="center"/>
                    <w:rPr>
                      <w:rFonts w:hint="eastAsia"/>
                      <w:szCs w:val="21"/>
                    </w:rPr>
                  </w:pPr>
                </w:p>
              </w:tc>
              <w:tc>
                <w:tcPr>
                  <w:tcW w:w="223" w:type="pct"/>
                  <w:vMerge w:val="continue"/>
                  <w:noWrap w:val="0"/>
                  <w:vAlign w:val="center"/>
                </w:tcPr>
                <w:p w14:paraId="0466A38D">
                  <w:pPr>
                    <w:pStyle w:val="5"/>
                    <w:ind w:left="0" w:leftChars="0" w:firstLine="0" w:firstLineChars="0"/>
                    <w:jc w:val="center"/>
                    <w:rPr>
                      <w:rFonts w:hint="eastAsia"/>
                      <w:szCs w:val="21"/>
                    </w:rPr>
                  </w:pPr>
                </w:p>
              </w:tc>
              <w:tc>
                <w:tcPr>
                  <w:tcW w:w="199" w:type="pct"/>
                  <w:vMerge w:val="continue"/>
                  <w:noWrap w:val="0"/>
                  <w:vAlign w:val="center"/>
                </w:tcPr>
                <w:p w14:paraId="518E8513">
                  <w:pPr>
                    <w:pStyle w:val="5"/>
                    <w:ind w:left="0" w:leftChars="0" w:firstLine="0" w:firstLineChars="0"/>
                    <w:jc w:val="center"/>
                    <w:rPr>
                      <w:rFonts w:hint="eastAsia"/>
                      <w:szCs w:val="21"/>
                      <w:lang w:val="en-US" w:eastAsia="zh-CN"/>
                    </w:rPr>
                  </w:pPr>
                </w:p>
              </w:tc>
              <w:tc>
                <w:tcPr>
                  <w:tcW w:w="267" w:type="pct"/>
                  <w:vMerge w:val="continue"/>
                  <w:noWrap w:val="0"/>
                  <w:vAlign w:val="center"/>
                </w:tcPr>
                <w:p w14:paraId="7F8CC7D0">
                  <w:pPr>
                    <w:pStyle w:val="5"/>
                    <w:ind w:left="0" w:leftChars="0" w:firstLine="0" w:firstLineChars="0"/>
                    <w:jc w:val="center"/>
                    <w:rPr>
                      <w:rFonts w:hint="eastAsia"/>
                      <w:color w:val="auto"/>
                      <w:szCs w:val="21"/>
                    </w:rPr>
                  </w:pPr>
                </w:p>
              </w:tc>
              <w:tc>
                <w:tcPr>
                  <w:tcW w:w="324" w:type="pct"/>
                  <w:vMerge w:val="continue"/>
                  <w:noWrap w:val="0"/>
                  <w:vAlign w:val="center"/>
                </w:tcPr>
                <w:p w14:paraId="72D1A2B8">
                  <w:pPr>
                    <w:pStyle w:val="5"/>
                    <w:ind w:left="0" w:leftChars="0" w:firstLine="0" w:firstLineChars="0"/>
                    <w:jc w:val="center"/>
                    <w:rPr>
                      <w:rFonts w:hint="eastAsia"/>
                      <w:color w:val="auto"/>
                      <w:szCs w:val="21"/>
                      <w:highlight w:val="none"/>
                      <w:lang w:val="en-US" w:eastAsia="zh-CN"/>
                    </w:rPr>
                  </w:pPr>
                </w:p>
              </w:tc>
              <w:tc>
                <w:tcPr>
                  <w:tcW w:w="269" w:type="pct"/>
                  <w:noWrap w:val="0"/>
                  <w:vAlign w:val="center"/>
                </w:tcPr>
                <w:p w14:paraId="73EE134F">
                  <w:pPr>
                    <w:pStyle w:val="5"/>
                    <w:jc w:val="center"/>
                    <w:rPr>
                      <w:rFonts w:hint="default"/>
                      <w:color w:val="auto"/>
                      <w:szCs w:val="21"/>
                      <w:highlight w:val="none"/>
                      <w:lang w:val="en-US" w:eastAsia="zh-CN"/>
                    </w:rPr>
                  </w:pPr>
                  <w:r>
                    <w:rPr>
                      <w:rFonts w:hint="eastAsia"/>
                      <w:color w:val="auto"/>
                      <w:szCs w:val="21"/>
                      <w:highlight w:val="none"/>
                      <w:lang w:val="en-US" w:eastAsia="zh-CN"/>
                    </w:rPr>
                    <w:t>--</w:t>
                  </w:r>
                </w:p>
              </w:tc>
              <w:tc>
                <w:tcPr>
                  <w:tcW w:w="210" w:type="pct"/>
                  <w:noWrap w:val="0"/>
                  <w:vAlign w:val="center"/>
                </w:tcPr>
                <w:p w14:paraId="056BDB3B">
                  <w:pPr>
                    <w:pStyle w:val="5"/>
                    <w:jc w:val="center"/>
                    <w:rPr>
                      <w:rFonts w:hint="default"/>
                      <w:szCs w:val="21"/>
                      <w:lang w:val="en-US" w:eastAsia="zh-CN"/>
                    </w:rPr>
                  </w:pPr>
                  <w:r>
                    <w:rPr>
                      <w:rFonts w:hint="eastAsia"/>
                      <w:szCs w:val="21"/>
                      <w:lang w:val="en-US" w:eastAsia="zh-CN"/>
                    </w:rPr>
                    <w:t>0.33</w:t>
                  </w:r>
                </w:p>
              </w:tc>
            </w:tr>
            <w:tr w14:paraId="31AB7C4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149" w:type="pct"/>
                  <w:vMerge w:val="continue"/>
                  <w:noWrap w:val="0"/>
                  <w:vAlign w:val="center"/>
                </w:tcPr>
                <w:p w14:paraId="7055F23F">
                  <w:pPr>
                    <w:pStyle w:val="5"/>
                    <w:jc w:val="center"/>
                    <w:rPr>
                      <w:rFonts w:hint="eastAsia"/>
                      <w:szCs w:val="21"/>
                      <w:lang w:eastAsia="zh-CN"/>
                    </w:rPr>
                  </w:pPr>
                </w:p>
              </w:tc>
              <w:tc>
                <w:tcPr>
                  <w:tcW w:w="149" w:type="pct"/>
                  <w:vMerge w:val="restart"/>
                  <w:noWrap w:val="0"/>
                  <w:vAlign w:val="center"/>
                </w:tcPr>
                <w:p w14:paraId="4805D3A5">
                  <w:pPr>
                    <w:pStyle w:val="5"/>
                    <w:jc w:val="center"/>
                    <w:rPr>
                      <w:rFonts w:hint="eastAsia" w:eastAsia="宋体"/>
                      <w:szCs w:val="21"/>
                      <w:lang w:eastAsia="zh-CN"/>
                    </w:rPr>
                  </w:pPr>
                  <w:r>
                    <w:rPr>
                      <w:rFonts w:hint="eastAsia"/>
                      <w:szCs w:val="21"/>
                      <w:lang w:eastAsia="zh-CN"/>
                    </w:rPr>
                    <w:t>无组织</w:t>
                  </w:r>
                </w:p>
              </w:tc>
              <w:tc>
                <w:tcPr>
                  <w:tcW w:w="150" w:type="pct"/>
                  <w:noWrap w:val="0"/>
                  <w:vAlign w:val="center"/>
                </w:tcPr>
                <w:p w14:paraId="0501C186">
                  <w:pPr>
                    <w:pStyle w:val="5"/>
                    <w:ind w:left="0" w:leftChars="0" w:firstLine="0" w:firstLineChars="0"/>
                    <w:jc w:val="center"/>
                    <w:rPr>
                      <w:rFonts w:hint="eastAsia"/>
                      <w:szCs w:val="21"/>
                      <w:lang w:eastAsia="zh-CN"/>
                    </w:rPr>
                  </w:pPr>
                  <w:r>
                    <w:rPr>
                      <w:rFonts w:hint="eastAsia"/>
                      <w:szCs w:val="21"/>
                      <w:lang w:eastAsia="zh-CN"/>
                    </w:rPr>
                    <w:t>氨</w:t>
                  </w:r>
                </w:p>
              </w:tc>
              <w:tc>
                <w:tcPr>
                  <w:tcW w:w="268" w:type="pct"/>
                  <w:noWrap w:val="0"/>
                  <w:vAlign w:val="center"/>
                </w:tcPr>
                <w:p w14:paraId="3F409E23">
                  <w:pPr>
                    <w:jc w:val="center"/>
                    <w:rPr>
                      <w:rFonts w:hint="eastAsia"/>
                      <w:szCs w:val="21"/>
                      <w:lang w:val="en-US" w:eastAsia="zh-CN"/>
                    </w:rPr>
                  </w:pPr>
                  <w:r>
                    <w:rPr>
                      <w:rFonts w:hint="eastAsia"/>
                      <w:szCs w:val="21"/>
                    </w:rPr>
                    <w:t>/</w:t>
                  </w:r>
                </w:p>
              </w:tc>
              <w:tc>
                <w:tcPr>
                  <w:tcW w:w="233" w:type="pct"/>
                  <w:noWrap w:val="0"/>
                  <w:vAlign w:val="center"/>
                </w:tcPr>
                <w:p w14:paraId="7A34677D">
                  <w:pPr>
                    <w:jc w:val="center"/>
                    <w:rPr>
                      <w:rFonts w:hint="eastAsia"/>
                      <w:szCs w:val="21"/>
                      <w:lang w:val="en-US" w:eastAsia="zh-CN"/>
                    </w:rPr>
                  </w:pPr>
                  <w:r>
                    <w:rPr>
                      <w:rFonts w:hint="eastAsia"/>
                      <w:szCs w:val="21"/>
                      <w:lang w:val="en-US" w:eastAsia="zh-CN"/>
                    </w:rPr>
                    <w:t>4.1E-05</w:t>
                  </w:r>
                </w:p>
              </w:tc>
              <w:tc>
                <w:tcPr>
                  <w:tcW w:w="269" w:type="pct"/>
                  <w:noWrap w:val="0"/>
                  <w:vAlign w:val="center"/>
                </w:tcPr>
                <w:p w14:paraId="4DB0D789">
                  <w:pPr>
                    <w:jc w:val="center"/>
                    <w:rPr>
                      <w:rFonts w:hint="default"/>
                      <w:szCs w:val="21"/>
                      <w:lang w:val="en-US" w:eastAsia="zh-CN"/>
                    </w:rPr>
                  </w:pPr>
                  <w:r>
                    <w:rPr>
                      <w:rFonts w:hint="eastAsia"/>
                      <w:szCs w:val="21"/>
                      <w:lang w:val="en-US" w:eastAsia="zh-CN"/>
                    </w:rPr>
                    <w:t>0.3564</w:t>
                  </w:r>
                </w:p>
              </w:tc>
              <w:tc>
                <w:tcPr>
                  <w:tcW w:w="216" w:type="pct"/>
                  <w:noWrap w:val="0"/>
                  <w:vAlign w:val="center"/>
                </w:tcPr>
                <w:p w14:paraId="64D4A505">
                  <w:pPr>
                    <w:spacing w:line="340" w:lineRule="exact"/>
                    <w:ind w:left="-105" w:leftChars="-50" w:right="-105" w:rightChars="-50"/>
                    <w:jc w:val="center"/>
                    <w:rPr>
                      <w:rFonts w:hint="eastAsia"/>
                      <w:szCs w:val="21"/>
                      <w:lang w:val="en-US" w:eastAsia="zh-CN"/>
                    </w:rPr>
                  </w:pPr>
                  <w:r>
                    <w:rPr>
                      <w:rFonts w:hint="eastAsia"/>
                      <w:szCs w:val="21"/>
                    </w:rPr>
                    <w:t>/</w:t>
                  </w:r>
                </w:p>
              </w:tc>
              <w:tc>
                <w:tcPr>
                  <w:tcW w:w="205" w:type="pct"/>
                  <w:noWrap w:val="0"/>
                  <w:vAlign w:val="center"/>
                </w:tcPr>
                <w:p w14:paraId="04931804">
                  <w:pPr>
                    <w:pStyle w:val="5"/>
                    <w:ind w:left="0" w:leftChars="0" w:firstLine="0" w:firstLineChars="0"/>
                    <w:jc w:val="center"/>
                    <w:rPr>
                      <w:rFonts w:hint="eastAsia"/>
                      <w:szCs w:val="21"/>
                    </w:rPr>
                  </w:pPr>
                  <w:r>
                    <w:rPr>
                      <w:rFonts w:hint="eastAsia"/>
                      <w:szCs w:val="21"/>
                    </w:rPr>
                    <w:t>/</w:t>
                  </w:r>
                </w:p>
              </w:tc>
              <w:tc>
                <w:tcPr>
                  <w:tcW w:w="205" w:type="pct"/>
                  <w:noWrap w:val="0"/>
                  <w:vAlign w:val="center"/>
                </w:tcPr>
                <w:p w14:paraId="4A15DCB6">
                  <w:pPr>
                    <w:pStyle w:val="5"/>
                    <w:ind w:left="0" w:leftChars="0" w:firstLine="0" w:firstLineChars="0"/>
                    <w:jc w:val="center"/>
                    <w:rPr>
                      <w:rFonts w:hint="eastAsia"/>
                      <w:szCs w:val="21"/>
                    </w:rPr>
                  </w:pPr>
                  <w:r>
                    <w:rPr>
                      <w:rFonts w:hint="eastAsia"/>
                      <w:szCs w:val="21"/>
                    </w:rPr>
                    <w:t>/</w:t>
                  </w:r>
                </w:p>
              </w:tc>
              <w:tc>
                <w:tcPr>
                  <w:tcW w:w="150" w:type="pct"/>
                  <w:noWrap w:val="0"/>
                  <w:vAlign w:val="center"/>
                </w:tcPr>
                <w:p w14:paraId="1B103F35">
                  <w:pPr>
                    <w:pStyle w:val="5"/>
                    <w:ind w:left="0" w:leftChars="0" w:firstLine="0" w:firstLineChars="0"/>
                    <w:jc w:val="center"/>
                    <w:rPr>
                      <w:rFonts w:hint="eastAsia"/>
                      <w:szCs w:val="21"/>
                    </w:rPr>
                  </w:pPr>
                  <w:r>
                    <w:rPr>
                      <w:rFonts w:hint="eastAsia"/>
                      <w:szCs w:val="21"/>
                    </w:rPr>
                    <w:t>/</w:t>
                  </w:r>
                </w:p>
              </w:tc>
              <w:tc>
                <w:tcPr>
                  <w:tcW w:w="283" w:type="pct"/>
                  <w:noWrap w:val="0"/>
                  <w:vAlign w:val="center"/>
                </w:tcPr>
                <w:p w14:paraId="49922986">
                  <w:pPr>
                    <w:pStyle w:val="5"/>
                    <w:ind w:left="0" w:leftChars="0" w:firstLine="0" w:firstLineChars="0"/>
                    <w:jc w:val="center"/>
                    <w:rPr>
                      <w:rFonts w:hint="eastAsia"/>
                      <w:szCs w:val="21"/>
                      <w:lang w:eastAsia="zh-CN"/>
                    </w:rPr>
                  </w:pPr>
                  <w:r>
                    <w:rPr>
                      <w:rFonts w:hint="eastAsia"/>
                      <w:szCs w:val="21"/>
                    </w:rPr>
                    <w:t>/</w:t>
                  </w:r>
                </w:p>
              </w:tc>
              <w:tc>
                <w:tcPr>
                  <w:tcW w:w="236" w:type="pct"/>
                  <w:noWrap w:val="0"/>
                  <w:vAlign w:val="center"/>
                </w:tcPr>
                <w:p w14:paraId="2AF48D29">
                  <w:pPr>
                    <w:jc w:val="center"/>
                    <w:rPr>
                      <w:rFonts w:hint="eastAsia"/>
                      <w:szCs w:val="21"/>
                      <w:lang w:val="en-US" w:eastAsia="zh-CN"/>
                    </w:rPr>
                  </w:pPr>
                  <w:r>
                    <w:rPr>
                      <w:rFonts w:hint="eastAsia"/>
                      <w:szCs w:val="21"/>
                    </w:rPr>
                    <w:t>/</w:t>
                  </w:r>
                </w:p>
              </w:tc>
              <w:tc>
                <w:tcPr>
                  <w:tcW w:w="615" w:type="dxa"/>
                  <w:noWrap w:val="0"/>
                  <w:vAlign w:val="center"/>
                </w:tcPr>
                <w:p w14:paraId="2C186366">
                  <w:pPr>
                    <w:jc w:val="center"/>
                    <w:rPr>
                      <w:rFonts w:hint="eastAsia"/>
                      <w:szCs w:val="21"/>
                      <w:lang w:val="en-US" w:eastAsia="zh-CN"/>
                    </w:rPr>
                  </w:pPr>
                  <w:r>
                    <w:rPr>
                      <w:rFonts w:hint="eastAsia"/>
                      <w:szCs w:val="21"/>
                      <w:lang w:val="en-US" w:eastAsia="zh-CN"/>
                    </w:rPr>
                    <w:t>4.1E-05</w:t>
                  </w:r>
                </w:p>
              </w:tc>
              <w:tc>
                <w:tcPr>
                  <w:tcW w:w="705" w:type="dxa"/>
                  <w:noWrap w:val="0"/>
                  <w:vAlign w:val="center"/>
                </w:tcPr>
                <w:p w14:paraId="7A2D0BEF">
                  <w:pPr>
                    <w:jc w:val="center"/>
                    <w:rPr>
                      <w:rFonts w:hint="eastAsia"/>
                      <w:szCs w:val="21"/>
                      <w:lang w:val="en-US" w:eastAsia="zh-CN"/>
                    </w:rPr>
                  </w:pPr>
                  <w:r>
                    <w:rPr>
                      <w:rFonts w:hint="eastAsia"/>
                      <w:szCs w:val="21"/>
                      <w:lang w:val="en-US" w:eastAsia="zh-CN"/>
                    </w:rPr>
                    <w:t>0.3564</w:t>
                  </w:r>
                </w:p>
              </w:tc>
              <w:tc>
                <w:tcPr>
                  <w:tcW w:w="267" w:type="pct"/>
                  <w:noWrap w:val="0"/>
                  <w:vAlign w:val="center"/>
                </w:tcPr>
                <w:p w14:paraId="14321E8B">
                  <w:pPr>
                    <w:pStyle w:val="5"/>
                    <w:ind w:left="0" w:leftChars="0" w:firstLine="0" w:firstLineChars="0"/>
                    <w:jc w:val="center"/>
                    <w:rPr>
                      <w:rFonts w:hint="eastAsia"/>
                      <w:szCs w:val="21"/>
                    </w:rPr>
                  </w:pPr>
                  <w:r>
                    <w:rPr>
                      <w:rFonts w:hint="eastAsia"/>
                      <w:szCs w:val="21"/>
                    </w:rPr>
                    <w:t>/</w:t>
                  </w:r>
                </w:p>
              </w:tc>
              <w:tc>
                <w:tcPr>
                  <w:tcW w:w="174" w:type="pct"/>
                  <w:noWrap w:val="0"/>
                  <w:vAlign w:val="center"/>
                </w:tcPr>
                <w:p w14:paraId="7FA8DB26">
                  <w:pPr>
                    <w:pStyle w:val="5"/>
                    <w:ind w:left="0" w:leftChars="0" w:firstLine="0" w:firstLineChars="0"/>
                    <w:jc w:val="center"/>
                    <w:rPr>
                      <w:rFonts w:hint="eastAsia"/>
                      <w:szCs w:val="21"/>
                    </w:rPr>
                  </w:pPr>
                  <w:r>
                    <w:rPr>
                      <w:rFonts w:hint="eastAsia"/>
                      <w:szCs w:val="21"/>
                    </w:rPr>
                    <w:t>/</w:t>
                  </w:r>
                </w:p>
              </w:tc>
              <w:tc>
                <w:tcPr>
                  <w:tcW w:w="223" w:type="pct"/>
                  <w:noWrap w:val="0"/>
                  <w:vAlign w:val="center"/>
                </w:tcPr>
                <w:p w14:paraId="4ADFC144">
                  <w:pPr>
                    <w:pStyle w:val="5"/>
                    <w:ind w:left="0" w:leftChars="0" w:firstLine="0" w:firstLineChars="0"/>
                    <w:jc w:val="center"/>
                    <w:rPr>
                      <w:rFonts w:hint="eastAsia"/>
                      <w:szCs w:val="21"/>
                    </w:rPr>
                  </w:pPr>
                  <w:r>
                    <w:rPr>
                      <w:rFonts w:hint="eastAsia"/>
                      <w:szCs w:val="21"/>
                    </w:rPr>
                    <w:t>/</w:t>
                  </w:r>
                </w:p>
              </w:tc>
              <w:tc>
                <w:tcPr>
                  <w:tcW w:w="199" w:type="pct"/>
                  <w:noWrap w:val="0"/>
                  <w:vAlign w:val="center"/>
                </w:tcPr>
                <w:p w14:paraId="6889B494">
                  <w:pPr>
                    <w:pStyle w:val="5"/>
                    <w:ind w:left="0" w:leftChars="0" w:firstLine="0" w:firstLineChars="0"/>
                    <w:jc w:val="center"/>
                    <w:rPr>
                      <w:rFonts w:hint="eastAsia"/>
                      <w:szCs w:val="21"/>
                      <w:lang w:val="en-US" w:eastAsia="zh-CN"/>
                    </w:rPr>
                  </w:pPr>
                  <w:r>
                    <w:rPr>
                      <w:rFonts w:hint="eastAsia"/>
                      <w:szCs w:val="21"/>
                    </w:rPr>
                    <w:t>/</w:t>
                  </w:r>
                </w:p>
              </w:tc>
              <w:tc>
                <w:tcPr>
                  <w:tcW w:w="267" w:type="pct"/>
                  <w:noWrap w:val="0"/>
                  <w:vAlign w:val="center"/>
                </w:tcPr>
                <w:p w14:paraId="11FD8122">
                  <w:pPr>
                    <w:pStyle w:val="5"/>
                    <w:ind w:left="0" w:leftChars="0" w:firstLine="0" w:firstLineChars="0"/>
                    <w:jc w:val="center"/>
                    <w:rPr>
                      <w:rFonts w:hint="eastAsia"/>
                      <w:color w:val="auto"/>
                      <w:szCs w:val="21"/>
                    </w:rPr>
                  </w:pPr>
                  <w:r>
                    <w:rPr>
                      <w:rFonts w:hint="eastAsia"/>
                      <w:color w:val="auto"/>
                      <w:szCs w:val="21"/>
                    </w:rPr>
                    <w:t>/</w:t>
                  </w:r>
                </w:p>
              </w:tc>
              <w:tc>
                <w:tcPr>
                  <w:tcW w:w="324" w:type="pct"/>
                  <w:noWrap w:val="0"/>
                  <w:vAlign w:val="center"/>
                </w:tcPr>
                <w:p w14:paraId="6D711926">
                  <w:pPr>
                    <w:pStyle w:val="5"/>
                    <w:ind w:left="0" w:leftChars="0" w:firstLine="0" w:firstLineChars="0"/>
                    <w:jc w:val="center"/>
                    <w:rPr>
                      <w:rFonts w:hint="eastAsia"/>
                      <w:color w:val="auto"/>
                      <w:szCs w:val="21"/>
                      <w:highlight w:val="none"/>
                      <w:lang w:val="en-US" w:eastAsia="zh-CN"/>
                    </w:rPr>
                  </w:pPr>
                  <w:r>
                    <w:rPr>
                      <w:rFonts w:hint="eastAsia"/>
                      <w:color w:val="auto"/>
                      <w:szCs w:val="21"/>
                      <w:highlight w:val="none"/>
                    </w:rPr>
                    <w:t>/</w:t>
                  </w:r>
                </w:p>
              </w:tc>
              <w:tc>
                <w:tcPr>
                  <w:tcW w:w="269" w:type="pct"/>
                  <w:noWrap w:val="0"/>
                  <w:vAlign w:val="center"/>
                </w:tcPr>
                <w:p w14:paraId="5F82BB25">
                  <w:pPr>
                    <w:pStyle w:val="5"/>
                    <w:ind w:left="0" w:leftChars="0" w:firstLine="0" w:firstLineChars="0"/>
                    <w:jc w:val="center"/>
                    <w:rPr>
                      <w:rFonts w:hint="default"/>
                      <w:color w:val="auto"/>
                      <w:szCs w:val="21"/>
                      <w:highlight w:val="none"/>
                      <w:lang w:val="en-US" w:eastAsia="zh-CN"/>
                    </w:rPr>
                  </w:pPr>
                  <w:r>
                    <w:rPr>
                      <w:rFonts w:hint="eastAsia"/>
                      <w:color w:val="auto"/>
                      <w:szCs w:val="21"/>
                      <w:highlight w:val="none"/>
                      <w:lang w:val="en-US" w:eastAsia="zh-CN"/>
                    </w:rPr>
                    <w:t>1.0</w:t>
                  </w:r>
                </w:p>
              </w:tc>
              <w:tc>
                <w:tcPr>
                  <w:tcW w:w="210" w:type="pct"/>
                  <w:noWrap w:val="0"/>
                  <w:vAlign w:val="center"/>
                </w:tcPr>
                <w:p w14:paraId="6AEBE713">
                  <w:pPr>
                    <w:pStyle w:val="5"/>
                    <w:jc w:val="center"/>
                    <w:rPr>
                      <w:rFonts w:hint="default"/>
                      <w:szCs w:val="21"/>
                      <w:lang w:val="en-US" w:eastAsia="zh-CN"/>
                    </w:rPr>
                  </w:pPr>
                  <w:r>
                    <w:rPr>
                      <w:rFonts w:hint="eastAsia"/>
                      <w:szCs w:val="21"/>
                      <w:lang w:val="en-US" w:eastAsia="zh-CN"/>
                    </w:rPr>
                    <w:t>--</w:t>
                  </w:r>
                </w:p>
              </w:tc>
            </w:tr>
            <w:tr w14:paraId="45B2182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149" w:type="pct"/>
                  <w:vMerge w:val="continue"/>
                  <w:noWrap w:val="0"/>
                  <w:vAlign w:val="center"/>
                </w:tcPr>
                <w:p w14:paraId="63F8C2F1">
                  <w:pPr>
                    <w:pStyle w:val="5"/>
                    <w:jc w:val="center"/>
                    <w:rPr>
                      <w:rFonts w:hint="eastAsia"/>
                      <w:szCs w:val="21"/>
                      <w:lang w:eastAsia="zh-CN"/>
                    </w:rPr>
                  </w:pPr>
                </w:p>
              </w:tc>
              <w:tc>
                <w:tcPr>
                  <w:tcW w:w="149" w:type="pct"/>
                  <w:vMerge w:val="continue"/>
                  <w:noWrap w:val="0"/>
                  <w:vAlign w:val="center"/>
                </w:tcPr>
                <w:p w14:paraId="6A7DEF81">
                  <w:pPr>
                    <w:pStyle w:val="5"/>
                    <w:jc w:val="center"/>
                    <w:rPr>
                      <w:rFonts w:hint="eastAsia"/>
                      <w:szCs w:val="21"/>
                    </w:rPr>
                  </w:pPr>
                </w:p>
              </w:tc>
              <w:tc>
                <w:tcPr>
                  <w:tcW w:w="150" w:type="pct"/>
                  <w:noWrap w:val="0"/>
                  <w:vAlign w:val="center"/>
                </w:tcPr>
                <w:p w14:paraId="53BCB1EB">
                  <w:pPr>
                    <w:pStyle w:val="5"/>
                    <w:ind w:left="0" w:leftChars="0" w:firstLine="0" w:firstLineChars="0"/>
                    <w:jc w:val="center"/>
                    <w:rPr>
                      <w:rFonts w:hint="eastAsia"/>
                      <w:szCs w:val="21"/>
                      <w:lang w:eastAsia="zh-CN"/>
                    </w:rPr>
                  </w:pPr>
                  <w:r>
                    <w:rPr>
                      <w:rFonts w:hint="eastAsia"/>
                      <w:szCs w:val="21"/>
                      <w:lang w:eastAsia="zh-CN"/>
                    </w:rPr>
                    <w:t>硫化氢</w:t>
                  </w:r>
                </w:p>
              </w:tc>
              <w:tc>
                <w:tcPr>
                  <w:tcW w:w="268" w:type="pct"/>
                  <w:noWrap w:val="0"/>
                  <w:vAlign w:val="center"/>
                </w:tcPr>
                <w:p w14:paraId="3341E4F2">
                  <w:pPr>
                    <w:jc w:val="center"/>
                    <w:rPr>
                      <w:rFonts w:hint="eastAsia"/>
                      <w:szCs w:val="21"/>
                      <w:lang w:val="en-US" w:eastAsia="zh-CN"/>
                    </w:rPr>
                  </w:pPr>
                  <w:r>
                    <w:rPr>
                      <w:rFonts w:hint="eastAsia"/>
                      <w:szCs w:val="21"/>
                      <w:lang w:val="en-US" w:eastAsia="zh-CN"/>
                    </w:rPr>
                    <w:t>/</w:t>
                  </w:r>
                </w:p>
              </w:tc>
              <w:tc>
                <w:tcPr>
                  <w:tcW w:w="233" w:type="pct"/>
                  <w:noWrap w:val="0"/>
                  <w:vAlign w:val="center"/>
                </w:tcPr>
                <w:p w14:paraId="7A8BD342">
                  <w:pPr>
                    <w:jc w:val="center"/>
                    <w:rPr>
                      <w:rFonts w:hint="eastAsia"/>
                      <w:szCs w:val="21"/>
                      <w:lang w:val="en-US" w:eastAsia="zh-CN"/>
                    </w:rPr>
                  </w:pPr>
                  <w:r>
                    <w:rPr>
                      <w:rFonts w:hint="eastAsia"/>
                      <w:szCs w:val="21"/>
                      <w:lang w:val="en-US" w:eastAsia="zh-CN"/>
                    </w:rPr>
                    <w:t>1.6E-06</w:t>
                  </w:r>
                </w:p>
              </w:tc>
              <w:tc>
                <w:tcPr>
                  <w:tcW w:w="269" w:type="pct"/>
                  <w:noWrap w:val="0"/>
                  <w:vAlign w:val="center"/>
                </w:tcPr>
                <w:p w14:paraId="5674C439">
                  <w:pPr>
                    <w:jc w:val="center"/>
                    <w:rPr>
                      <w:rFonts w:hint="default"/>
                      <w:szCs w:val="21"/>
                      <w:lang w:val="en-US" w:eastAsia="zh-CN"/>
                    </w:rPr>
                  </w:pPr>
                  <w:r>
                    <w:rPr>
                      <w:rFonts w:hint="eastAsia"/>
                      <w:szCs w:val="21"/>
                      <w:lang w:val="en-US" w:eastAsia="zh-CN"/>
                    </w:rPr>
                    <w:t>0.0138</w:t>
                  </w:r>
                </w:p>
              </w:tc>
              <w:tc>
                <w:tcPr>
                  <w:tcW w:w="216" w:type="pct"/>
                  <w:noWrap w:val="0"/>
                  <w:vAlign w:val="center"/>
                </w:tcPr>
                <w:p w14:paraId="3DC12D3F">
                  <w:pPr>
                    <w:spacing w:line="340" w:lineRule="exact"/>
                    <w:ind w:left="-105" w:leftChars="-50" w:right="-105" w:rightChars="-50"/>
                    <w:jc w:val="center"/>
                    <w:rPr>
                      <w:rFonts w:hint="eastAsia"/>
                      <w:szCs w:val="21"/>
                      <w:lang w:val="en-US" w:eastAsia="zh-CN"/>
                    </w:rPr>
                  </w:pPr>
                  <w:r>
                    <w:rPr>
                      <w:rFonts w:hint="eastAsia"/>
                      <w:szCs w:val="21"/>
                      <w:lang w:val="en-US" w:eastAsia="zh-CN"/>
                    </w:rPr>
                    <w:t>/</w:t>
                  </w:r>
                </w:p>
              </w:tc>
              <w:tc>
                <w:tcPr>
                  <w:tcW w:w="205" w:type="pct"/>
                  <w:noWrap w:val="0"/>
                  <w:vAlign w:val="center"/>
                </w:tcPr>
                <w:p w14:paraId="14B5856F">
                  <w:pPr>
                    <w:pStyle w:val="5"/>
                    <w:ind w:left="0" w:leftChars="0" w:firstLine="0" w:firstLineChars="0"/>
                    <w:jc w:val="center"/>
                    <w:rPr>
                      <w:rFonts w:hint="eastAsia"/>
                      <w:szCs w:val="21"/>
                    </w:rPr>
                  </w:pPr>
                  <w:r>
                    <w:rPr>
                      <w:rFonts w:hint="eastAsia"/>
                      <w:szCs w:val="21"/>
                      <w:lang w:val="en-US" w:eastAsia="zh-CN"/>
                    </w:rPr>
                    <w:t>/</w:t>
                  </w:r>
                </w:p>
              </w:tc>
              <w:tc>
                <w:tcPr>
                  <w:tcW w:w="205" w:type="pct"/>
                  <w:noWrap w:val="0"/>
                  <w:vAlign w:val="center"/>
                </w:tcPr>
                <w:p w14:paraId="03D8D0FE">
                  <w:pPr>
                    <w:pStyle w:val="5"/>
                    <w:ind w:left="0" w:leftChars="0" w:firstLine="0" w:firstLineChars="0"/>
                    <w:jc w:val="center"/>
                    <w:rPr>
                      <w:rFonts w:hint="eastAsia"/>
                      <w:szCs w:val="21"/>
                    </w:rPr>
                  </w:pPr>
                  <w:r>
                    <w:rPr>
                      <w:rFonts w:hint="eastAsia"/>
                      <w:szCs w:val="21"/>
                      <w:lang w:val="en-US" w:eastAsia="zh-CN"/>
                    </w:rPr>
                    <w:t>/</w:t>
                  </w:r>
                </w:p>
              </w:tc>
              <w:tc>
                <w:tcPr>
                  <w:tcW w:w="150" w:type="pct"/>
                  <w:noWrap w:val="0"/>
                  <w:vAlign w:val="center"/>
                </w:tcPr>
                <w:p w14:paraId="2F444B8A">
                  <w:pPr>
                    <w:pStyle w:val="5"/>
                    <w:ind w:left="0" w:leftChars="0" w:firstLine="0" w:firstLineChars="0"/>
                    <w:jc w:val="center"/>
                    <w:rPr>
                      <w:rFonts w:hint="eastAsia"/>
                      <w:szCs w:val="21"/>
                    </w:rPr>
                  </w:pPr>
                  <w:r>
                    <w:rPr>
                      <w:rFonts w:hint="eastAsia"/>
                      <w:szCs w:val="21"/>
                      <w:lang w:val="en-US" w:eastAsia="zh-CN"/>
                    </w:rPr>
                    <w:t>/</w:t>
                  </w:r>
                </w:p>
              </w:tc>
              <w:tc>
                <w:tcPr>
                  <w:tcW w:w="283" w:type="pct"/>
                  <w:noWrap w:val="0"/>
                  <w:vAlign w:val="center"/>
                </w:tcPr>
                <w:p w14:paraId="55BCEF5B">
                  <w:pPr>
                    <w:pStyle w:val="5"/>
                    <w:ind w:left="0" w:leftChars="0" w:firstLine="0" w:firstLineChars="0"/>
                    <w:jc w:val="center"/>
                    <w:rPr>
                      <w:rFonts w:hint="eastAsia"/>
                      <w:szCs w:val="21"/>
                      <w:lang w:eastAsia="zh-CN"/>
                    </w:rPr>
                  </w:pPr>
                  <w:r>
                    <w:rPr>
                      <w:rFonts w:hint="eastAsia"/>
                      <w:szCs w:val="21"/>
                      <w:lang w:val="en-US" w:eastAsia="zh-CN"/>
                    </w:rPr>
                    <w:t>/</w:t>
                  </w:r>
                </w:p>
              </w:tc>
              <w:tc>
                <w:tcPr>
                  <w:tcW w:w="236" w:type="pct"/>
                  <w:noWrap w:val="0"/>
                  <w:vAlign w:val="center"/>
                </w:tcPr>
                <w:p w14:paraId="1BE6EFD1">
                  <w:pPr>
                    <w:jc w:val="center"/>
                    <w:rPr>
                      <w:rFonts w:hint="eastAsia"/>
                      <w:szCs w:val="21"/>
                      <w:lang w:val="en-US" w:eastAsia="zh-CN"/>
                    </w:rPr>
                  </w:pPr>
                  <w:r>
                    <w:rPr>
                      <w:rFonts w:hint="eastAsia"/>
                      <w:szCs w:val="21"/>
                      <w:lang w:val="en-US" w:eastAsia="zh-CN"/>
                    </w:rPr>
                    <w:t>/</w:t>
                  </w:r>
                </w:p>
              </w:tc>
              <w:tc>
                <w:tcPr>
                  <w:tcW w:w="615" w:type="dxa"/>
                  <w:noWrap w:val="0"/>
                  <w:vAlign w:val="center"/>
                </w:tcPr>
                <w:p w14:paraId="0BA14BBD">
                  <w:pPr>
                    <w:jc w:val="center"/>
                    <w:rPr>
                      <w:rFonts w:hint="eastAsia"/>
                      <w:szCs w:val="21"/>
                      <w:lang w:val="en-US" w:eastAsia="zh-CN"/>
                    </w:rPr>
                  </w:pPr>
                  <w:r>
                    <w:rPr>
                      <w:rFonts w:hint="eastAsia"/>
                      <w:szCs w:val="21"/>
                      <w:lang w:val="en-US" w:eastAsia="zh-CN"/>
                    </w:rPr>
                    <w:t>1.6E-06</w:t>
                  </w:r>
                </w:p>
              </w:tc>
              <w:tc>
                <w:tcPr>
                  <w:tcW w:w="705" w:type="dxa"/>
                  <w:noWrap w:val="0"/>
                  <w:vAlign w:val="center"/>
                </w:tcPr>
                <w:p w14:paraId="63FDD00D">
                  <w:pPr>
                    <w:jc w:val="center"/>
                    <w:rPr>
                      <w:rFonts w:hint="eastAsia"/>
                      <w:szCs w:val="21"/>
                      <w:lang w:val="en-US" w:eastAsia="zh-CN"/>
                    </w:rPr>
                  </w:pPr>
                  <w:r>
                    <w:rPr>
                      <w:rFonts w:hint="eastAsia"/>
                      <w:szCs w:val="21"/>
                      <w:lang w:val="en-US" w:eastAsia="zh-CN"/>
                    </w:rPr>
                    <w:t>0.0138</w:t>
                  </w:r>
                </w:p>
              </w:tc>
              <w:tc>
                <w:tcPr>
                  <w:tcW w:w="267" w:type="pct"/>
                  <w:noWrap w:val="0"/>
                  <w:vAlign w:val="center"/>
                </w:tcPr>
                <w:p w14:paraId="3B7E6E55">
                  <w:pPr>
                    <w:pStyle w:val="5"/>
                    <w:ind w:left="0" w:leftChars="0" w:firstLine="0" w:firstLineChars="0"/>
                    <w:jc w:val="center"/>
                    <w:rPr>
                      <w:rFonts w:hint="eastAsia"/>
                      <w:szCs w:val="21"/>
                    </w:rPr>
                  </w:pPr>
                  <w:r>
                    <w:rPr>
                      <w:rFonts w:hint="eastAsia"/>
                      <w:szCs w:val="21"/>
                    </w:rPr>
                    <w:t>/</w:t>
                  </w:r>
                </w:p>
              </w:tc>
              <w:tc>
                <w:tcPr>
                  <w:tcW w:w="174" w:type="pct"/>
                  <w:noWrap w:val="0"/>
                  <w:vAlign w:val="center"/>
                </w:tcPr>
                <w:p w14:paraId="3DBF8788">
                  <w:pPr>
                    <w:pStyle w:val="5"/>
                    <w:ind w:left="0" w:leftChars="0" w:firstLine="0" w:firstLineChars="0"/>
                    <w:jc w:val="center"/>
                    <w:rPr>
                      <w:rFonts w:hint="eastAsia"/>
                      <w:szCs w:val="21"/>
                    </w:rPr>
                  </w:pPr>
                  <w:r>
                    <w:rPr>
                      <w:rFonts w:hint="eastAsia"/>
                      <w:szCs w:val="21"/>
                    </w:rPr>
                    <w:t>/</w:t>
                  </w:r>
                </w:p>
              </w:tc>
              <w:tc>
                <w:tcPr>
                  <w:tcW w:w="223" w:type="pct"/>
                  <w:noWrap w:val="0"/>
                  <w:vAlign w:val="center"/>
                </w:tcPr>
                <w:p w14:paraId="46550FD1">
                  <w:pPr>
                    <w:pStyle w:val="5"/>
                    <w:ind w:left="0" w:leftChars="0" w:firstLine="0" w:firstLineChars="0"/>
                    <w:jc w:val="center"/>
                    <w:rPr>
                      <w:rFonts w:hint="eastAsia"/>
                      <w:szCs w:val="21"/>
                    </w:rPr>
                  </w:pPr>
                  <w:r>
                    <w:rPr>
                      <w:rFonts w:hint="eastAsia"/>
                      <w:szCs w:val="21"/>
                    </w:rPr>
                    <w:t>/</w:t>
                  </w:r>
                </w:p>
              </w:tc>
              <w:tc>
                <w:tcPr>
                  <w:tcW w:w="199" w:type="pct"/>
                  <w:noWrap w:val="0"/>
                  <w:vAlign w:val="center"/>
                </w:tcPr>
                <w:p w14:paraId="2AACA1E3">
                  <w:pPr>
                    <w:pStyle w:val="5"/>
                    <w:ind w:left="0" w:leftChars="0" w:firstLine="0" w:firstLineChars="0"/>
                    <w:jc w:val="center"/>
                    <w:rPr>
                      <w:rFonts w:hint="eastAsia"/>
                      <w:szCs w:val="21"/>
                      <w:lang w:val="en-US" w:eastAsia="zh-CN"/>
                    </w:rPr>
                  </w:pPr>
                  <w:r>
                    <w:rPr>
                      <w:rFonts w:hint="eastAsia"/>
                      <w:szCs w:val="21"/>
                    </w:rPr>
                    <w:t>/</w:t>
                  </w:r>
                </w:p>
              </w:tc>
              <w:tc>
                <w:tcPr>
                  <w:tcW w:w="267" w:type="pct"/>
                  <w:noWrap w:val="0"/>
                  <w:vAlign w:val="center"/>
                </w:tcPr>
                <w:p w14:paraId="596BCE66">
                  <w:pPr>
                    <w:pStyle w:val="5"/>
                    <w:ind w:left="0" w:leftChars="0" w:firstLine="0" w:firstLineChars="0"/>
                    <w:jc w:val="center"/>
                    <w:rPr>
                      <w:rFonts w:hint="eastAsia"/>
                      <w:color w:val="auto"/>
                      <w:szCs w:val="21"/>
                    </w:rPr>
                  </w:pPr>
                  <w:r>
                    <w:rPr>
                      <w:rFonts w:hint="eastAsia"/>
                      <w:color w:val="auto"/>
                      <w:szCs w:val="21"/>
                    </w:rPr>
                    <w:t>/</w:t>
                  </w:r>
                </w:p>
              </w:tc>
              <w:tc>
                <w:tcPr>
                  <w:tcW w:w="324" w:type="pct"/>
                  <w:noWrap w:val="0"/>
                  <w:vAlign w:val="center"/>
                </w:tcPr>
                <w:p w14:paraId="2C1E8ACC">
                  <w:pPr>
                    <w:pStyle w:val="5"/>
                    <w:ind w:left="0" w:leftChars="0" w:firstLine="0" w:firstLineChars="0"/>
                    <w:jc w:val="center"/>
                    <w:rPr>
                      <w:rFonts w:hint="eastAsia"/>
                      <w:color w:val="auto"/>
                      <w:szCs w:val="21"/>
                      <w:highlight w:val="none"/>
                      <w:lang w:val="en-US" w:eastAsia="zh-CN"/>
                    </w:rPr>
                  </w:pPr>
                  <w:r>
                    <w:rPr>
                      <w:rFonts w:hint="eastAsia"/>
                      <w:color w:val="auto"/>
                      <w:szCs w:val="21"/>
                      <w:highlight w:val="none"/>
                    </w:rPr>
                    <w:t>/</w:t>
                  </w:r>
                </w:p>
              </w:tc>
              <w:tc>
                <w:tcPr>
                  <w:tcW w:w="269" w:type="pct"/>
                  <w:noWrap w:val="0"/>
                  <w:vAlign w:val="center"/>
                </w:tcPr>
                <w:p w14:paraId="0C58D37D">
                  <w:pPr>
                    <w:pStyle w:val="5"/>
                    <w:ind w:left="0" w:leftChars="0" w:firstLine="0" w:firstLineChars="0"/>
                    <w:jc w:val="center"/>
                    <w:rPr>
                      <w:rFonts w:hint="default"/>
                      <w:color w:val="auto"/>
                      <w:szCs w:val="21"/>
                      <w:highlight w:val="none"/>
                      <w:lang w:val="en-US" w:eastAsia="zh-CN"/>
                    </w:rPr>
                  </w:pPr>
                  <w:r>
                    <w:rPr>
                      <w:rFonts w:hint="eastAsia"/>
                      <w:color w:val="auto"/>
                      <w:szCs w:val="21"/>
                      <w:highlight w:val="none"/>
                      <w:lang w:val="en-US" w:eastAsia="zh-CN"/>
                    </w:rPr>
                    <w:t>0.03</w:t>
                  </w:r>
                </w:p>
              </w:tc>
              <w:tc>
                <w:tcPr>
                  <w:tcW w:w="210" w:type="pct"/>
                  <w:noWrap w:val="0"/>
                  <w:vAlign w:val="center"/>
                </w:tcPr>
                <w:p w14:paraId="05617C4E">
                  <w:pPr>
                    <w:pStyle w:val="5"/>
                    <w:jc w:val="center"/>
                    <w:rPr>
                      <w:rFonts w:hint="default"/>
                      <w:szCs w:val="21"/>
                      <w:lang w:val="en-US" w:eastAsia="zh-CN"/>
                    </w:rPr>
                  </w:pPr>
                  <w:r>
                    <w:rPr>
                      <w:rFonts w:hint="eastAsia"/>
                      <w:szCs w:val="21"/>
                      <w:lang w:val="en-US" w:eastAsia="zh-CN"/>
                    </w:rPr>
                    <w:t>--</w:t>
                  </w:r>
                </w:p>
              </w:tc>
            </w:tr>
          </w:tbl>
          <w:p w14:paraId="0BB28B11">
            <w:pPr>
              <w:pStyle w:val="5"/>
              <w:jc w:val="center"/>
              <w:rPr>
                <w:rFonts w:hint="eastAsia"/>
                <w:b/>
                <w:bCs/>
                <w:szCs w:val="21"/>
                <w:highlight w:val="none"/>
              </w:rPr>
            </w:pPr>
          </w:p>
          <w:p w14:paraId="2A809B54">
            <w:pPr>
              <w:pStyle w:val="19"/>
              <w:rPr>
                <w:bCs/>
                <w:sz w:val="21"/>
                <w:szCs w:val="21"/>
                <w:vertAlign w:val="baseline"/>
              </w:rPr>
            </w:pPr>
          </w:p>
        </w:tc>
      </w:tr>
    </w:tbl>
    <w:p w14:paraId="317D9753">
      <w:pPr>
        <w:pStyle w:val="19"/>
        <w:rPr>
          <w:bCs/>
          <w:szCs w:val="21"/>
        </w:rPr>
        <w:sectPr>
          <w:pgSz w:w="16838" w:h="11905" w:orient="landscape"/>
          <w:pgMar w:top="1531" w:right="1701" w:bottom="1531" w:left="2126" w:header="851" w:footer="850" w:gutter="0"/>
          <w:cols w:space="720" w:num="1"/>
          <w:rtlGutter w:val="0"/>
          <w:docGrid w:linePitch="312" w:charSpace="0"/>
        </w:sectPr>
      </w:pPr>
    </w:p>
    <w:tbl>
      <w:tblPr>
        <w:tblStyle w:val="14"/>
        <w:tblW w:w="5000"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548"/>
        <w:gridCol w:w="8431"/>
      </w:tblGrid>
      <w:tr w14:paraId="2E457CE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998" w:hRule="atLeast"/>
          <w:jc w:val="center"/>
        </w:trPr>
        <w:tc>
          <w:tcPr>
            <w:tcW w:w="305" w:type="pct"/>
            <w:noWrap w:val="0"/>
            <w:tcMar>
              <w:left w:w="28" w:type="dxa"/>
              <w:right w:w="28" w:type="dxa"/>
            </w:tcMar>
            <w:vAlign w:val="center"/>
          </w:tcPr>
          <w:p w14:paraId="7CA98E0F">
            <w:pPr>
              <w:adjustRightInd w:val="0"/>
              <w:snapToGrid w:val="0"/>
              <w:jc w:val="center"/>
              <w:rPr>
                <w:bCs/>
                <w:szCs w:val="21"/>
              </w:rPr>
            </w:pPr>
            <w:r>
              <w:rPr>
                <w:bCs/>
                <w:szCs w:val="21"/>
              </w:rPr>
              <w:t>运营</w:t>
            </w:r>
          </w:p>
          <w:p w14:paraId="3A481F38">
            <w:pPr>
              <w:adjustRightInd w:val="0"/>
              <w:snapToGrid w:val="0"/>
              <w:jc w:val="center"/>
              <w:rPr>
                <w:bCs/>
                <w:szCs w:val="21"/>
              </w:rPr>
            </w:pPr>
            <w:r>
              <w:rPr>
                <w:bCs/>
                <w:szCs w:val="21"/>
              </w:rPr>
              <w:t>期环</w:t>
            </w:r>
          </w:p>
          <w:p w14:paraId="2707CA8B">
            <w:pPr>
              <w:adjustRightInd w:val="0"/>
              <w:snapToGrid w:val="0"/>
              <w:jc w:val="center"/>
              <w:rPr>
                <w:bCs/>
                <w:szCs w:val="21"/>
              </w:rPr>
            </w:pPr>
            <w:r>
              <w:rPr>
                <w:bCs/>
                <w:szCs w:val="21"/>
              </w:rPr>
              <w:t>境影</w:t>
            </w:r>
          </w:p>
          <w:p w14:paraId="068D3E1D">
            <w:pPr>
              <w:adjustRightInd w:val="0"/>
              <w:snapToGrid w:val="0"/>
              <w:jc w:val="center"/>
              <w:rPr>
                <w:bCs/>
                <w:szCs w:val="21"/>
              </w:rPr>
            </w:pPr>
            <w:r>
              <w:rPr>
                <w:bCs/>
                <w:szCs w:val="21"/>
              </w:rPr>
              <w:t>响和</w:t>
            </w:r>
          </w:p>
          <w:p w14:paraId="3E318BDF">
            <w:pPr>
              <w:adjustRightInd w:val="0"/>
              <w:snapToGrid w:val="0"/>
              <w:jc w:val="center"/>
              <w:rPr>
                <w:bCs/>
                <w:szCs w:val="21"/>
              </w:rPr>
            </w:pPr>
            <w:r>
              <w:rPr>
                <w:bCs/>
                <w:szCs w:val="21"/>
              </w:rPr>
              <w:t>保护</w:t>
            </w:r>
          </w:p>
          <w:p w14:paraId="19DE660A">
            <w:pPr>
              <w:adjustRightInd w:val="0"/>
              <w:snapToGrid w:val="0"/>
              <w:jc w:val="center"/>
              <w:rPr>
                <w:bCs/>
                <w:szCs w:val="21"/>
              </w:rPr>
            </w:pPr>
            <w:r>
              <w:rPr>
                <w:bCs/>
                <w:szCs w:val="21"/>
              </w:rPr>
              <w:t>措施</w:t>
            </w:r>
          </w:p>
        </w:tc>
        <w:tc>
          <w:tcPr>
            <w:tcW w:w="4694" w:type="pct"/>
            <w:noWrap w:val="0"/>
            <w:vAlign w:val="top"/>
          </w:tcPr>
          <w:p w14:paraId="3ABAC0EA">
            <w:pPr>
              <w:pStyle w:val="23"/>
              <w:ind w:firstLine="420" w:firstLineChars="200"/>
              <w:jc w:val="center"/>
              <w:rPr>
                <w:rFonts w:hint="eastAsia" w:ascii="Times New Roman" w:hAnsi="Times New Roman"/>
                <w:b w:val="0"/>
                <w:bCs/>
                <w:sz w:val="21"/>
                <w:szCs w:val="21"/>
                <w:lang w:eastAsia="zh-CN"/>
              </w:rPr>
            </w:pPr>
          </w:p>
          <w:p w14:paraId="34807643">
            <w:pPr>
              <w:pStyle w:val="23"/>
              <w:spacing w:line="360" w:lineRule="auto"/>
              <w:ind w:firstLine="482" w:firstLineChars="200"/>
              <w:rPr>
                <w:rFonts w:hint="eastAsia" w:ascii="Times New Roman" w:hAnsi="Times New Roman"/>
              </w:rPr>
            </w:pPr>
            <w:r>
              <w:rPr>
                <w:rFonts w:hint="eastAsia" w:ascii="Times New Roman" w:hAnsi="Times New Roman"/>
              </w:rPr>
              <w:t>1.2源强核算</w:t>
            </w:r>
          </w:p>
          <w:p w14:paraId="23344B17">
            <w:pPr>
              <w:spacing w:line="360" w:lineRule="auto"/>
              <w:ind w:firstLine="482" w:firstLineChars="200"/>
              <w:rPr>
                <w:rFonts w:hint="default" w:eastAsia="宋体"/>
                <w:b/>
                <w:bCs/>
                <w:sz w:val="24"/>
                <w:lang w:val="en-US" w:eastAsia="zh-CN"/>
              </w:rPr>
            </w:pPr>
            <w:r>
              <w:rPr>
                <w:rFonts w:hint="eastAsia" w:ascii="Times New Roman" w:hAnsi="Times New Roman"/>
                <w:b/>
                <w:bCs/>
                <w:sz w:val="24"/>
                <w:lang w:eastAsia="zh-CN"/>
              </w:rPr>
              <w:t>（</w:t>
            </w:r>
            <w:r>
              <w:rPr>
                <w:rFonts w:hint="eastAsia" w:ascii="Times New Roman" w:hAnsi="Times New Roman"/>
                <w:b/>
                <w:bCs/>
                <w:sz w:val="24"/>
                <w:lang w:val="en-US" w:eastAsia="zh-CN"/>
              </w:rPr>
              <w:t>1</w:t>
            </w:r>
            <w:r>
              <w:rPr>
                <w:rFonts w:hint="eastAsia" w:ascii="Times New Roman" w:hAnsi="Times New Roman"/>
                <w:b/>
                <w:bCs/>
                <w:sz w:val="24"/>
                <w:lang w:eastAsia="zh-CN"/>
              </w:rPr>
              <w:t>）</w:t>
            </w:r>
            <w:r>
              <w:rPr>
                <w:rFonts w:hint="eastAsia" w:ascii="Times New Roman" w:hAnsi="Times New Roman"/>
                <w:b/>
                <w:bCs/>
                <w:sz w:val="24"/>
                <w:lang w:val="en-US" w:eastAsia="zh-CN"/>
              </w:rPr>
              <w:t>污水处理站恶臭</w:t>
            </w:r>
          </w:p>
          <w:p w14:paraId="3ED12559">
            <w:pPr>
              <w:spacing w:line="360" w:lineRule="auto"/>
              <w:ind w:firstLine="480" w:firstLineChars="200"/>
              <w:rPr>
                <w:kern w:val="0"/>
                <w:sz w:val="24"/>
                <w:highlight w:val="none"/>
              </w:rPr>
            </w:pPr>
            <w:r>
              <w:rPr>
                <w:kern w:val="0"/>
                <w:sz w:val="24"/>
              </w:rPr>
              <w:t>本项目拟在</w:t>
            </w:r>
            <w:r>
              <w:rPr>
                <w:rFonts w:hint="eastAsia" w:eastAsia="新宋体"/>
                <w:b w:val="0"/>
                <w:bCs w:val="0"/>
                <w:sz w:val="24"/>
                <w:lang w:val="en-US" w:eastAsia="zh-CN"/>
              </w:rPr>
              <w:t>住院部西侧</w:t>
            </w:r>
            <w:r>
              <w:rPr>
                <w:sz w:val="24"/>
              </w:rPr>
              <w:t>，新建</w:t>
            </w:r>
            <w:r>
              <w:rPr>
                <w:kern w:val="0"/>
                <w:sz w:val="24"/>
              </w:rPr>
              <w:t>一座处理规模为</w:t>
            </w:r>
            <w:r>
              <w:rPr>
                <w:rFonts w:hint="eastAsia"/>
                <w:kern w:val="0"/>
                <w:sz w:val="24"/>
                <w:lang w:val="en-US" w:eastAsia="zh-CN"/>
              </w:rPr>
              <w:t>65t</w:t>
            </w:r>
            <w:r>
              <w:rPr>
                <w:rFonts w:hint="eastAsia"/>
                <w:kern w:val="0"/>
                <w:sz w:val="24"/>
                <w:lang w:eastAsia="zh-CN"/>
              </w:rPr>
              <w:t>/d</w:t>
            </w:r>
            <w:r>
              <w:rPr>
                <w:kern w:val="0"/>
                <w:sz w:val="24"/>
              </w:rPr>
              <w:t>的地埋式一体化污水处理站，</w:t>
            </w:r>
            <w:r>
              <w:rPr>
                <w:kern w:val="0"/>
                <w:sz w:val="24"/>
                <w:highlight w:val="none"/>
              </w:rPr>
              <w:t>采用</w:t>
            </w:r>
            <w:r>
              <w:rPr>
                <w:rFonts w:hint="eastAsia" w:eastAsia="新宋体"/>
                <w:b w:val="0"/>
                <w:bCs w:val="0"/>
                <w:sz w:val="24"/>
                <w:highlight w:val="none"/>
                <w:lang w:eastAsia="zh-CN"/>
              </w:rPr>
              <w:t>“一级强化处理</w:t>
            </w:r>
            <w:r>
              <w:rPr>
                <w:rFonts w:hint="eastAsia" w:eastAsia="新宋体"/>
                <w:b w:val="0"/>
                <w:bCs w:val="0"/>
                <w:sz w:val="24"/>
                <w:highlight w:val="none"/>
                <w:lang w:val="en-US" w:eastAsia="zh-CN"/>
              </w:rPr>
              <w:t>+消毒</w:t>
            </w:r>
            <w:r>
              <w:rPr>
                <w:rFonts w:hint="eastAsia" w:eastAsia="新宋体"/>
                <w:b w:val="0"/>
                <w:bCs w:val="0"/>
                <w:sz w:val="24"/>
                <w:highlight w:val="none"/>
                <w:lang w:eastAsia="zh-CN"/>
              </w:rPr>
              <w:t>”</w:t>
            </w:r>
            <w:r>
              <w:rPr>
                <w:kern w:val="0"/>
                <w:sz w:val="24"/>
                <w:highlight w:val="none"/>
              </w:rPr>
              <w:t>工艺处理项目产生的污水。污水处理站排出的废气污染物主要为NH</w:t>
            </w:r>
            <w:r>
              <w:rPr>
                <w:kern w:val="0"/>
                <w:sz w:val="24"/>
                <w:highlight w:val="none"/>
                <w:vertAlign w:val="subscript"/>
              </w:rPr>
              <w:t>3</w:t>
            </w:r>
            <w:r>
              <w:rPr>
                <w:kern w:val="0"/>
                <w:sz w:val="24"/>
                <w:highlight w:val="none"/>
              </w:rPr>
              <w:t>、H</w:t>
            </w:r>
            <w:r>
              <w:rPr>
                <w:kern w:val="0"/>
                <w:sz w:val="24"/>
                <w:highlight w:val="none"/>
                <w:vertAlign w:val="subscript"/>
              </w:rPr>
              <w:t>2</w:t>
            </w:r>
            <w:r>
              <w:rPr>
                <w:kern w:val="0"/>
                <w:sz w:val="24"/>
                <w:highlight w:val="none"/>
              </w:rPr>
              <w:t>S等恶臭气体，主要恶臭源是格栅、调节池</w:t>
            </w:r>
            <w:r>
              <w:rPr>
                <w:rFonts w:hint="eastAsia"/>
                <w:kern w:val="0"/>
                <w:sz w:val="24"/>
                <w:highlight w:val="none"/>
                <w:lang w:eastAsia="zh-CN"/>
              </w:rPr>
              <w:t>、混凝</w:t>
            </w:r>
            <w:r>
              <w:rPr>
                <w:kern w:val="0"/>
                <w:sz w:val="24"/>
                <w:highlight w:val="none"/>
              </w:rPr>
              <w:t>沉淀池</w:t>
            </w:r>
            <w:r>
              <w:rPr>
                <w:rFonts w:hint="eastAsia"/>
                <w:kern w:val="0"/>
                <w:sz w:val="24"/>
                <w:highlight w:val="none"/>
                <w:lang w:eastAsia="zh-CN"/>
              </w:rPr>
              <w:t>、消毒池、污泥池</w:t>
            </w:r>
            <w:r>
              <w:rPr>
                <w:kern w:val="0"/>
                <w:sz w:val="24"/>
                <w:highlight w:val="none"/>
              </w:rPr>
              <w:t>等。</w:t>
            </w:r>
          </w:p>
          <w:p w14:paraId="0359A1F7">
            <w:pPr>
              <w:spacing w:line="360" w:lineRule="auto"/>
              <w:ind w:firstLine="480" w:firstLineChars="200"/>
              <w:rPr>
                <w:kern w:val="0"/>
                <w:sz w:val="24"/>
              </w:rPr>
            </w:pPr>
            <w:r>
              <w:rPr>
                <w:rFonts w:hint="eastAsia"/>
                <w:kern w:val="0"/>
                <w:sz w:val="24"/>
              </w:rPr>
              <w:t>根据生态环境保护部工程评估中心编制的《环境影响评价案例分析》（2016版），恶臭污染物产生情况的研究，每去除1g的BOD</w:t>
            </w:r>
            <w:r>
              <w:rPr>
                <w:rFonts w:hint="eastAsia"/>
                <w:kern w:val="0"/>
                <w:sz w:val="24"/>
                <w:vertAlign w:val="subscript"/>
              </w:rPr>
              <w:t>5</w:t>
            </w:r>
            <w:r>
              <w:rPr>
                <w:rFonts w:hint="eastAsia"/>
                <w:kern w:val="0"/>
                <w:sz w:val="24"/>
              </w:rPr>
              <w:t>可产生0.0031g的NH</w:t>
            </w:r>
            <w:r>
              <w:rPr>
                <w:rFonts w:hint="eastAsia"/>
                <w:kern w:val="0"/>
                <w:sz w:val="24"/>
                <w:vertAlign w:val="subscript"/>
              </w:rPr>
              <w:t>3</w:t>
            </w:r>
            <w:r>
              <w:rPr>
                <w:rFonts w:hint="eastAsia"/>
                <w:kern w:val="0"/>
                <w:sz w:val="24"/>
              </w:rPr>
              <w:t>、0.00012g的H</w:t>
            </w:r>
            <w:r>
              <w:rPr>
                <w:rFonts w:hint="eastAsia"/>
                <w:kern w:val="0"/>
                <w:sz w:val="24"/>
                <w:vertAlign w:val="subscript"/>
              </w:rPr>
              <w:t>2</w:t>
            </w:r>
            <w:r>
              <w:rPr>
                <w:rFonts w:hint="eastAsia"/>
                <w:kern w:val="0"/>
                <w:sz w:val="24"/>
              </w:rPr>
              <w:t>S，根据后文废水源强分析可知，污水处理站BOD</w:t>
            </w:r>
            <w:r>
              <w:rPr>
                <w:rFonts w:hint="eastAsia"/>
                <w:kern w:val="0"/>
                <w:sz w:val="24"/>
                <w:vertAlign w:val="subscript"/>
              </w:rPr>
              <w:t>5</w:t>
            </w:r>
            <w:r>
              <w:rPr>
                <w:rFonts w:hint="eastAsia"/>
                <w:kern w:val="0"/>
                <w:sz w:val="24"/>
              </w:rPr>
              <w:t>去除量为</w:t>
            </w:r>
            <w:r>
              <w:rPr>
                <w:rFonts w:hint="eastAsia"/>
                <w:kern w:val="0"/>
                <w:sz w:val="24"/>
                <w:lang w:val="en-US" w:eastAsia="zh-CN"/>
              </w:rPr>
              <w:t>1.1498</w:t>
            </w:r>
            <w:r>
              <w:rPr>
                <w:rFonts w:hint="eastAsia"/>
                <w:kern w:val="0"/>
                <w:sz w:val="24"/>
              </w:rPr>
              <w:t>t/a，由此计算得出NH</w:t>
            </w:r>
            <w:r>
              <w:rPr>
                <w:rFonts w:hint="eastAsia"/>
                <w:kern w:val="0"/>
                <w:sz w:val="24"/>
                <w:vertAlign w:val="subscript"/>
              </w:rPr>
              <w:t>3</w:t>
            </w:r>
            <w:r>
              <w:rPr>
                <w:rFonts w:hint="eastAsia"/>
                <w:kern w:val="0"/>
                <w:sz w:val="24"/>
              </w:rPr>
              <w:t>产生量为</w:t>
            </w:r>
            <w:r>
              <w:rPr>
                <w:rFonts w:hint="eastAsia"/>
                <w:kern w:val="0"/>
                <w:sz w:val="24"/>
                <w:lang w:val="en-US" w:eastAsia="zh-CN"/>
              </w:rPr>
              <w:t>3.5644</w:t>
            </w:r>
            <w:r>
              <w:rPr>
                <w:rFonts w:hint="eastAsia"/>
                <w:kern w:val="0"/>
                <w:sz w:val="24"/>
              </w:rPr>
              <w:t>kg/a，H</w:t>
            </w:r>
            <w:r>
              <w:rPr>
                <w:rFonts w:hint="eastAsia"/>
                <w:kern w:val="0"/>
                <w:sz w:val="24"/>
                <w:vertAlign w:val="subscript"/>
              </w:rPr>
              <w:t>2</w:t>
            </w:r>
            <w:r>
              <w:rPr>
                <w:rFonts w:hint="eastAsia"/>
                <w:kern w:val="0"/>
                <w:sz w:val="24"/>
              </w:rPr>
              <w:t>S产生量为</w:t>
            </w:r>
            <w:r>
              <w:rPr>
                <w:rFonts w:hint="eastAsia"/>
                <w:kern w:val="0"/>
                <w:sz w:val="24"/>
                <w:lang w:val="en-US" w:eastAsia="zh-CN"/>
              </w:rPr>
              <w:t>0.138</w:t>
            </w:r>
            <w:r>
              <w:rPr>
                <w:rFonts w:hint="eastAsia"/>
                <w:kern w:val="0"/>
                <w:sz w:val="24"/>
              </w:rPr>
              <w:t>kg/a。</w:t>
            </w:r>
          </w:p>
          <w:p w14:paraId="3EDFE966">
            <w:pPr>
              <w:pStyle w:val="11"/>
              <w:spacing w:line="360" w:lineRule="auto"/>
              <w:ind w:left="0" w:firstLine="480" w:firstLineChars="200"/>
              <w:rPr>
                <w:rFonts w:hint="default" w:ascii="Times New Roman" w:hAnsi="Times New Roman"/>
                <w:b w:val="0"/>
                <w:bCs/>
                <w:kern w:val="0"/>
                <w:sz w:val="24"/>
              </w:rPr>
            </w:pPr>
            <w:r>
              <w:rPr>
                <w:rFonts w:hint="default" w:ascii="Times New Roman" w:hAnsi="Times New Roman"/>
                <w:b w:val="0"/>
                <w:bCs/>
                <w:kern w:val="0"/>
                <w:sz w:val="24"/>
              </w:rPr>
              <w:t>根据《医院污水处理技术指南》</w:t>
            </w:r>
            <w:r>
              <w:rPr>
                <w:rFonts w:hint="eastAsia"/>
                <w:b w:val="0"/>
                <w:bCs/>
                <w:kern w:val="0"/>
                <w:sz w:val="24"/>
                <w:lang w:eastAsia="zh-CN"/>
              </w:rPr>
              <w:t>（</w:t>
            </w:r>
            <w:r>
              <w:rPr>
                <w:rFonts w:hint="default" w:ascii="Times New Roman" w:hAnsi="Times New Roman"/>
                <w:b w:val="0"/>
                <w:bCs/>
                <w:kern w:val="0"/>
                <w:sz w:val="24"/>
              </w:rPr>
              <w:t>环发</w:t>
            </w:r>
            <w:r>
              <w:rPr>
                <w:rFonts w:hint="eastAsia"/>
                <w:b w:val="0"/>
                <w:bCs/>
                <w:kern w:val="0"/>
                <w:sz w:val="24"/>
                <w:lang w:eastAsia="zh-CN"/>
              </w:rPr>
              <w:t>〔2003〕197号）</w:t>
            </w:r>
            <w:r>
              <w:rPr>
                <w:rFonts w:hint="default" w:ascii="Times New Roman" w:hAnsi="Times New Roman"/>
                <w:b w:val="0"/>
                <w:bCs/>
                <w:kern w:val="0"/>
                <w:sz w:val="24"/>
              </w:rPr>
              <w:t>废气处理规定</w:t>
            </w:r>
            <w:r>
              <w:rPr>
                <w:rFonts w:hint="eastAsia" w:ascii="Times New Roman" w:hAnsi="Times New Roman"/>
                <w:b w:val="0"/>
                <w:bCs/>
                <w:kern w:val="0"/>
                <w:sz w:val="24"/>
                <w:lang w:eastAsia="zh-CN"/>
              </w:rPr>
              <w:t>：</w:t>
            </w:r>
            <w:r>
              <w:rPr>
                <w:rFonts w:hint="default" w:ascii="Times New Roman" w:hAnsi="Times New Roman"/>
                <w:b w:val="0"/>
                <w:bCs/>
                <w:kern w:val="0"/>
                <w:sz w:val="24"/>
              </w:rPr>
              <w:t>为防止病毒从医院水处理构筑物表面挥发到大气中而造成病毒二次传播污染，需</w:t>
            </w:r>
            <w:r>
              <w:rPr>
                <w:rFonts w:hint="eastAsia" w:ascii="Times New Roman" w:hAnsi="Times New Roman"/>
                <w:b w:val="0"/>
                <w:bCs/>
                <w:kern w:val="0"/>
                <w:sz w:val="24"/>
                <w:lang w:eastAsia="zh-CN"/>
              </w:rPr>
              <w:t>“</w:t>
            </w:r>
            <w:r>
              <w:rPr>
                <w:rFonts w:hint="default" w:ascii="Times New Roman" w:hAnsi="Times New Roman"/>
                <w:b w:val="0"/>
                <w:bCs/>
                <w:kern w:val="0"/>
                <w:sz w:val="24"/>
              </w:rPr>
              <w:t>将水处理池加盖板密闭起来，盖板上预留进、出气口，把处于自由扩散状态的气体组织起来</w:t>
            </w:r>
            <w:r>
              <w:rPr>
                <w:rFonts w:hint="eastAsia" w:ascii="Times New Roman" w:hAnsi="Times New Roman"/>
                <w:b w:val="0"/>
                <w:bCs/>
                <w:kern w:val="0"/>
                <w:sz w:val="24"/>
                <w:lang w:eastAsia="zh-CN"/>
              </w:rPr>
              <w:t>”，</w:t>
            </w:r>
            <w:r>
              <w:rPr>
                <w:rFonts w:hint="default" w:ascii="Times New Roman" w:hAnsi="Times New Roman"/>
                <w:b w:val="0"/>
                <w:bCs/>
                <w:kern w:val="0"/>
                <w:sz w:val="24"/>
              </w:rPr>
              <w:t>根据</w:t>
            </w:r>
            <w:r>
              <w:rPr>
                <w:rFonts w:hint="eastAsia"/>
                <w:b w:val="0"/>
                <w:bCs/>
                <w:kern w:val="0"/>
                <w:sz w:val="24"/>
                <w:lang w:eastAsia="zh-CN"/>
              </w:rPr>
              <w:t>《医疗机构水污染物排放标准》（GB18466-2005）（含2026年修改单）</w:t>
            </w:r>
            <w:r>
              <w:rPr>
                <w:rFonts w:hint="eastAsia" w:ascii="Times New Roman" w:hAnsi="Times New Roman"/>
                <w:b w:val="0"/>
                <w:bCs/>
                <w:kern w:val="0"/>
                <w:sz w:val="24"/>
                <w:lang w:eastAsia="zh-CN"/>
              </w:rPr>
              <w:t>“</w:t>
            </w:r>
            <w:r>
              <w:rPr>
                <w:rFonts w:hint="default" w:ascii="Times New Roman" w:hAnsi="Times New Roman"/>
                <w:b w:val="0"/>
                <w:bCs/>
                <w:kern w:val="0"/>
                <w:sz w:val="24"/>
              </w:rPr>
              <w:t>4.2.1</w:t>
            </w:r>
            <w:r>
              <w:rPr>
                <w:rFonts w:hint="eastAsia" w:ascii="Times New Roman" w:hAnsi="Times New Roman"/>
                <w:b w:val="0"/>
                <w:bCs/>
                <w:kern w:val="0"/>
                <w:sz w:val="24"/>
                <w:lang w:eastAsia="zh-CN"/>
              </w:rPr>
              <w:t>”</w:t>
            </w:r>
            <w:r>
              <w:rPr>
                <w:rFonts w:hint="default" w:ascii="Times New Roman" w:hAnsi="Times New Roman"/>
                <w:b w:val="0"/>
                <w:bCs/>
                <w:kern w:val="0"/>
                <w:sz w:val="24"/>
              </w:rPr>
              <w:t>中的相关要求</w:t>
            </w:r>
            <w:r>
              <w:rPr>
                <w:rFonts w:hint="eastAsia" w:ascii="Times New Roman" w:hAnsi="Times New Roman"/>
                <w:b w:val="0"/>
                <w:bCs/>
                <w:kern w:val="0"/>
                <w:sz w:val="24"/>
                <w:lang w:eastAsia="zh-CN"/>
              </w:rPr>
              <w:t>：</w:t>
            </w:r>
            <w:r>
              <w:rPr>
                <w:rFonts w:hint="default" w:ascii="Times New Roman" w:hAnsi="Times New Roman"/>
                <w:b w:val="0"/>
                <w:bCs/>
                <w:kern w:val="0"/>
                <w:sz w:val="24"/>
              </w:rPr>
              <w:t>污水处理站排出的废气应进行除臭除味处理，保证污水处理站周边空气中污染物达到</w:t>
            </w:r>
            <w:r>
              <w:rPr>
                <w:rFonts w:hint="eastAsia"/>
                <w:b w:val="0"/>
                <w:bCs/>
                <w:kern w:val="0"/>
                <w:sz w:val="24"/>
                <w:lang w:eastAsia="zh-CN"/>
              </w:rPr>
              <w:t>《医疗机构水污染物排放标准》（GB18466-2005）（含2026年修改单）</w:t>
            </w:r>
            <w:r>
              <w:rPr>
                <w:rFonts w:hint="default" w:ascii="Times New Roman" w:hAnsi="Times New Roman"/>
                <w:b w:val="0"/>
                <w:bCs/>
                <w:kern w:val="0"/>
                <w:sz w:val="24"/>
              </w:rPr>
              <w:t>表3标准限值</w:t>
            </w:r>
            <w:r>
              <w:rPr>
                <w:rFonts w:hint="eastAsia" w:ascii="Times New Roman" w:hAnsi="Times New Roman"/>
                <w:b w:val="0"/>
                <w:bCs/>
                <w:kern w:val="0"/>
                <w:sz w:val="24"/>
                <w:lang w:eastAsia="zh-CN"/>
              </w:rPr>
              <w:t>（</w:t>
            </w:r>
            <w:r>
              <w:rPr>
                <w:rFonts w:hint="default" w:ascii="Times New Roman" w:hAnsi="Times New Roman"/>
                <w:b w:val="0"/>
                <w:bCs/>
                <w:kern w:val="0"/>
                <w:sz w:val="24"/>
              </w:rPr>
              <w:t>其中NH</w:t>
            </w:r>
            <w:r>
              <w:rPr>
                <w:rFonts w:hint="eastAsia" w:ascii="Times New Roman" w:hAnsi="Times New Roman"/>
                <w:b w:val="0"/>
                <w:bCs/>
                <w:kern w:val="0"/>
                <w:sz w:val="24"/>
                <w:lang w:eastAsia="zh-CN"/>
              </w:rPr>
              <w:t>：</w:t>
            </w:r>
            <w:r>
              <w:rPr>
                <w:rFonts w:hint="default" w:ascii="Times New Roman" w:hAnsi="Times New Roman"/>
                <w:b w:val="0"/>
                <w:bCs/>
                <w:kern w:val="0"/>
                <w:sz w:val="24"/>
              </w:rPr>
              <w:t>1.0mg/m</w:t>
            </w:r>
            <w:r>
              <w:rPr>
                <w:rFonts w:hint="default" w:ascii="Times New Roman" w:hAnsi="Times New Roman"/>
                <w:b w:val="0"/>
                <w:bCs/>
                <w:kern w:val="0"/>
                <w:sz w:val="24"/>
                <w:vertAlign w:val="superscript"/>
              </w:rPr>
              <w:t>3</w:t>
            </w:r>
            <w:r>
              <w:rPr>
                <w:rFonts w:hint="default" w:ascii="Times New Roman" w:hAnsi="Times New Roman"/>
                <w:b w:val="0"/>
                <w:bCs/>
                <w:kern w:val="0"/>
                <w:sz w:val="24"/>
              </w:rPr>
              <w:t>、H</w:t>
            </w:r>
            <w:r>
              <w:rPr>
                <w:rFonts w:hint="eastAsia" w:ascii="Times New Roman" w:hAnsi="Times New Roman"/>
                <w:b w:val="0"/>
                <w:bCs/>
                <w:kern w:val="0"/>
                <w:sz w:val="24"/>
                <w:vertAlign w:val="subscript"/>
                <w:lang w:val="en-US" w:eastAsia="zh-CN"/>
              </w:rPr>
              <w:t>2</w:t>
            </w:r>
            <w:r>
              <w:rPr>
                <w:rFonts w:hint="default" w:ascii="Times New Roman" w:hAnsi="Times New Roman"/>
                <w:b w:val="0"/>
                <w:bCs/>
                <w:kern w:val="0"/>
                <w:sz w:val="24"/>
              </w:rPr>
              <w:t xml:space="preserve">S </w:t>
            </w:r>
            <w:r>
              <w:rPr>
                <w:rFonts w:hint="eastAsia" w:ascii="Times New Roman" w:hAnsi="Times New Roman"/>
                <w:b w:val="0"/>
                <w:bCs/>
                <w:kern w:val="0"/>
                <w:sz w:val="24"/>
                <w:lang w:eastAsia="zh-CN"/>
              </w:rPr>
              <w:t>：</w:t>
            </w:r>
            <w:r>
              <w:rPr>
                <w:rFonts w:hint="default" w:ascii="Times New Roman" w:hAnsi="Times New Roman"/>
                <w:b w:val="0"/>
                <w:bCs/>
                <w:kern w:val="0"/>
                <w:sz w:val="24"/>
              </w:rPr>
              <w:t>0.03mg/m</w:t>
            </w:r>
            <w:r>
              <w:rPr>
                <w:rFonts w:hint="default" w:ascii="Times New Roman" w:hAnsi="Times New Roman"/>
                <w:b w:val="0"/>
                <w:bCs/>
                <w:kern w:val="0"/>
                <w:sz w:val="24"/>
                <w:vertAlign w:val="superscript"/>
              </w:rPr>
              <w:t>3</w:t>
            </w:r>
            <w:r>
              <w:rPr>
                <w:rFonts w:hint="eastAsia" w:ascii="Times New Roman" w:hAnsi="Times New Roman"/>
                <w:b w:val="0"/>
                <w:bCs/>
                <w:kern w:val="0"/>
                <w:sz w:val="24"/>
                <w:lang w:eastAsia="zh-CN"/>
              </w:rPr>
              <w:t>）；</w:t>
            </w:r>
            <w:r>
              <w:rPr>
                <w:rFonts w:hint="default" w:ascii="Times New Roman" w:hAnsi="Times New Roman"/>
                <w:b w:val="0"/>
                <w:bCs/>
                <w:kern w:val="0"/>
                <w:sz w:val="24"/>
              </w:rPr>
              <w:t>此外</w:t>
            </w:r>
            <w:r>
              <w:rPr>
                <w:rFonts w:hint="eastAsia" w:ascii="Times New Roman" w:hAnsi="Times New Roman"/>
                <w:b w:val="0"/>
                <w:bCs/>
                <w:kern w:val="0"/>
                <w:sz w:val="24"/>
                <w:lang w:eastAsia="zh-CN"/>
              </w:rPr>
              <w:t>，</w:t>
            </w:r>
            <w:r>
              <w:rPr>
                <w:rFonts w:hint="default" w:ascii="Times New Roman" w:hAnsi="Times New Roman"/>
                <w:b w:val="0"/>
                <w:bCs/>
                <w:kern w:val="0"/>
                <w:sz w:val="24"/>
              </w:rPr>
              <w:t>根据《医院污水处理工程技术规范》</w:t>
            </w:r>
            <w:r>
              <w:rPr>
                <w:rFonts w:hint="eastAsia"/>
                <w:b w:val="0"/>
                <w:bCs/>
                <w:kern w:val="0"/>
                <w:sz w:val="24"/>
                <w:lang w:eastAsia="zh-CN"/>
              </w:rPr>
              <w:t>（</w:t>
            </w:r>
            <w:r>
              <w:rPr>
                <w:rFonts w:hint="default" w:ascii="Times New Roman" w:hAnsi="Times New Roman"/>
                <w:b w:val="0"/>
                <w:bCs/>
                <w:kern w:val="0"/>
                <w:sz w:val="24"/>
              </w:rPr>
              <w:t>HJ2029-2013</w:t>
            </w:r>
            <w:r>
              <w:rPr>
                <w:rFonts w:hint="eastAsia"/>
                <w:b w:val="0"/>
                <w:bCs/>
                <w:kern w:val="0"/>
                <w:sz w:val="24"/>
                <w:lang w:eastAsia="zh-CN"/>
              </w:rPr>
              <w:t>）</w:t>
            </w:r>
            <w:r>
              <w:rPr>
                <w:rFonts w:hint="eastAsia" w:ascii="Times New Roman" w:hAnsi="Times New Roman"/>
                <w:b w:val="0"/>
                <w:bCs/>
                <w:kern w:val="0"/>
                <w:sz w:val="24"/>
                <w:lang w:eastAsia="zh-CN"/>
              </w:rPr>
              <w:t>“</w:t>
            </w:r>
            <w:r>
              <w:rPr>
                <w:rFonts w:hint="default" w:ascii="Times New Roman" w:hAnsi="Times New Roman"/>
                <w:b w:val="0"/>
                <w:bCs/>
                <w:kern w:val="0"/>
                <w:sz w:val="24"/>
              </w:rPr>
              <w:t>5.1.6</w:t>
            </w:r>
            <w:r>
              <w:rPr>
                <w:rFonts w:hint="eastAsia" w:ascii="Times New Roman" w:hAnsi="Times New Roman"/>
                <w:b w:val="0"/>
                <w:bCs/>
                <w:kern w:val="0"/>
                <w:sz w:val="24"/>
                <w:lang w:eastAsia="zh-CN"/>
              </w:rPr>
              <w:t>”</w:t>
            </w:r>
            <w:r>
              <w:rPr>
                <w:rFonts w:hint="default" w:ascii="Times New Roman" w:hAnsi="Times New Roman"/>
                <w:b w:val="0"/>
                <w:bCs/>
                <w:kern w:val="0"/>
                <w:sz w:val="24"/>
              </w:rPr>
              <w:t>中的相关要求</w:t>
            </w:r>
            <w:r>
              <w:rPr>
                <w:rFonts w:hint="eastAsia" w:ascii="Times New Roman" w:hAnsi="Times New Roman"/>
                <w:b w:val="0"/>
                <w:bCs/>
                <w:kern w:val="0"/>
                <w:sz w:val="24"/>
                <w:lang w:eastAsia="zh-CN"/>
              </w:rPr>
              <w:t>：</w:t>
            </w:r>
            <w:r>
              <w:rPr>
                <w:rFonts w:hint="default" w:ascii="Times New Roman" w:hAnsi="Times New Roman"/>
                <w:b w:val="0"/>
                <w:bCs/>
                <w:kern w:val="0"/>
                <w:sz w:val="24"/>
              </w:rPr>
              <w:t>医院污水处理构筑物应采取防腐蚀、防渗漏、防冻等技术措施，各种构筑物应加盖密闭，并设置通气装置。</w:t>
            </w:r>
          </w:p>
          <w:p w14:paraId="668248A5">
            <w:pPr>
              <w:spacing w:line="360" w:lineRule="auto"/>
              <w:ind w:firstLine="480" w:firstLineChars="200"/>
              <w:jc w:val="left"/>
              <w:rPr>
                <w:rFonts w:hint="eastAsia"/>
                <w:sz w:val="24"/>
                <w:lang w:eastAsia="zh-CN"/>
              </w:rPr>
            </w:pPr>
            <w:r>
              <w:rPr>
                <w:rFonts w:hint="default"/>
                <w:sz w:val="24"/>
              </w:rPr>
              <w:t>为</w:t>
            </w:r>
            <w:r>
              <w:rPr>
                <w:rFonts w:hint="eastAsia"/>
                <w:sz w:val="24"/>
                <w:lang w:eastAsia="zh-CN"/>
              </w:rPr>
              <w:t>减少</w:t>
            </w:r>
            <w:r>
              <w:rPr>
                <w:rFonts w:hint="default"/>
                <w:sz w:val="24"/>
              </w:rPr>
              <w:t>医院污水处理站恶臭气体对院区及四周环境的影响，本次工程的污水池采用地埋式，加盖密闭，盖板上预留进、出气口，把可能产生异味气体的环节收集后通过</w:t>
            </w:r>
            <w:r>
              <w:rPr>
                <w:rFonts w:hint="eastAsia"/>
                <w:sz w:val="24"/>
                <w:lang w:eastAsia="zh-CN"/>
              </w:rPr>
              <w:t>“二级</w:t>
            </w:r>
            <w:r>
              <w:rPr>
                <w:rFonts w:hint="default"/>
                <w:sz w:val="24"/>
              </w:rPr>
              <w:t>活性炭吸附</w:t>
            </w:r>
            <w:r>
              <w:rPr>
                <w:rFonts w:hint="eastAsia"/>
                <w:sz w:val="24"/>
                <w:lang w:eastAsia="zh-CN"/>
              </w:rPr>
              <w:t>”</w:t>
            </w:r>
            <w:r>
              <w:rPr>
                <w:rFonts w:hint="default"/>
                <w:sz w:val="24"/>
              </w:rPr>
              <w:t>处理后</w:t>
            </w:r>
            <w:r>
              <w:rPr>
                <w:rFonts w:hint="eastAsia"/>
                <w:sz w:val="24"/>
                <w:lang w:eastAsia="zh-CN"/>
              </w:rPr>
              <w:t>通过</w:t>
            </w:r>
            <w:r>
              <w:rPr>
                <w:rFonts w:hint="eastAsia"/>
                <w:sz w:val="24"/>
                <w:lang w:val="en-US" w:eastAsia="zh-CN"/>
              </w:rPr>
              <w:t>1根15m高排气筒DA001排放</w:t>
            </w:r>
            <w:r>
              <w:rPr>
                <w:rFonts w:hint="default"/>
                <w:sz w:val="24"/>
              </w:rPr>
              <w:t>。臭气集气引风机的总风量取</w:t>
            </w:r>
            <w:r>
              <w:rPr>
                <w:rFonts w:hint="eastAsia"/>
                <w:sz w:val="24"/>
                <w:lang w:val="en-US" w:eastAsia="zh-CN"/>
              </w:rPr>
              <w:t>2</w:t>
            </w:r>
            <w:r>
              <w:rPr>
                <w:rFonts w:hint="default"/>
                <w:sz w:val="24"/>
              </w:rPr>
              <w:t>000m</w:t>
            </w:r>
            <w:r>
              <w:rPr>
                <w:rFonts w:hint="default"/>
                <w:sz w:val="24"/>
                <w:vertAlign w:val="superscript"/>
              </w:rPr>
              <w:t>3</w:t>
            </w:r>
            <w:r>
              <w:rPr>
                <w:rFonts w:hint="default"/>
                <w:sz w:val="24"/>
              </w:rPr>
              <w:t>/h，收集效率按90%, 去除效率按</w:t>
            </w:r>
            <w:r>
              <w:rPr>
                <w:rFonts w:hint="eastAsia"/>
                <w:sz w:val="24"/>
                <w:lang w:val="en-US" w:eastAsia="zh-CN"/>
              </w:rPr>
              <w:t>9</w:t>
            </w:r>
            <w:r>
              <w:rPr>
                <w:rFonts w:hint="default"/>
                <w:sz w:val="24"/>
              </w:rPr>
              <w:t>0%计算</w:t>
            </w:r>
            <w:r>
              <w:rPr>
                <w:rFonts w:hint="eastAsia"/>
                <w:sz w:val="24"/>
                <w:lang w:eastAsia="zh-CN"/>
              </w:rPr>
              <w:t>。</w:t>
            </w:r>
          </w:p>
          <w:p w14:paraId="411CAF00">
            <w:pPr>
              <w:spacing w:line="360" w:lineRule="auto"/>
              <w:ind w:firstLine="480" w:firstLineChars="200"/>
              <w:jc w:val="left"/>
              <w:rPr>
                <w:rFonts w:hint="default"/>
                <w:sz w:val="24"/>
                <w:lang w:val="en-US" w:eastAsia="zh-CN"/>
              </w:rPr>
            </w:pPr>
            <w:r>
              <w:rPr>
                <w:rFonts w:hint="eastAsia"/>
                <w:sz w:val="24"/>
                <w:lang w:val="en-US" w:eastAsia="zh-CN"/>
              </w:rPr>
              <w:t>经计算排气筒DA001有组织氨排放量为0.3208kg/a，有组织硫化氢排放量为0.0124kg/a。无组织氨排放量为0.3564kg/a，无组织硫化氢排放量为0.0138kg/a。</w:t>
            </w:r>
          </w:p>
          <w:p w14:paraId="467A2575">
            <w:pPr>
              <w:pStyle w:val="19"/>
              <w:numPr>
                <w:ilvl w:val="0"/>
                <w:numId w:val="7"/>
              </w:numPr>
              <w:spacing w:line="360" w:lineRule="auto"/>
              <w:rPr>
                <w:rFonts w:hint="eastAsia" w:ascii="Times New Roman" w:hAnsi="Times New Roman"/>
                <w:b w:val="0"/>
                <w:bCs/>
                <w:kern w:val="0"/>
                <w:sz w:val="24"/>
                <w:lang w:eastAsia="zh-CN"/>
              </w:rPr>
            </w:pPr>
            <w:r>
              <w:rPr>
                <w:rFonts w:hint="eastAsia" w:ascii="Times New Roman" w:hAnsi="Times New Roman"/>
                <w:b w:val="0"/>
                <w:bCs/>
                <w:kern w:val="0"/>
                <w:sz w:val="24"/>
                <w:lang w:eastAsia="zh-CN"/>
              </w:rPr>
              <w:t>备用柴油发电机组产生的废气</w:t>
            </w:r>
          </w:p>
          <w:p w14:paraId="705BBA1A">
            <w:pPr>
              <w:pStyle w:val="19"/>
              <w:numPr>
                <w:ilvl w:val="0"/>
                <w:numId w:val="0"/>
              </w:numPr>
              <w:spacing w:line="360" w:lineRule="auto"/>
              <w:ind w:firstLine="480" w:firstLineChars="200"/>
              <w:rPr>
                <w:rFonts w:hint="eastAsia" w:ascii="Times New Roman" w:hAnsi="Times New Roman"/>
                <w:b w:val="0"/>
                <w:bCs/>
                <w:kern w:val="0"/>
                <w:sz w:val="24"/>
                <w:lang w:val="en-US" w:eastAsia="zh-CN"/>
              </w:rPr>
            </w:pPr>
            <w:r>
              <w:rPr>
                <w:rFonts w:hint="eastAsia" w:ascii="Times New Roman" w:hAnsi="Times New Roman"/>
                <w:b w:val="0"/>
                <w:bCs/>
                <w:kern w:val="0"/>
                <w:sz w:val="24"/>
                <w:lang w:val="en-US" w:eastAsia="zh-CN"/>
              </w:rPr>
              <w:t>本项目设常用功率500kW柴发机组1套，应急柴油发电机仅在停电等应急情</w:t>
            </w:r>
            <w:r>
              <w:rPr>
                <w:rFonts w:hint="eastAsia" w:ascii="Times New Roman" w:hAnsi="Times New Roman"/>
                <w:b w:val="0"/>
                <w:bCs/>
                <w:color w:val="auto"/>
                <w:kern w:val="0"/>
                <w:sz w:val="24"/>
                <w:lang w:val="en-US" w:eastAsia="zh-CN"/>
              </w:rPr>
              <w:t>况下使用，项目所在地供电稳定，正常情况下，不会启动应急柴油发电机。故发电机使用频率非常低，使用时间非常短，故对发电机使用时产生的污染物不做定量分析。柴油发</w:t>
            </w:r>
            <w:r>
              <w:rPr>
                <w:rFonts w:hint="eastAsia" w:ascii="Times New Roman" w:hAnsi="Times New Roman"/>
                <w:b w:val="0"/>
                <w:bCs/>
                <w:kern w:val="0"/>
                <w:sz w:val="24"/>
                <w:lang w:val="en-US" w:eastAsia="zh-CN"/>
              </w:rPr>
              <w:t>电机尾气由专用烟道引至建筑顶部排放，同时加强柴油发电机房机械通风，应急柴油发电机放置在配电房中，远离医院大楼等以减少对周围环境可能产生的影响。</w:t>
            </w:r>
          </w:p>
          <w:p w14:paraId="25B72792">
            <w:pPr>
              <w:pStyle w:val="19"/>
              <w:numPr>
                <w:ilvl w:val="0"/>
                <w:numId w:val="7"/>
              </w:numPr>
              <w:ind w:firstLine="567" w:firstLineChars="0"/>
              <w:rPr>
                <w:rFonts w:hint="eastAsia" w:ascii="Times New Roman" w:hAnsi="Times New Roman"/>
                <w:b w:val="0"/>
                <w:bCs/>
                <w:kern w:val="0"/>
                <w:sz w:val="24"/>
                <w:lang w:val="en-US" w:eastAsia="zh-CN"/>
              </w:rPr>
            </w:pPr>
            <w:r>
              <w:rPr>
                <w:rFonts w:hint="eastAsia" w:ascii="Times New Roman" w:hAnsi="Times New Roman"/>
                <w:b w:val="0"/>
                <w:bCs/>
                <w:kern w:val="0"/>
                <w:sz w:val="24"/>
                <w:lang w:val="en-US" w:eastAsia="zh-CN"/>
              </w:rPr>
              <w:t>检验废气</w:t>
            </w:r>
          </w:p>
          <w:p w14:paraId="253A76E2">
            <w:pPr>
              <w:pStyle w:val="19"/>
              <w:numPr>
                <w:ilvl w:val="0"/>
                <w:numId w:val="0"/>
              </w:numPr>
              <w:spacing w:line="360" w:lineRule="auto"/>
              <w:ind w:firstLine="480" w:firstLineChars="200"/>
              <w:rPr>
                <w:rFonts w:hint="eastAsia" w:ascii="Times New Roman" w:hAnsi="Times New Roman"/>
                <w:b w:val="0"/>
                <w:bCs w:val="0"/>
                <w:kern w:val="0"/>
                <w:sz w:val="24"/>
                <w:lang w:val="en-US" w:eastAsia="zh-CN"/>
              </w:rPr>
            </w:pPr>
            <w:r>
              <w:rPr>
                <w:rFonts w:hint="eastAsia" w:ascii="Times New Roman" w:hAnsi="Times New Roman"/>
                <w:b w:val="0"/>
                <w:bCs w:val="0"/>
                <w:sz w:val="24"/>
                <w:lang w:val="en-US" w:eastAsia="zh-CN"/>
              </w:rPr>
              <w:t>项目检验室检测、配制溶液时将产生极少量的废气，主要为极少量的酸雾及挥发性有机废气，检验室设负压排风系统，保持室内空气清洁。排放的少量废气通过专门的排气管道引至屋顶排放，经高空排放后得到迅速稀释扩散，对外环境影响甚微。</w:t>
            </w:r>
          </w:p>
          <w:p w14:paraId="7FB32878">
            <w:pPr>
              <w:pStyle w:val="7"/>
              <w:ind w:firstLine="482" w:firstLineChars="200"/>
              <w:rPr>
                <w:rFonts w:hint="eastAsia" w:eastAsia="宋体"/>
                <w:b/>
                <w:bCs/>
                <w:sz w:val="24"/>
                <w:szCs w:val="24"/>
                <w:lang w:val="en-US" w:eastAsia="zh-CN"/>
              </w:rPr>
            </w:pPr>
            <w:r>
              <w:rPr>
                <w:rFonts w:hint="eastAsia" w:ascii="Times New Roman"/>
                <w:b/>
                <w:bCs/>
                <w:sz w:val="24"/>
                <w:szCs w:val="24"/>
              </w:rPr>
              <w:t>1.3</w:t>
            </w:r>
            <w:r>
              <w:rPr>
                <w:rFonts w:hint="eastAsia"/>
                <w:b/>
                <w:bCs/>
                <w:sz w:val="24"/>
                <w:szCs w:val="24"/>
                <w:lang w:val="en-US" w:eastAsia="zh-CN"/>
              </w:rPr>
              <w:t>大气环境保护措施及可行性分析</w:t>
            </w:r>
          </w:p>
          <w:p w14:paraId="23F7FB53">
            <w:pPr>
              <w:spacing w:line="360" w:lineRule="auto"/>
              <w:ind w:firstLine="480" w:firstLineChars="200"/>
              <w:jc w:val="left"/>
              <w:rPr>
                <w:rFonts w:hint="eastAsia"/>
                <w:sz w:val="24"/>
              </w:rPr>
            </w:pPr>
            <w:r>
              <w:rPr>
                <w:rFonts w:hint="eastAsia"/>
                <w:sz w:val="24"/>
              </w:rPr>
              <w:t>本项目污水处理站采用整体地下式设计，</w:t>
            </w:r>
            <w:r>
              <w:rPr>
                <w:rFonts w:hint="default"/>
                <w:sz w:val="24"/>
              </w:rPr>
              <w:t>加盖密闭，盖板上预留进、出气口，把可能产生异味气体的环节收集后通过</w:t>
            </w:r>
            <w:r>
              <w:rPr>
                <w:rFonts w:hint="eastAsia"/>
                <w:sz w:val="24"/>
                <w:lang w:eastAsia="zh-CN"/>
              </w:rPr>
              <w:t>“二级</w:t>
            </w:r>
            <w:r>
              <w:rPr>
                <w:rFonts w:hint="default"/>
                <w:sz w:val="24"/>
              </w:rPr>
              <w:t>活性炭吸附</w:t>
            </w:r>
            <w:r>
              <w:rPr>
                <w:rFonts w:hint="eastAsia"/>
                <w:sz w:val="24"/>
                <w:lang w:eastAsia="zh-CN"/>
              </w:rPr>
              <w:t>”</w:t>
            </w:r>
            <w:r>
              <w:rPr>
                <w:rFonts w:hint="default"/>
                <w:sz w:val="24"/>
              </w:rPr>
              <w:t>处理后</w:t>
            </w:r>
            <w:r>
              <w:rPr>
                <w:rFonts w:hint="eastAsia"/>
                <w:sz w:val="24"/>
                <w:lang w:eastAsia="zh-CN"/>
              </w:rPr>
              <w:t>通过</w:t>
            </w:r>
            <w:r>
              <w:rPr>
                <w:rFonts w:hint="eastAsia"/>
                <w:sz w:val="24"/>
                <w:lang w:val="en-US" w:eastAsia="zh-CN"/>
              </w:rPr>
              <w:t>1根15m高排气筒DA001排放</w:t>
            </w:r>
            <w:r>
              <w:rPr>
                <w:rFonts w:hint="default"/>
                <w:sz w:val="24"/>
              </w:rPr>
              <w:t>。</w:t>
            </w:r>
          </w:p>
          <w:p w14:paraId="470CEB43">
            <w:pPr>
              <w:spacing w:line="360" w:lineRule="auto"/>
              <w:ind w:firstLine="480" w:firstLineChars="200"/>
              <w:jc w:val="left"/>
              <w:rPr>
                <w:rFonts w:hint="eastAsia"/>
                <w:sz w:val="24"/>
              </w:rPr>
            </w:pPr>
            <w:r>
              <w:rPr>
                <w:rFonts w:hint="eastAsia"/>
                <w:sz w:val="24"/>
              </w:rPr>
              <w:t>根据《排污许可证申请与核发技术规范  医疗机构》（HJ1105-2020），</w:t>
            </w:r>
            <w:r>
              <w:rPr>
                <w:rFonts w:hint="eastAsia"/>
                <w:sz w:val="24"/>
                <w:lang w:eastAsia="zh-CN"/>
              </w:rPr>
              <w:t>污水站废气</w:t>
            </w:r>
            <w:r>
              <w:rPr>
                <w:rFonts w:cs="Times New Roman"/>
                <w:color w:val="000000"/>
                <w:kern w:val="0"/>
                <w:sz w:val="24"/>
              </w:rPr>
              <w:t>经</w:t>
            </w:r>
            <w:r>
              <w:rPr>
                <w:rFonts w:hint="eastAsia" w:cs="Times New Roman"/>
                <w:color w:val="000000"/>
                <w:kern w:val="0"/>
                <w:sz w:val="24"/>
                <w:lang w:eastAsia="zh-CN"/>
              </w:rPr>
              <w:t>活性炭吸附后</w:t>
            </w:r>
            <w:r>
              <w:rPr>
                <w:rFonts w:cs="Times New Roman"/>
                <w:color w:val="000000"/>
                <w:kern w:val="0"/>
                <w:sz w:val="24"/>
              </w:rPr>
              <w:t>经排气筒排放</w:t>
            </w:r>
            <w:r>
              <w:rPr>
                <w:rFonts w:hint="eastAsia" w:cs="Times New Roman"/>
                <w:color w:val="000000"/>
                <w:kern w:val="0"/>
                <w:sz w:val="24"/>
                <w:lang w:eastAsia="zh-CN"/>
              </w:rPr>
              <w:t>为可行技术</w:t>
            </w:r>
            <w:r>
              <w:rPr>
                <w:rFonts w:cs="Times New Roman"/>
                <w:color w:val="000000"/>
                <w:kern w:val="0"/>
                <w:sz w:val="24"/>
              </w:rPr>
              <w:t>。</w:t>
            </w:r>
          </w:p>
          <w:p w14:paraId="6B5AF89E">
            <w:pPr>
              <w:widowControl w:val="0"/>
              <w:bidi w:val="0"/>
              <w:spacing w:afterLines="0" w:line="360" w:lineRule="auto"/>
              <w:ind w:firstLine="480" w:firstLineChars="200"/>
              <w:jc w:val="both"/>
              <w:rPr>
                <w:rFonts w:ascii="Times New Roman" w:hAnsi="Times New Roman" w:eastAsia="宋体" w:cs="Times New Roman"/>
                <w:bCs/>
                <w:color w:val="000000"/>
                <w:kern w:val="2"/>
                <w:sz w:val="24"/>
                <w:szCs w:val="24"/>
                <w:lang w:val="en-US" w:eastAsia="zh-CN" w:bidi="ar-SA"/>
              </w:rPr>
            </w:pPr>
            <w:r>
              <w:rPr>
                <w:rFonts w:hint="eastAsia" w:ascii="Times New Roman" w:hAnsi="Times New Roman" w:eastAsia="宋体" w:cs="Times New Roman"/>
                <w:color w:val="000000"/>
                <w:kern w:val="2"/>
                <w:sz w:val="24"/>
                <w:szCs w:val="24"/>
                <w:lang w:val="en-US" w:eastAsia="zh-CN" w:bidi="ar-SA"/>
              </w:rPr>
              <w:t>本项目备用柴油发电机在正常情况下不使用，无废气排放。在区域停电时应急使用过程中会有烟气产生，主要污染物为烟粉尘、</w:t>
            </w:r>
            <w:r>
              <w:rPr>
                <w:rFonts w:ascii="Times New Roman" w:hAnsi="Times New Roman" w:eastAsia="宋体" w:cs="Times New Roman"/>
                <w:color w:val="000000"/>
                <w:kern w:val="2"/>
                <w:sz w:val="24"/>
                <w:szCs w:val="24"/>
                <w:lang w:val="en-US" w:eastAsia="zh-CN" w:bidi="ar-SA"/>
              </w:rPr>
              <w:t>NO</w:t>
            </w:r>
            <w:r>
              <w:rPr>
                <w:rFonts w:ascii="Times New Roman" w:hAnsi="Times New Roman" w:eastAsia="宋体" w:cs="Times New Roman"/>
                <w:color w:val="000000"/>
                <w:kern w:val="2"/>
                <w:sz w:val="24"/>
                <w:szCs w:val="24"/>
                <w:vertAlign w:val="subscript"/>
                <w:lang w:val="en-US" w:eastAsia="zh-CN" w:bidi="ar-SA"/>
              </w:rPr>
              <w:t>X</w:t>
            </w:r>
            <w:r>
              <w:rPr>
                <w:rFonts w:ascii="Times New Roman" w:hAnsi="Times New Roman" w:eastAsia="宋体" w:cs="Times New Roman"/>
                <w:color w:val="000000"/>
                <w:kern w:val="2"/>
                <w:sz w:val="24"/>
                <w:szCs w:val="24"/>
                <w:lang w:val="en-US" w:eastAsia="zh-CN" w:bidi="ar-SA"/>
              </w:rPr>
              <w:t>、SO</w:t>
            </w:r>
            <w:r>
              <w:rPr>
                <w:rFonts w:ascii="Times New Roman" w:hAnsi="Times New Roman" w:eastAsia="宋体" w:cs="Times New Roman"/>
                <w:color w:val="000000"/>
                <w:kern w:val="2"/>
                <w:sz w:val="24"/>
                <w:szCs w:val="24"/>
                <w:vertAlign w:val="subscript"/>
                <w:lang w:val="en-US" w:eastAsia="zh-CN" w:bidi="ar-SA"/>
              </w:rPr>
              <w:t>2</w:t>
            </w:r>
            <w:r>
              <w:rPr>
                <w:rFonts w:ascii="Times New Roman" w:hAnsi="Times New Roman" w:eastAsia="宋体" w:cs="Times New Roman"/>
                <w:color w:val="000000"/>
                <w:kern w:val="2"/>
                <w:sz w:val="24"/>
                <w:szCs w:val="24"/>
                <w:lang w:val="en-US" w:eastAsia="zh-CN" w:bidi="ar-SA"/>
              </w:rPr>
              <w:t>等，产生</w:t>
            </w:r>
            <w:r>
              <w:rPr>
                <w:rFonts w:hint="eastAsia" w:ascii="Times New Roman" w:hAnsi="Times New Roman" w:eastAsia="宋体" w:cs="Times New Roman"/>
                <w:color w:val="000000"/>
                <w:kern w:val="2"/>
                <w:sz w:val="24"/>
                <w:szCs w:val="24"/>
                <w:lang w:val="en-US" w:eastAsia="zh-CN" w:bidi="ar-SA"/>
              </w:rPr>
              <w:t>及排放量较小。</w:t>
            </w:r>
            <w:r>
              <w:rPr>
                <w:rFonts w:hint="eastAsia" w:ascii="Times New Roman" w:hAnsi="Times New Roman" w:eastAsia="宋体" w:cs="Times New Roman"/>
                <w:bCs/>
                <w:color w:val="000000"/>
                <w:kern w:val="2"/>
                <w:sz w:val="24"/>
                <w:szCs w:val="24"/>
                <w:lang w:val="en-US" w:eastAsia="zh-CN" w:bidi="ar-SA"/>
              </w:rPr>
              <w:t>柴油发电机尾气</w:t>
            </w:r>
            <w:r>
              <w:rPr>
                <w:rFonts w:ascii="Times New Roman" w:hAnsi="Times New Roman" w:eastAsia="宋体" w:cs="Times New Roman"/>
                <w:bCs/>
                <w:color w:val="000000"/>
                <w:kern w:val="2"/>
                <w:sz w:val="24"/>
                <w:szCs w:val="24"/>
                <w:lang w:val="en-US" w:eastAsia="zh-CN" w:bidi="ar-SA"/>
              </w:rPr>
              <w:t>由专用</w:t>
            </w:r>
            <w:r>
              <w:rPr>
                <w:rFonts w:hint="eastAsia" w:ascii="Times New Roman" w:hAnsi="Times New Roman" w:eastAsia="宋体" w:cs="Times New Roman"/>
                <w:bCs/>
                <w:color w:val="000000"/>
                <w:kern w:val="2"/>
                <w:sz w:val="24"/>
                <w:szCs w:val="24"/>
                <w:lang w:val="en-US" w:eastAsia="zh-CN" w:bidi="ar-SA"/>
              </w:rPr>
              <w:t>烟道引至建筑顶部排放，同时加强柴油发电机房机械通风，对周边环境影响较小。</w:t>
            </w:r>
          </w:p>
          <w:p w14:paraId="17748D45">
            <w:pPr>
              <w:pStyle w:val="19"/>
              <w:ind w:left="567" w:firstLine="0"/>
              <w:rPr>
                <w:rFonts w:hint="eastAsia" w:ascii="Times New Roman"/>
                <w:b/>
                <w:bCs/>
                <w:sz w:val="24"/>
                <w:szCs w:val="24"/>
              </w:rPr>
            </w:pPr>
            <w:r>
              <w:rPr>
                <w:rFonts w:hint="eastAsia" w:ascii="Times New Roman"/>
                <w:b/>
                <w:bCs/>
                <w:sz w:val="24"/>
                <w:szCs w:val="24"/>
              </w:rPr>
              <w:t>1.</w:t>
            </w:r>
            <w:r>
              <w:rPr>
                <w:rFonts w:hint="eastAsia" w:ascii="Times New Roman"/>
                <w:b/>
                <w:bCs/>
                <w:sz w:val="24"/>
                <w:szCs w:val="24"/>
                <w:lang w:val="en-US" w:eastAsia="zh-CN"/>
              </w:rPr>
              <w:t>4</w:t>
            </w:r>
            <w:r>
              <w:rPr>
                <w:rFonts w:hint="eastAsia" w:ascii="Times New Roman"/>
                <w:b/>
                <w:bCs/>
                <w:sz w:val="24"/>
                <w:szCs w:val="24"/>
              </w:rPr>
              <w:t>废气非正常工况分析</w:t>
            </w:r>
          </w:p>
          <w:p w14:paraId="5E1B00E6">
            <w:pPr>
              <w:pStyle w:val="19"/>
              <w:spacing w:line="360" w:lineRule="auto"/>
              <w:ind w:firstLine="480" w:firstLineChars="200"/>
              <w:rPr>
                <w:rFonts w:ascii="Times New Roman"/>
                <w:sz w:val="24"/>
                <w:szCs w:val="24"/>
              </w:rPr>
            </w:pPr>
            <w:r>
              <w:rPr>
                <w:rFonts w:ascii="Times New Roman"/>
                <w:sz w:val="24"/>
                <w:szCs w:val="24"/>
              </w:rPr>
              <w:t>废气非正常工况排放是指生产车间废气治理措施运行出现事故，达不到设计要求时的处理效率。拟建项目可能发生废气事故排放的环节主要考虑为废气处理设施失效。本次评价对在事故状态下排放的</w:t>
            </w:r>
            <w:r>
              <w:rPr>
                <w:rFonts w:hint="eastAsia" w:ascii="Times New Roman"/>
                <w:sz w:val="24"/>
                <w:szCs w:val="24"/>
              </w:rPr>
              <w:t>废气</w:t>
            </w:r>
            <w:r>
              <w:rPr>
                <w:rFonts w:ascii="Times New Roman"/>
                <w:sz w:val="24"/>
                <w:szCs w:val="24"/>
              </w:rPr>
              <w:t>浓度进行情景假设。本项目非正常工况排放考虑最不利情况，</w:t>
            </w:r>
            <w:r>
              <w:rPr>
                <w:rFonts w:hint="eastAsia" w:ascii="Times New Roman"/>
                <w:sz w:val="24"/>
                <w:szCs w:val="24"/>
              </w:rPr>
              <w:t>即</w:t>
            </w:r>
            <w:r>
              <w:rPr>
                <w:rFonts w:ascii="Times New Roman"/>
                <w:sz w:val="24"/>
                <w:szCs w:val="24"/>
              </w:rPr>
              <w:t>项目所有废气处理净化效率为0%。项目非正常工况下污染物排放量见下表。</w:t>
            </w:r>
          </w:p>
          <w:p w14:paraId="18BC63B0">
            <w:pPr>
              <w:pStyle w:val="19"/>
              <w:spacing w:line="240" w:lineRule="auto"/>
              <w:ind w:firstLine="0"/>
              <w:jc w:val="center"/>
              <w:rPr>
                <w:rFonts w:hint="eastAsia" w:ascii="Times New Roman"/>
                <w:b/>
                <w:bCs/>
                <w:sz w:val="21"/>
                <w:szCs w:val="21"/>
              </w:rPr>
            </w:pPr>
            <w:r>
              <w:rPr>
                <w:rFonts w:hint="eastAsia" w:ascii="Times New Roman"/>
                <w:b/>
                <w:bCs/>
                <w:sz w:val="21"/>
                <w:szCs w:val="21"/>
              </w:rPr>
              <w:t>表4-</w:t>
            </w:r>
            <w:r>
              <w:rPr>
                <w:rFonts w:hint="eastAsia" w:ascii="Times New Roman"/>
                <w:b/>
                <w:bCs/>
                <w:sz w:val="21"/>
                <w:szCs w:val="21"/>
                <w:lang w:val="en-US" w:eastAsia="zh-CN"/>
              </w:rPr>
              <w:t>2</w:t>
            </w:r>
            <w:r>
              <w:rPr>
                <w:rFonts w:hint="eastAsia" w:ascii="Times New Roman"/>
                <w:b/>
                <w:bCs/>
                <w:sz w:val="21"/>
                <w:szCs w:val="21"/>
              </w:rPr>
              <w:t xml:space="preserve">  非正常排放情况各排气筒排放情况</w:t>
            </w:r>
          </w:p>
          <w:tbl>
            <w:tblPr>
              <w:tblStyle w:val="14"/>
              <w:tblW w:w="4995"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73"/>
              <w:gridCol w:w="1357"/>
              <w:gridCol w:w="1203"/>
              <w:gridCol w:w="1166"/>
              <w:gridCol w:w="1166"/>
              <w:gridCol w:w="1166"/>
              <w:gridCol w:w="1167"/>
            </w:tblGrid>
            <w:tr w14:paraId="28B78F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593" w:type="pct"/>
                  <w:noWrap w:val="0"/>
                  <w:vAlign w:val="center"/>
                </w:tcPr>
                <w:p w14:paraId="29751314">
                  <w:pPr>
                    <w:pStyle w:val="19"/>
                    <w:spacing w:line="240" w:lineRule="auto"/>
                    <w:ind w:firstLine="0"/>
                    <w:jc w:val="center"/>
                    <w:rPr>
                      <w:rFonts w:ascii="Times New Roman"/>
                      <w:sz w:val="21"/>
                      <w:szCs w:val="21"/>
                    </w:rPr>
                  </w:pPr>
                  <w:r>
                    <w:rPr>
                      <w:rFonts w:hint="eastAsia" w:ascii="Times New Roman"/>
                      <w:sz w:val="21"/>
                      <w:szCs w:val="21"/>
                    </w:rPr>
                    <w:t>排放口编号</w:t>
                  </w:r>
                </w:p>
              </w:tc>
              <w:tc>
                <w:tcPr>
                  <w:tcW w:w="827" w:type="pct"/>
                  <w:noWrap w:val="0"/>
                  <w:vAlign w:val="center"/>
                </w:tcPr>
                <w:p w14:paraId="49AEFD9C">
                  <w:pPr>
                    <w:pStyle w:val="19"/>
                    <w:spacing w:line="240" w:lineRule="auto"/>
                    <w:ind w:firstLine="0"/>
                    <w:jc w:val="center"/>
                    <w:rPr>
                      <w:rFonts w:ascii="Times New Roman"/>
                      <w:sz w:val="21"/>
                      <w:szCs w:val="21"/>
                    </w:rPr>
                  </w:pPr>
                  <w:r>
                    <w:rPr>
                      <w:rFonts w:hint="eastAsia" w:ascii="Times New Roman"/>
                      <w:sz w:val="21"/>
                      <w:szCs w:val="21"/>
                    </w:rPr>
                    <w:t>污染物</w:t>
                  </w:r>
                </w:p>
              </w:tc>
              <w:tc>
                <w:tcPr>
                  <w:tcW w:w="733" w:type="pct"/>
                  <w:noWrap w:val="0"/>
                  <w:vAlign w:val="center"/>
                </w:tcPr>
                <w:p w14:paraId="274F13F5">
                  <w:pPr>
                    <w:pStyle w:val="19"/>
                    <w:spacing w:line="240" w:lineRule="auto"/>
                    <w:ind w:firstLine="0"/>
                    <w:jc w:val="center"/>
                    <w:rPr>
                      <w:rFonts w:ascii="Times New Roman"/>
                      <w:sz w:val="21"/>
                      <w:szCs w:val="21"/>
                    </w:rPr>
                  </w:pPr>
                  <w:r>
                    <w:rPr>
                      <w:rFonts w:hint="eastAsia" w:ascii="Times New Roman"/>
                      <w:sz w:val="21"/>
                      <w:szCs w:val="21"/>
                    </w:rPr>
                    <w:t>排放浓度（mg/m</w:t>
                  </w:r>
                  <w:r>
                    <w:rPr>
                      <w:rFonts w:hint="eastAsia" w:ascii="Times New Roman"/>
                      <w:sz w:val="21"/>
                      <w:szCs w:val="21"/>
                      <w:vertAlign w:val="superscript"/>
                    </w:rPr>
                    <w:t>3</w:t>
                  </w:r>
                  <w:r>
                    <w:rPr>
                      <w:rFonts w:hint="eastAsia" w:ascii="Times New Roman"/>
                      <w:sz w:val="21"/>
                      <w:szCs w:val="21"/>
                    </w:rPr>
                    <w:t>）</w:t>
                  </w:r>
                </w:p>
              </w:tc>
              <w:tc>
                <w:tcPr>
                  <w:tcW w:w="711" w:type="pct"/>
                  <w:noWrap w:val="0"/>
                  <w:vAlign w:val="center"/>
                </w:tcPr>
                <w:p w14:paraId="407DD0AC">
                  <w:pPr>
                    <w:pStyle w:val="19"/>
                    <w:spacing w:line="240" w:lineRule="auto"/>
                    <w:ind w:firstLine="0"/>
                    <w:jc w:val="center"/>
                    <w:rPr>
                      <w:rFonts w:ascii="Times New Roman"/>
                      <w:sz w:val="21"/>
                      <w:szCs w:val="21"/>
                    </w:rPr>
                  </w:pPr>
                  <w:r>
                    <w:rPr>
                      <w:rFonts w:hint="eastAsia" w:ascii="Times New Roman"/>
                      <w:sz w:val="21"/>
                      <w:szCs w:val="21"/>
                    </w:rPr>
                    <w:t>排放速率（kg/h）</w:t>
                  </w:r>
                </w:p>
              </w:tc>
              <w:tc>
                <w:tcPr>
                  <w:tcW w:w="711" w:type="pct"/>
                  <w:noWrap w:val="0"/>
                  <w:vAlign w:val="center"/>
                </w:tcPr>
                <w:p w14:paraId="26EDDA7D">
                  <w:pPr>
                    <w:pStyle w:val="19"/>
                    <w:spacing w:line="240" w:lineRule="auto"/>
                    <w:ind w:firstLine="0"/>
                    <w:jc w:val="center"/>
                    <w:rPr>
                      <w:rFonts w:ascii="Times New Roman"/>
                      <w:sz w:val="21"/>
                      <w:szCs w:val="21"/>
                    </w:rPr>
                  </w:pPr>
                  <w:r>
                    <w:rPr>
                      <w:rFonts w:hint="eastAsia" w:ascii="Times New Roman"/>
                      <w:sz w:val="21"/>
                      <w:szCs w:val="21"/>
                    </w:rPr>
                    <w:t>持续时间</w:t>
                  </w:r>
                </w:p>
              </w:tc>
              <w:tc>
                <w:tcPr>
                  <w:tcW w:w="711" w:type="pct"/>
                  <w:noWrap w:val="0"/>
                  <w:vAlign w:val="center"/>
                </w:tcPr>
                <w:p w14:paraId="6EB1A3BC">
                  <w:pPr>
                    <w:pStyle w:val="19"/>
                    <w:spacing w:line="240" w:lineRule="auto"/>
                    <w:ind w:firstLine="0"/>
                    <w:jc w:val="center"/>
                    <w:rPr>
                      <w:rFonts w:ascii="Times New Roman"/>
                      <w:sz w:val="21"/>
                      <w:szCs w:val="21"/>
                    </w:rPr>
                  </w:pPr>
                  <w:r>
                    <w:rPr>
                      <w:rFonts w:hint="eastAsia" w:ascii="Times New Roman"/>
                      <w:sz w:val="21"/>
                      <w:szCs w:val="21"/>
                    </w:rPr>
                    <w:t>频次</w:t>
                  </w:r>
                </w:p>
              </w:tc>
              <w:tc>
                <w:tcPr>
                  <w:tcW w:w="711" w:type="pct"/>
                  <w:noWrap w:val="0"/>
                  <w:vAlign w:val="center"/>
                </w:tcPr>
                <w:p w14:paraId="01E0C7B4">
                  <w:pPr>
                    <w:pStyle w:val="19"/>
                    <w:spacing w:line="240" w:lineRule="auto"/>
                    <w:ind w:firstLine="0"/>
                    <w:jc w:val="center"/>
                    <w:rPr>
                      <w:rFonts w:ascii="Times New Roman"/>
                      <w:sz w:val="21"/>
                      <w:szCs w:val="21"/>
                    </w:rPr>
                  </w:pPr>
                  <w:r>
                    <w:rPr>
                      <w:rFonts w:hint="eastAsia" w:ascii="Times New Roman"/>
                      <w:sz w:val="21"/>
                      <w:szCs w:val="21"/>
                    </w:rPr>
                    <w:t>排放量（kg）</w:t>
                  </w:r>
                </w:p>
              </w:tc>
            </w:tr>
            <w:tr w14:paraId="0984DB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 w:hRule="atLeast"/>
              </w:trPr>
              <w:tc>
                <w:tcPr>
                  <w:tcW w:w="593" w:type="pct"/>
                  <w:vMerge w:val="restart"/>
                  <w:noWrap w:val="0"/>
                  <w:vAlign w:val="center"/>
                </w:tcPr>
                <w:p w14:paraId="764F51E5">
                  <w:pPr>
                    <w:pStyle w:val="19"/>
                    <w:spacing w:line="240" w:lineRule="auto"/>
                    <w:ind w:firstLine="0"/>
                    <w:jc w:val="center"/>
                    <w:rPr>
                      <w:rFonts w:hint="eastAsia" w:ascii="Times New Roman" w:eastAsia="宋体"/>
                      <w:sz w:val="21"/>
                      <w:szCs w:val="21"/>
                      <w:lang w:eastAsia="zh-CN"/>
                    </w:rPr>
                  </w:pPr>
                  <w:r>
                    <w:rPr>
                      <w:rFonts w:hint="eastAsia" w:ascii="Times New Roman"/>
                      <w:sz w:val="21"/>
                      <w:szCs w:val="21"/>
                    </w:rPr>
                    <w:t>DA00</w:t>
                  </w:r>
                  <w:r>
                    <w:rPr>
                      <w:rFonts w:hint="eastAsia" w:ascii="Times New Roman"/>
                      <w:sz w:val="21"/>
                      <w:szCs w:val="21"/>
                      <w:lang w:val="en-US" w:eastAsia="zh-CN"/>
                    </w:rPr>
                    <w:t>1</w:t>
                  </w:r>
                </w:p>
              </w:tc>
              <w:tc>
                <w:tcPr>
                  <w:tcW w:w="1357" w:type="dxa"/>
                  <w:noWrap w:val="0"/>
                  <w:vAlign w:val="center"/>
                </w:tcPr>
                <w:p w14:paraId="2AF870CA">
                  <w:pPr>
                    <w:pStyle w:val="5"/>
                    <w:ind w:left="0" w:leftChars="0" w:firstLine="0" w:firstLineChars="0"/>
                    <w:jc w:val="center"/>
                    <w:rPr>
                      <w:rFonts w:ascii="Times New Roman"/>
                      <w:sz w:val="21"/>
                      <w:szCs w:val="21"/>
                    </w:rPr>
                  </w:pPr>
                  <w:r>
                    <w:rPr>
                      <w:rFonts w:hint="eastAsia"/>
                      <w:szCs w:val="21"/>
                      <w:lang w:eastAsia="zh-CN"/>
                    </w:rPr>
                    <w:t>氨</w:t>
                  </w:r>
                </w:p>
              </w:tc>
              <w:tc>
                <w:tcPr>
                  <w:tcW w:w="1203" w:type="dxa"/>
                  <w:noWrap w:val="0"/>
                  <w:vAlign w:val="center"/>
                </w:tcPr>
                <w:p w14:paraId="7DDEC621">
                  <w:pPr>
                    <w:jc w:val="center"/>
                    <w:rPr>
                      <w:rFonts w:hint="default" w:ascii="Times New Roman" w:eastAsia="宋体"/>
                      <w:sz w:val="21"/>
                      <w:szCs w:val="21"/>
                      <w:lang w:val="en-US" w:eastAsia="zh-CN"/>
                    </w:rPr>
                  </w:pPr>
                  <w:r>
                    <w:rPr>
                      <w:rFonts w:hint="eastAsia"/>
                      <w:szCs w:val="21"/>
                      <w:lang w:val="en-US" w:eastAsia="zh-CN"/>
                    </w:rPr>
                    <w:t>0.1831</w:t>
                  </w:r>
                </w:p>
              </w:tc>
              <w:tc>
                <w:tcPr>
                  <w:tcW w:w="1166" w:type="dxa"/>
                  <w:noWrap w:val="0"/>
                  <w:vAlign w:val="center"/>
                </w:tcPr>
                <w:p w14:paraId="0A77405F">
                  <w:pPr>
                    <w:jc w:val="center"/>
                    <w:rPr>
                      <w:rFonts w:hint="default" w:ascii="Times New Roman" w:eastAsia="宋体"/>
                      <w:sz w:val="21"/>
                      <w:szCs w:val="21"/>
                      <w:lang w:val="en-US" w:eastAsia="zh-CN"/>
                    </w:rPr>
                  </w:pPr>
                  <w:r>
                    <w:rPr>
                      <w:rFonts w:hint="eastAsia" w:eastAsia="宋体"/>
                      <w:szCs w:val="21"/>
                      <w:lang w:val="en-US" w:eastAsia="zh-CN"/>
                    </w:rPr>
                    <w:t>0.000</w:t>
                  </w:r>
                  <w:r>
                    <w:rPr>
                      <w:rFonts w:hint="eastAsia"/>
                      <w:szCs w:val="21"/>
                      <w:lang w:val="en-US" w:eastAsia="zh-CN"/>
                    </w:rPr>
                    <w:t>4</w:t>
                  </w:r>
                </w:p>
              </w:tc>
              <w:tc>
                <w:tcPr>
                  <w:tcW w:w="711" w:type="pct"/>
                  <w:noWrap w:val="0"/>
                  <w:vAlign w:val="center"/>
                </w:tcPr>
                <w:p w14:paraId="5A2AA5FF">
                  <w:pPr>
                    <w:pStyle w:val="19"/>
                    <w:spacing w:line="240" w:lineRule="auto"/>
                    <w:ind w:firstLine="0"/>
                    <w:jc w:val="center"/>
                    <w:rPr>
                      <w:rFonts w:hint="eastAsia" w:ascii="Times New Roman"/>
                      <w:sz w:val="21"/>
                      <w:szCs w:val="21"/>
                    </w:rPr>
                  </w:pPr>
                  <w:r>
                    <w:rPr>
                      <w:rFonts w:hint="eastAsia" w:ascii="Times New Roman"/>
                      <w:sz w:val="21"/>
                      <w:szCs w:val="21"/>
                    </w:rPr>
                    <w:t>1h</w:t>
                  </w:r>
                </w:p>
              </w:tc>
              <w:tc>
                <w:tcPr>
                  <w:tcW w:w="711" w:type="pct"/>
                  <w:noWrap w:val="0"/>
                  <w:vAlign w:val="center"/>
                </w:tcPr>
                <w:p w14:paraId="4E644BC4">
                  <w:pPr>
                    <w:pStyle w:val="19"/>
                    <w:spacing w:line="240" w:lineRule="auto"/>
                    <w:ind w:firstLine="0"/>
                    <w:jc w:val="center"/>
                    <w:rPr>
                      <w:rFonts w:hint="eastAsia" w:ascii="Times New Roman"/>
                      <w:sz w:val="21"/>
                      <w:szCs w:val="21"/>
                    </w:rPr>
                  </w:pPr>
                  <w:r>
                    <w:rPr>
                      <w:rFonts w:hint="eastAsia" w:ascii="Times New Roman"/>
                      <w:sz w:val="21"/>
                      <w:szCs w:val="21"/>
                    </w:rPr>
                    <w:t>1次/年</w:t>
                  </w:r>
                </w:p>
              </w:tc>
              <w:tc>
                <w:tcPr>
                  <w:tcW w:w="1167" w:type="dxa"/>
                  <w:noWrap w:val="0"/>
                  <w:vAlign w:val="center"/>
                </w:tcPr>
                <w:p w14:paraId="3A2D76CD">
                  <w:pPr>
                    <w:jc w:val="center"/>
                    <w:rPr>
                      <w:rFonts w:hint="default" w:ascii="Times New Roman"/>
                      <w:sz w:val="21"/>
                      <w:szCs w:val="21"/>
                      <w:lang w:val="en-US"/>
                    </w:rPr>
                  </w:pPr>
                  <w:r>
                    <w:rPr>
                      <w:rFonts w:hint="eastAsia" w:eastAsia="宋体"/>
                      <w:szCs w:val="21"/>
                      <w:lang w:val="en-US" w:eastAsia="zh-CN"/>
                    </w:rPr>
                    <w:t>0.000</w:t>
                  </w:r>
                  <w:r>
                    <w:rPr>
                      <w:rFonts w:hint="eastAsia"/>
                      <w:szCs w:val="21"/>
                      <w:lang w:val="en-US" w:eastAsia="zh-CN"/>
                    </w:rPr>
                    <w:t>4</w:t>
                  </w:r>
                </w:p>
              </w:tc>
            </w:tr>
            <w:tr w14:paraId="43D5DE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 w:hRule="atLeast"/>
              </w:trPr>
              <w:tc>
                <w:tcPr>
                  <w:tcW w:w="593" w:type="pct"/>
                  <w:vMerge w:val="continue"/>
                  <w:noWrap w:val="0"/>
                  <w:vAlign w:val="center"/>
                </w:tcPr>
                <w:p w14:paraId="03ABEC92">
                  <w:pPr>
                    <w:pStyle w:val="19"/>
                    <w:spacing w:line="240" w:lineRule="auto"/>
                    <w:ind w:firstLine="0"/>
                    <w:jc w:val="center"/>
                    <w:rPr>
                      <w:rFonts w:hint="eastAsia" w:ascii="Times New Roman"/>
                      <w:sz w:val="21"/>
                      <w:szCs w:val="21"/>
                    </w:rPr>
                  </w:pPr>
                </w:p>
              </w:tc>
              <w:tc>
                <w:tcPr>
                  <w:tcW w:w="1357" w:type="dxa"/>
                  <w:noWrap w:val="0"/>
                  <w:vAlign w:val="center"/>
                </w:tcPr>
                <w:p w14:paraId="50543E53">
                  <w:pPr>
                    <w:pStyle w:val="5"/>
                    <w:ind w:left="0" w:leftChars="0" w:firstLine="0" w:firstLineChars="0"/>
                    <w:jc w:val="center"/>
                    <w:rPr>
                      <w:rFonts w:hint="eastAsia" w:ascii="Times New Roman"/>
                      <w:sz w:val="21"/>
                      <w:szCs w:val="21"/>
                    </w:rPr>
                  </w:pPr>
                  <w:r>
                    <w:rPr>
                      <w:rFonts w:hint="eastAsia"/>
                      <w:szCs w:val="21"/>
                      <w:lang w:eastAsia="zh-CN"/>
                    </w:rPr>
                    <w:t>硫化氢</w:t>
                  </w:r>
                </w:p>
              </w:tc>
              <w:tc>
                <w:tcPr>
                  <w:tcW w:w="1203" w:type="dxa"/>
                  <w:noWrap w:val="0"/>
                  <w:vAlign w:val="center"/>
                </w:tcPr>
                <w:p w14:paraId="314C055F">
                  <w:pPr>
                    <w:jc w:val="center"/>
                    <w:rPr>
                      <w:rFonts w:hint="eastAsia" w:ascii="Times New Roman"/>
                      <w:sz w:val="21"/>
                      <w:szCs w:val="21"/>
                      <w:lang w:val="en-US" w:eastAsia="zh-CN"/>
                    </w:rPr>
                  </w:pPr>
                  <w:r>
                    <w:rPr>
                      <w:rFonts w:hint="eastAsia"/>
                      <w:szCs w:val="21"/>
                      <w:lang w:val="en-US" w:eastAsia="zh-CN"/>
                    </w:rPr>
                    <w:t>0.0071</w:t>
                  </w:r>
                </w:p>
              </w:tc>
              <w:tc>
                <w:tcPr>
                  <w:tcW w:w="1166" w:type="dxa"/>
                  <w:noWrap w:val="0"/>
                  <w:vAlign w:val="center"/>
                </w:tcPr>
                <w:p w14:paraId="62C01A1B">
                  <w:pPr>
                    <w:jc w:val="center"/>
                    <w:rPr>
                      <w:rFonts w:hint="eastAsia" w:ascii="Times New Roman"/>
                      <w:sz w:val="21"/>
                      <w:szCs w:val="21"/>
                      <w:lang w:val="en-US" w:eastAsia="zh-CN"/>
                    </w:rPr>
                  </w:pPr>
                  <w:r>
                    <w:rPr>
                      <w:rFonts w:hint="eastAsia"/>
                      <w:szCs w:val="21"/>
                      <w:lang w:val="en-US" w:eastAsia="zh-CN"/>
                    </w:rPr>
                    <w:t>1.4E-05</w:t>
                  </w:r>
                </w:p>
              </w:tc>
              <w:tc>
                <w:tcPr>
                  <w:tcW w:w="1166" w:type="dxa"/>
                  <w:noWrap w:val="0"/>
                  <w:vAlign w:val="center"/>
                </w:tcPr>
                <w:p w14:paraId="713603D6">
                  <w:pPr>
                    <w:pStyle w:val="19"/>
                    <w:spacing w:line="240" w:lineRule="auto"/>
                    <w:ind w:firstLine="0" w:firstLineChars="0"/>
                    <w:jc w:val="center"/>
                    <w:rPr>
                      <w:rFonts w:hint="eastAsia" w:ascii="Times New Roman"/>
                      <w:sz w:val="21"/>
                      <w:szCs w:val="21"/>
                    </w:rPr>
                  </w:pPr>
                  <w:r>
                    <w:rPr>
                      <w:rFonts w:hint="eastAsia" w:ascii="Times New Roman"/>
                      <w:sz w:val="21"/>
                      <w:szCs w:val="21"/>
                    </w:rPr>
                    <w:t>1h</w:t>
                  </w:r>
                </w:p>
              </w:tc>
              <w:tc>
                <w:tcPr>
                  <w:tcW w:w="1166" w:type="dxa"/>
                  <w:noWrap w:val="0"/>
                  <w:vAlign w:val="center"/>
                </w:tcPr>
                <w:p w14:paraId="5F16CC40">
                  <w:pPr>
                    <w:pStyle w:val="19"/>
                    <w:spacing w:line="240" w:lineRule="auto"/>
                    <w:ind w:firstLine="0" w:firstLineChars="0"/>
                    <w:jc w:val="center"/>
                    <w:rPr>
                      <w:rFonts w:hint="eastAsia" w:ascii="Times New Roman"/>
                      <w:sz w:val="21"/>
                      <w:szCs w:val="21"/>
                    </w:rPr>
                  </w:pPr>
                  <w:r>
                    <w:rPr>
                      <w:rFonts w:hint="eastAsia" w:ascii="Times New Roman"/>
                      <w:sz w:val="21"/>
                      <w:szCs w:val="21"/>
                    </w:rPr>
                    <w:t>1次/年</w:t>
                  </w:r>
                </w:p>
              </w:tc>
              <w:tc>
                <w:tcPr>
                  <w:tcW w:w="1167" w:type="dxa"/>
                  <w:noWrap w:val="0"/>
                  <w:vAlign w:val="center"/>
                </w:tcPr>
                <w:p w14:paraId="1BBFE09B">
                  <w:pPr>
                    <w:jc w:val="center"/>
                    <w:rPr>
                      <w:rFonts w:hint="eastAsia" w:ascii="Times New Roman"/>
                      <w:sz w:val="21"/>
                      <w:szCs w:val="21"/>
                      <w:lang w:val="en-US" w:eastAsia="zh-CN"/>
                    </w:rPr>
                  </w:pPr>
                  <w:r>
                    <w:rPr>
                      <w:rFonts w:hint="eastAsia"/>
                      <w:szCs w:val="21"/>
                      <w:lang w:val="en-US" w:eastAsia="zh-CN"/>
                    </w:rPr>
                    <w:t>1.4E-05</w:t>
                  </w:r>
                </w:p>
              </w:tc>
            </w:tr>
          </w:tbl>
          <w:p w14:paraId="4BDB4C83">
            <w:pPr>
              <w:pStyle w:val="19"/>
              <w:spacing w:line="360" w:lineRule="auto"/>
              <w:ind w:firstLine="480" w:firstLineChars="200"/>
              <w:rPr>
                <w:rFonts w:hint="eastAsia" w:ascii="Times New Roman"/>
                <w:b w:val="0"/>
                <w:bCs w:val="0"/>
                <w:sz w:val="24"/>
                <w:szCs w:val="24"/>
              </w:rPr>
            </w:pPr>
            <w:r>
              <w:rPr>
                <w:rFonts w:hint="eastAsia" w:ascii="Times New Roman"/>
                <w:b w:val="0"/>
                <w:bCs w:val="0"/>
                <w:sz w:val="24"/>
                <w:szCs w:val="24"/>
              </w:rPr>
              <w:t>由上表可以看出，非正常情况下主要污染物排放浓度增加，而且随着非正常情况持续时间增加污染物排放量随之增加，对环境的危害和影响增大，因此应采取措施减少非正常工况发生次数。加强管理，采用先进成熟的工艺技术和设备，严格生产控制规程，加强环保设施的维修管理确保有效持续运行，发生环保设施故障时应及时停车、停产，确保生产设施与环保设施同步运行。</w:t>
            </w:r>
          </w:p>
          <w:p w14:paraId="5E3C1D7C">
            <w:pPr>
              <w:pStyle w:val="19"/>
              <w:spacing w:line="360" w:lineRule="auto"/>
              <w:ind w:firstLine="482" w:firstLineChars="200"/>
              <w:rPr>
                <w:rFonts w:ascii="Times New Roman"/>
                <w:b/>
                <w:bCs/>
                <w:sz w:val="24"/>
                <w:szCs w:val="24"/>
              </w:rPr>
            </w:pPr>
            <w:r>
              <w:rPr>
                <w:rFonts w:hint="eastAsia" w:ascii="Times New Roman"/>
                <w:b/>
                <w:bCs/>
                <w:sz w:val="24"/>
                <w:szCs w:val="24"/>
              </w:rPr>
              <w:t>1.</w:t>
            </w:r>
            <w:r>
              <w:rPr>
                <w:rFonts w:hint="eastAsia" w:ascii="Times New Roman"/>
                <w:b/>
                <w:bCs/>
                <w:sz w:val="24"/>
                <w:szCs w:val="24"/>
                <w:lang w:val="en-US" w:eastAsia="zh-CN"/>
              </w:rPr>
              <w:t>5</w:t>
            </w:r>
            <w:r>
              <w:rPr>
                <w:rFonts w:hint="eastAsia" w:ascii="Times New Roman"/>
                <w:b/>
                <w:bCs/>
                <w:sz w:val="24"/>
                <w:szCs w:val="24"/>
              </w:rPr>
              <w:t>监测要求</w:t>
            </w:r>
          </w:p>
          <w:p w14:paraId="4336D93D">
            <w:pPr>
              <w:pStyle w:val="19"/>
              <w:spacing w:line="360" w:lineRule="auto"/>
              <w:ind w:firstLine="480" w:firstLineChars="200"/>
              <w:rPr>
                <w:rFonts w:hint="eastAsia" w:ascii="Times New Roman" w:eastAsia="宋体"/>
                <w:sz w:val="24"/>
                <w:szCs w:val="24"/>
                <w:lang w:eastAsia="zh-CN"/>
              </w:rPr>
            </w:pPr>
            <w:r>
              <w:rPr>
                <w:rFonts w:hint="eastAsia" w:ascii="Times New Roman"/>
                <w:sz w:val="24"/>
                <w:szCs w:val="24"/>
              </w:rPr>
              <w:t>根据《排污单位自行监测指南 总则》</w:t>
            </w:r>
            <w:r>
              <w:rPr>
                <w:rFonts w:hint="eastAsia" w:ascii="Times New Roman"/>
                <w:sz w:val="24"/>
                <w:szCs w:val="24"/>
                <w:lang w:eastAsia="zh-CN"/>
              </w:rPr>
              <w:t>（</w:t>
            </w:r>
            <w:r>
              <w:rPr>
                <w:rFonts w:hint="eastAsia" w:ascii="Times New Roman"/>
                <w:sz w:val="24"/>
                <w:szCs w:val="24"/>
              </w:rPr>
              <w:t>HJ 819-2017</w:t>
            </w:r>
            <w:r>
              <w:rPr>
                <w:rFonts w:hint="eastAsia" w:ascii="Times New Roman"/>
                <w:sz w:val="24"/>
                <w:szCs w:val="24"/>
                <w:lang w:eastAsia="zh-CN"/>
              </w:rPr>
              <w:t>）</w:t>
            </w:r>
            <w:r>
              <w:rPr>
                <w:rFonts w:hint="eastAsia" w:ascii="Times New Roman"/>
                <w:sz w:val="24"/>
                <w:szCs w:val="24"/>
              </w:rPr>
              <w:t>、《排污许可证申请与核发技术规范 医疗机构》</w:t>
            </w:r>
            <w:r>
              <w:rPr>
                <w:rFonts w:hint="eastAsia" w:ascii="Times New Roman"/>
                <w:sz w:val="24"/>
                <w:szCs w:val="24"/>
                <w:lang w:eastAsia="zh-CN"/>
              </w:rPr>
              <w:t>（</w:t>
            </w:r>
            <w:r>
              <w:rPr>
                <w:rFonts w:hint="eastAsia" w:ascii="Times New Roman"/>
                <w:sz w:val="24"/>
                <w:szCs w:val="24"/>
              </w:rPr>
              <w:t>HJ 1105-2020</w:t>
            </w:r>
            <w:r>
              <w:rPr>
                <w:rFonts w:hint="eastAsia" w:ascii="Times New Roman"/>
                <w:sz w:val="24"/>
                <w:szCs w:val="24"/>
                <w:lang w:eastAsia="zh-CN"/>
              </w:rPr>
              <w:t>），本项目自行监测计划如下表：</w:t>
            </w:r>
          </w:p>
          <w:p w14:paraId="2A860536">
            <w:pPr>
              <w:pStyle w:val="19"/>
              <w:spacing w:line="240" w:lineRule="auto"/>
              <w:ind w:firstLine="422" w:firstLineChars="200"/>
              <w:jc w:val="center"/>
              <w:rPr>
                <w:rFonts w:hint="eastAsia" w:ascii="Times New Roman"/>
                <w:b/>
                <w:bCs/>
                <w:sz w:val="21"/>
                <w:szCs w:val="21"/>
              </w:rPr>
            </w:pPr>
            <w:r>
              <w:rPr>
                <w:rFonts w:hint="eastAsia" w:ascii="Times New Roman"/>
                <w:b/>
                <w:bCs/>
                <w:sz w:val="21"/>
                <w:szCs w:val="21"/>
              </w:rPr>
              <w:t>表 4-</w:t>
            </w:r>
            <w:r>
              <w:rPr>
                <w:rFonts w:hint="eastAsia" w:ascii="Times New Roman"/>
                <w:b/>
                <w:bCs/>
                <w:sz w:val="21"/>
                <w:szCs w:val="21"/>
                <w:lang w:val="en-US" w:eastAsia="zh-CN"/>
              </w:rPr>
              <w:t>3</w:t>
            </w:r>
            <w:r>
              <w:rPr>
                <w:rFonts w:hint="eastAsia" w:ascii="Times New Roman"/>
                <w:b/>
                <w:bCs/>
                <w:sz w:val="21"/>
                <w:szCs w:val="21"/>
              </w:rPr>
              <w:t xml:space="preserve"> 本项目废气污染物监测一览表</w:t>
            </w:r>
          </w:p>
          <w:tbl>
            <w:tblPr>
              <w:tblStyle w:val="14"/>
              <w:tblW w:w="499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91"/>
              <w:gridCol w:w="1147"/>
              <w:gridCol w:w="4480"/>
              <w:gridCol w:w="1480"/>
            </w:tblGrid>
            <w:tr w14:paraId="34B398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5" w:type="pct"/>
                  <w:noWrap w:val="0"/>
                  <w:vAlign w:val="center"/>
                </w:tcPr>
                <w:p w14:paraId="21883152">
                  <w:pPr>
                    <w:pStyle w:val="19"/>
                    <w:spacing w:line="240" w:lineRule="auto"/>
                    <w:ind w:firstLine="0"/>
                    <w:jc w:val="center"/>
                    <w:rPr>
                      <w:rFonts w:hint="eastAsia" w:ascii="Times New Roman"/>
                      <w:sz w:val="21"/>
                      <w:szCs w:val="21"/>
                    </w:rPr>
                  </w:pPr>
                  <w:r>
                    <w:rPr>
                      <w:rFonts w:hint="eastAsia" w:ascii="Times New Roman"/>
                      <w:sz w:val="21"/>
                      <w:szCs w:val="21"/>
                    </w:rPr>
                    <w:t>项目</w:t>
                  </w:r>
                </w:p>
              </w:tc>
              <w:tc>
                <w:tcPr>
                  <w:tcW w:w="699" w:type="pct"/>
                  <w:noWrap w:val="0"/>
                  <w:vAlign w:val="center"/>
                </w:tcPr>
                <w:p w14:paraId="4EA02477">
                  <w:pPr>
                    <w:pStyle w:val="19"/>
                    <w:spacing w:line="240" w:lineRule="auto"/>
                    <w:ind w:firstLine="0"/>
                    <w:jc w:val="center"/>
                    <w:rPr>
                      <w:rFonts w:hint="eastAsia" w:ascii="Times New Roman"/>
                      <w:sz w:val="21"/>
                      <w:szCs w:val="21"/>
                    </w:rPr>
                  </w:pPr>
                  <w:r>
                    <w:rPr>
                      <w:rFonts w:hint="eastAsia" w:ascii="Times New Roman"/>
                      <w:sz w:val="21"/>
                      <w:szCs w:val="21"/>
                    </w:rPr>
                    <w:t>监测点位</w:t>
                  </w:r>
                </w:p>
              </w:tc>
              <w:tc>
                <w:tcPr>
                  <w:tcW w:w="2732" w:type="pct"/>
                  <w:noWrap w:val="0"/>
                  <w:vAlign w:val="center"/>
                </w:tcPr>
                <w:p w14:paraId="453CC392">
                  <w:pPr>
                    <w:pStyle w:val="19"/>
                    <w:spacing w:line="240" w:lineRule="auto"/>
                    <w:ind w:firstLine="0"/>
                    <w:jc w:val="center"/>
                    <w:rPr>
                      <w:rFonts w:hint="eastAsia" w:ascii="Times New Roman"/>
                      <w:sz w:val="21"/>
                      <w:szCs w:val="21"/>
                    </w:rPr>
                  </w:pPr>
                  <w:r>
                    <w:rPr>
                      <w:rFonts w:hint="eastAsia" w:ascii="Times New Roman"/>
                      <w:sz w:val="21"/>
                      <w:szCs w:val="21"/>
                    </w:rPr>
                    <w:t>监测内容</w:t>
                  </w:r>
                </w:p>
              </w:tc>
              <w:tc>
                <w:tcPr>
                  <w:tcW w:w="902" w:type="pct"/>
                  <w:noWrap w:val="0"/>
                  <w:vAlign w:val="center"/>
                </w:tcPr>
                <w:p w14:paraId="790E900C">
                  <w:pPr>
                    <w:pStyle w:val="19"/>
                    <w:spacing w:line="240" w:lineRule="auto"/>
                    <w:ind w:firstLine="0"/>
                    <w:jc w:val="center"/>
                    <w:rPr>
                      <w:rFonts w:hint="eastAsia" w:ascii="Times New Roman"/>
                      <w:sz w:val="21"/>
                      <w:szCs w:val="21"/>
                    </w:rPr>
                  </w:pPr>
                  <w:r>
                    <w:rPr>
                      <w:rFonts w:hint="eastAsia" w:ascii="Times New Roman"/>
                      <w:sz w:val="21"/>
                      <w:szCs w:val="21"/>
                    </w:rPr>
                    <w:t>监测频率</w:t>
                  </w:r>
                </w:p>
              </w:tc>
            </w:tr>
            <w:tr w14:paraId="5E32CF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5" w:type="pct"/>
                  <w:vMerge w:val="restart"/>
                  <w:noWrap w:val="0"/>
                  <w:vAlign w:val="center"/>
                </w:tcPr>
                <w:p w14:paraId="19BA1739">
                  <w:pPr>
                    <w:pStyle w:val="19"/>
                    <w:spacing w:line="240" w:lineRule="auto"/>
                    <w:ind w:firstLine="0"/>
                    <w:jc w:val="center"/>
                    <w:rPr>
                      <w:rFonts w:hint="eastAsia" w:ascii="Times New Roman" w:eastAsia="宋体"/>
                      <w:sz w:val="21"/>
                      <w:szCs w:val="21"/>
                      <w:lang w:eastAsia="zh-CN"/>
                    </w:rPr>
                  </w:pPr>
                  <w:r>
                    <w:rPr>
                      <w:rFonts w:hint="eastAsia" w:ascii="Times New Roman"/>
                      <w:sz w:val="21"/>
                      <w:szCs w:val="21"/>
                      <w:lang w:eastAsia="zh-CN"/>
                    </w:rPr>
                    <w:t>废气</w:t>
                  </w:r>
                </w:p>
              </w:tc>
              <w:tc>
                <w:tcPr>
                  <w:tcW w:w="699" w:type="pct"/>
                  <w:noWrap w:val="0"/>
                  <w:vAlign w:val="center"/>
                </w:tcPr>
                <w:p w14:paraId="5DA37630">
                  <w:pPr>
                    <w:pStyle w:val="19"/>
                    <w:spacing w:line="240" w:lineRule="auto"/>
                    <w:ind w:firstLine="0"/>
                    <w:jc w:val="center"/>
                    <w:rPr>
                      <w:rFonts w:hint="eastAsia" w:ascii="Times New Roman" w:eastAsia="宋体"/>
                      <w:sz w:val="21"/>
                      <w:szCs w:val="21"/>
                      <w:lang w:eastAsia="zh-CN"/>
                    </w:rPr>
                  </w:pPr>
                  <w:r>
                    <w:rPr>
                      <w:rFonts w:hint="eastAsia" w:ascii="Times New Roman"/>
                      <w:sz w:val="21"/>
                      <w:szCs w:val="21"/>
                      <w:lang w:eastAsia="zh-CN"/>
                    </w:rPr>
                    <w:t>污水处理设施周界</w:t>
                  </w:r>
                </w:p>
              </w:tc>
              <w:tc>
                <w:tcPr>
                  <w:tcW w:w="2732" w:type="pct"/>
                  <w:noWrap w:val="0"/>
                  <w:vAlign w:val="center"/>
                </w:tcPr>
                <w:p w14:paraId="56629C1E">
                  <w:pPr>
                    <w:pStyle w:val="19"/>
                    <w:spacing w:line="240" w:lineRule="auto"/>
                    <w:ind w:firstLine="0"/>
                    <w:jc w:val="center"/>
                    <w:rPr>
                      <w:rFonts w:hint="eastAsia" w:ascii="Times New Roman" w:eastAsia="宋体"/>
                      <w:sz w:val="21"/>
                      <w:szCs w:val="21"/>
                      <w:lang w:eastAsia="zh-CN"/>
                    </w:rPr>
                  </w:pPr>
                  <w:r>
                    <w:rPr>
                      <w:rFonts w:hint="eastAsia" w:ascii="Times New Roman"/>
                      <w:sz w:val="21"/>
                      <w:szCs w:val="21"/>
                      <w:lang w:eastAsia="zh-CN"/>
                    </w:rPr>
                    <w:t>氨、硫化氢、臭气浓度</w:t>
                  </w:r>
                </w:p>
              </w:tc>
              <w:tc>
                <w:tcPr>
                  <w:tcW w:w="902" w:type="pct"/>
                  <w:noWrap w:val="0"/>
                  <w:vAlign w:val="center"/>
                </w:tcPr>
                <w:p w14:paraId="54EBDFD6">
                  <w:pPr>
                    <w:pStyle w:val="19"/>
                    <w:spacing w:line="240" w:lineRule="auto"/>
                    <w:ind w:firstLine="0"/>
                    <w:jc w:val="center"/>
                    <w:rPr>
                      <w:rFonts w:hint="default" w:ascii="Times New Roman" w:eastAsia="宋体"/>
                      <w:sz w:val="21"/>
                      <w:szCs w:val="21"/>
                      <w:lang w:val="en-US" w:eastAsia="zh-CN"/>
                    </w:rPr>
                  </w:pPr>
                  <w:r>
                    <w:rPr>
                      <w:rFonts w:hint="eastAsia" w:ascii="Times New Roman"/>
                      <w:sz w:val="21"/>
                      <w:szCs w:val="21"/>
                      <w:lang w:val="en-US" w:eastAsia="zh-CN"/>
                    </w:rPr>
                    <w:t>1次/季度</w:t>
                  </w:r>
                </w:p>
              </w:tc>
            </w:tr>
            <w:tr w14:paraId="59C0A0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5" w:type="pct"/>
                  <w:vMerge w:val="continue"/>
                  <w:noWrap w:val="0"/>
                  <w:vAlign w:val="center"/>
                </w:tcPr>
                <w:p w14:paraId="0A155961">
                  <w:pPr>
                    <w:pStyle w:val="19"/>
                    <w:spacing w:line="240" w:lineRule="auto"/>
                    <w:ind w:firstLine="0"/>
                    <w:jc w:val="center"/>
                    <w:rPr>
                      <w:rFonts w:hint="eastAsia" w:ascii="Times New Roman"/>
                      <w:sz w:val="21"/>
                      <w:szCs w:val="21"/>
                      <w:lang w:eastAsia="zh-CN"/>
                    </w:rPr>
                  </w:pPr>
                </w:p>
              </w:tc>
              <w:tc>
                <w:tcPr>
                  <w:tcW w:w="699" w:type="pct"/>
                  <w:noWrap w:val="0"/>
                  <w:vAlign w:val="center"/>
                </w:tcPr>
                <w:p w14:paraId="1F8B68C4">
                  <w:pPr>
                    <w:pStyle w:val="19"/>
                    <w:spacing w:line="240" w:lineRule="auto"/>
                    <w:ind w:firstLine="0"/>
                    <w:jc w:val="center"/>
                    <w:rPr>
                      <w:rFonts w:hint="default" w:ascii="Times New Roman"/>
                      <w:sz w:val="21"/>
                      <w:szCs w:val="21"/>
                      <w:lang w:val="en-US" w:eastAsia="zh-CN"/>
                    </w:rPr>
                  </w:pPr>
                  <w:r>
                    <w:rPr>
                      <w:rFonts w:hint="eastAsia" w:ascii="Times New Roman"/>
                      <w:sz w:val="21"/>
                      <w:szCs w:val="21"/>
                      <w:lang w:val="en-US" w:eastAsia="zh-CN"/>
                    </w:rPr>
                    <w:t>DA001</w:t>
                  </w:r>
                </w:p>
              </w:tc>
              <w:tc>
                <w:tcPr>
                  <w:tcW w:w="2732" w:type="pct"/>
                  <w:noWrap w:val="0"/>
                  <w:vAlign w:val="center"/>
                </w:tcPr>
                <w:p w14:paraId="0B485BF5">
                  <w:pPr>
                    <w:pStyle w:val="19"/>
                    <w:spacing w:line="240" w:lineRule="auto"/>
                    <w:ind w:firstLine="0"/>
                    <w:jc w:val="center"/>
                    <w:rPr>
                      <w:rFonts w:hint="eastAsia" w:ascii="Times New Roman"/>
                      <w:sz w:val="21"/>
                      <w:szCs w:val="21"/>
                      <w:lang w:eastAsia="zh-CN"/>
                    </w:rPr>
                  </w:pPr>
                  <w:r>
                    <w:rPr>
                      <w:rFonts w:hint="eastAsia" w:ascii="Times New Roman"/>
                      <w:sz w:val="21"/>
                      <w:szCs w:val="21"/>
                      <w:lang w:eastAsia="zh-CN"/>
                    </w:rPr>
                    <w:t>氨、硫化氢、臭气浓度</w:t>
                  </w:r>
                </w:p>
              </w:tc>
              <w:tc>
                <w:tcPr>
                  <w:tcW w:w="902" w:type="pct"/>
                  <w:noWrap w:val="0"/>
                  <w:vAlign w:val="center"/>
                </w:tcPr>
                <w:p w14:paraId="2E079BC4">
                  <w:pPr>
                    <w:pStyle w:val="19"/>
                    <w:spacing w:line="240" w:lineRule="auto"/>
                    <w:ind w:firstLine="0"/>
                    <w:jc w:val="center"/>
                    <w:rPr>
                      <w:rFonts w:hint="eastAsia" w:ascii="Times New Roman"/>
                      <w:sz w:val="21"/>
                      <w:szCs w:val="21"/>
                      <w:lang w:val="en-US" w:eastAsia="zh-CN"/>
                    </w:rPr>
                  </w:pPr>
                  <w:r>
                    <w:rPr>
                      <w:rFonts w:hint="eastAsia" w:ascii="Times New Roman"/>
                      <w:sz w:val="21"/>
                      <w:szCs w:val="21"/>
                      <w:lang w:val="en-US" w:eastAsia="zh-CN"/>
                    </w:rPr>
                    <w:t>1次/季度</w:t>
                  </w:r>
                </w:p>
              </w:tc>
            </w:tr>
          </w:tbl>
          <w:p w14:paraId="2C125413">
            <w:pPr>
              <w:pStyle w:val="19"/>
              <w:ind w:firstLine="482" w:firstLineChars="200"/>
              <w:jc w:val="left"/>
              <w:rPr>
                <w:rFonts w:ascii="Times New Roman"/>
                <w:b/>
                <w:bCs/>
                <w:sz w:val="24"/>
                <w:szCs w:val="24"/>
              </w:rPr>
            </w:pPr>
            <w:r>
              <w:rPr>
                <w:rFonts w:hint="eastAsia" w:ascii="Times New Roman"/>
                <w:b/>
                <w:bCs/>
                <w:sz w:val="24"/>
                <w:szCs w:val="24"/>
                <w:lang w:eastAsia="zh-CN"/>
              </w:rPr>
              <w:t>2.</w:t>
            </w:r>
            <w:r>
              <w:rPr>
                <w:rFonts w:hint="eastAsia" w:ascii="Times New Roman"/>
                <w:b/>
                <w:bCs/>
                <w:sz w:val="24"/>
                <w:szCs w:val="24"/>
              </w:rPr>
              <w:t>废水</w:t>
            </w:r>
          </w:p>
          <w:p w14:paraId="45F2885D">
            <w:pPr>
              <w:pStyle w:val="19"/>
              <w:ind w:left="420" w:leftChars="200" w:firstLine="0"/>
              <w:jc w:val="left"/>
            </w:pPr>
            <w:r>
              <w:rPr>
                <w:rFonts w:hint="eastAsia" w:ascii="Times New Roman"/>
                <w:b/>
                <w:bCs/>
                <w:sz w:val="24"/>
                <w:szCs w:val="24"/>
              </w:rPr>
              <w:t>2.1废水产排放及治理措施</w:t>
            </w:r>
          </w:p>
          <w:p w14:paraId="33E290CA">
            <w:pPr>
              <w:pStyle w:val="19"/>
              <w:spacing w:line="360" w:lineRule="auto"/>
              <w:ind w:firstLine="480" w:firstLineChars="200"/>
              <w:rPr>
                <w:rFonts w:ascii="Times New Roman"/>
                <w:color w:val="auto"/>
                <w:sz w:val="24"/>
                <w:szCs w:val="24"/>
                <w:highlight w:val="none"/>
              </w:rPr>
            </w:pPr>
            <w:r>
              <w:rPr>
                <w:rFonts w:hint="eastAsia" w:ascii="Times New Roman"/>
                <w:sz w:val="24"/>
                <w:szCs w:val="24"/>
              </w:rPr>
              <w:t>运营期产生的废水主要为员工的生活污水</w:t>
            </w:r>
            <w:r>
              <w:rPr>
                <w:rFonts w:hint="eastAsia" w:ascii="Times New Roman"/>
                <w:sz w:val="24"/>
                <w:szCs w:val="24"/>
                <w:lang w:eastAsia="zh-CN"/>
              </w:rPr>
              <w:t>，</w:t>
            </w:r>
            <w:r>
              <w:rPr>
                <w:rFonts w:hint="eastAsia" w:ascii="Times New Roman"/>
                <w:sz w:val="24"/>
                <w:szCs w:val="24"/>
                <w:lang w:val="en-US" w:eastAsia="zh-CN"/>
              </w:rPr>
              <w:t>普通</w:t>
            </w:r>
            <w:r>
              <w:rPr>
                <w:rFonts w:hint="eastAsia" w:ascii="Times New Roman"/>
                <w:sz w:val="24"/>
                <w:szCs w:val="24"/>
                <w:lang w:eastAsia="zh-CN"/>
              </w:rPr>
              <w:t>门诊废水、</w:t>
            </w:r>
            <w:r>
              <w:rPr>
                <w:rFonts w:hint="eastAsia" w:ascii="Times New Roman"/>
                <w:sz w:val="24"/>
                <w:szCs w:val="24"/>
                <w:lang w:val="en-US" w:eastAsia="zh-CN"/>
              </w:rPr>
              <w:t>口腔科废水、</w:t>
            </w:r>
            <w:r>
              <w:rPr>
                <w:rFonts w:hint="eastAsia" w:ascii="Times New Roman"/>
                <w:sz w:val="24"/>
                <w:szCs w:val="24"/>
                <w:lang w:eastAsia="zh-CN"/>
              </w:rPr>
              <w:t>病房废水、检验废水、</w:t>
            </w:r>
            <w:r>
              <w:rPr>
                <w:rFonts w:hint="eastAsia" w:ascii="Times New Roman"/>
                <w:sz w:val="24"/>
                <w:szCs w:val="24"/>
                <w:lang w:val="en-US" w:eastAsia="zh-CN"/>
              </w:rPr>
              <w:t>手术室废水、浓水</w:t>
            </w:r>
            <w:r>
              <w:rPr>
                <w:rFonts w:hint="eastAsia" w:ascii="Times New Roman"/>
                <w:sz w:val="24"/>
                <w:szCs w:val="24"/>
                <w:lang w:eastAsia="zh-CN"/>
              </w:rPr>
              <w:t>和保洁废水。</w:t>
            </w:r>
          </w:p>
          <w:p w14:paraId="55605871">
            <w:pPr>
              <w:pStyle w:val="20"/>
              <w:spacing w:line="360" w:lineRule="auto"/>
              <w:ind w:firstLine="480" w:firstLineChars="200"/>
              <w:rPr>
                <w:rFonts w:ascii="Times New Roman" w:hAnsi="Times New Roman"/>
              </w:rPr>
            </w:pPr>
            <w:r>
              <w:rPr>
                <w:rFonts w:hint="eastAsia"/>
                <w:color w:val="auto"/>
                <w:sz w:val="24"/>
                <w:szCs w:val="24"/>
                <w:highlight w:val="none"/>
                <w:lang w:eastAsia="zh-CN"/>
              </w:rPr>
              <w:t>（</w:t>
            </w:r>
            <w:r>
              <w:rPr>
                <w:rFonts w:hint="eastAsia"/>
                <w:color w:val="auto"/>
                <w:sz w:val="24"/>
                <w:szCs w:val="24"/>
                <w:highlight w:val="none"/>
                <w:lang w:val="en-US" w:eastAsia="zh-CN"/>
              </w:rPr>
              <w:t>1</w:t>
            </w:r>
            <w:r>
              <w:rPr>
                <w:rFonts w:hint="eastAsia"/>
                <w:color w:val="auto"/>
                <w:sz w:val="24"/>
                <w:szCs w:val="24"/>
                <w:highlight w:val="none"/>
                <w:lang w:eastAsia="zh-CN"/>
              </w:rPr>
              <w:t>）</w:t>
            </w:r>
            <w:r>
              <w:rPr>
                <w:rFonts w:hint="eastAsia"/>
                <w:sz w:val="24"/>
                <w:szCs w:val="24"/>
              </w:rPr>
              <w:t>生活污水</w:t>
            </w:r>
          </w:p>
          <w:p w14:paraId="723E54BA">
            <w:pPr>
              <w:spacing w:line="360" w:lineRule="auto"/>
              <w:ind w:firstLine="480" w:firstLineChars="200"/>
              <w:rPr>
                <w:rFonts w:hint="eastAsia" w:ascii="Times New Roman" w:hAnsi="Times New Roman"/>
                <w:b w:val="0"/>
                <w:bCs w:val="0"/>
                <w:color w:val="auto"/>
                <w:sz w:val="21"/>
                <w:szCs w:val="21"/>
              </w:rPr>
            </w:pPr>
            <w:r>
              <w:rPr>
                <w:rFonts w:hint="eastAsia"/>
                <w:sz w:val="24"/>
                <w:lang w:val="en-US" w:eastAsia="zh-CN"/>
              </w:rPr>
              <w:t>根据前文计算，</w:t>
            </w:r>
            <w:r>
              <w:rPr>
                <w:rFonts w:hint="eastAsia"/>
                <w:sz w:val="24"/>
              </w:rPr>
              <w:t>则生活污水产生量为</w:t>
            </w:r>
            <w:r>
              <w:rPr>
                <w:rFonts w:hint="eastAsia"/>
                <w:color w:val="auto"/>
                <w:sz w:val="24"/>
                <w:szCs w:val="24"/>
                <w:lang w:val="en-US" w:eastAsia="zh-CN"/>
              </w:rPr>
              <w:t>7.163</w:t>
            </w:r>
            <w:r>
              <w:rPr>
                <w:rFonts w:hint="eastAsia"/>
                <w:color w:val="auto"/>
                <w:sz w:val="24"/>
                <w:szCs w:val="24"/>
              </w:rPr>
              <w:t>t/d（</w:t>
            </w:r>
            <w:r>
              <w:rPr>
                <w:rFonts w:hint="eastAsia"/>
                <w:color w:val="auto"/>
                <w:sz w:val="24"/>
                <w:szCs w:val="24"/>
                <w:lang w:val="en-US" w:eastAsia="zh-CN"/>
              </w:rPr>
              <w:t>2614.4</w:t>
            </w:r>
            <w:r>
              <w:rPr>
                <w:rFonts w:hint="eastAsia"/>
                <w:color w:val="auto"/>
                <w:sz w:val="24"/>
                <w:szCs w:val="24"/>
              </w:rPr>
              <w:t>t/a）</w:t>
            </w:r>
            <w:r>
              <w:rPr>
                <w:rFonts w:hint="eastAsia"/>
                <w:color w:val="auto"/>
                <w:sz w:val="24"/>
                <w:szCs w:val="24"/>
                <w:lang w:eastAsia="zh-CN"/>
              </w:rPr>
              <w:t>。</w:t>
            </w:r>
            <w:r>
              <w:rPr>
                <w:rFonts w:hint="eastAsia"/>
                <w:sz w:val="24"/>
                <w:lang w:eastAsia="zh-CN"/>
              </w:rPr>
              <w:t>生活污水</w:t>
            </w:r>
            <w:r>
              <w:rPr>
                <w:rFonts w:hint="eastAsia" w:ascii="Times New Roman" w:hAnsi="Times New Roman"/>
                <w:b w:val="0"/>
                <w:bCs w:val="0"/>
                <w:color w:val="auto"/>
                <w:sz w:val="24"/>
                <w:szCs w:val="24"/>
              </w:rPr>
              <w:t>经化粪池</w:t>
            </w:r>
            <w:r>
              <w:rPr>
                <w:rFonts w:hint="eastAsia" w:ascii="Times New Roman" w:hAnsi="Times New Roman"/>
                <w:b w:val="0"/>
                <w:bCs w:val="0"/>
                <w:color w:val="auto"/>
                <w:sz w:val="24"/>
                <w:szCs w:val="24"/>
                <w:lang w:eastAsia="zh-CN"/>
              </w:rPr>
              <w:t>预处理</w:t>
            </w:r>
            <w:r>
              <w:rPr>
                <w:rFonts w:hint="eastAsia" w:ascii="Times New Roman" w:hAnsi="Times New Roman"/>
                <w:b w:val="0"/>
                <w:bCs w:val="0"/>
                <w:color w:val="auto"/>
                <w:sz w:val="24"/>
                <w:szCs w:val="24"/>
              </w:rPr>
              <w:t>，再经医院自建污水处理站处理后，接入市政污水管网。</w:t>
            </w:r>
          </w:p>
          <w:p w14:paraId="52332577">
            <w:pPr>
              <w:pStyle w:val="11"/>
              <w:spacing w:line="360" w:lineRule="auto"/>
              <w:ind w:left="0" w:firstLine="480" w:firstLineChars="200"/>
              <w:jc w:val="left"/>
              <w:rPr>
                <w:rFonts w:hint="eastAsia"/>
                <w:color w:val="auto"/>
                <w:sz w:val="24"/>
              </w:rPr>
            </w:pPr>
            <w:r>
              <w:rPr>
                <w:rFonts w:hint="eastAsia"/>
                <w:sz w:val="24"/>
                <w:lang w:eastAsia="zh-CN"/>
              </w:rPr>
              <w:t>生活污水水质参照《城市污水处理技术及工程实例》（化学工业出版社）中的低浓度水质，主要污染物产生浓度约</w:t>
            </w:r>
            <w:r>
              <w:rPr>
                <w:rFonts w:hint="eastAsia"/>
                <w:color w:val="auto"/>
                <w:sz w:val="24"/>
                <w:lang w:eastAsia="zh-CN"/>
              </w:rPr>
              <w:t>为 COD</w:t>
            </w:r>
            <w:r>
              <w:rPr>
                <w:rFonts w:hint="eastAsia"/>
                <w:color w:val="auto"/>
                <w:sz w:val="24"/>
                <w:lang w:val="en-US" w:eastAsia="zh-CN"/>
              </w:rPr>
              <w:t xml:space="preserve"> </w:t>
            </w:r>
            <w:r>
              <w:rPr>
                <w:rFonts w:hint="eastAsia"/>
                <w:color w:val="auto"/>
                <w:sz w:val="24"/>
                <w:lang w:eastAsia="zh-CN"/>
              </w:rPr>
              <w:t>250mg</w:t>
            </w:r>
            <w:r>
              <w:rPr>
                <w:rFonts w:hint="eastAsia"/>
                <w:color w:val="auto"/>
                <w:sz w:val="24"/>
                <w:lang w:val="en-US" w:eastAsia="zh-CN"/>
              </w:rPr>
              <w:t>/</w:t>
            </w:r>
            <w:r>
              <w:rPr>
                <w:rFonts w:hint="eastAsia"/>
                <w:color w:val="auto"/>
                <w:sz w:val="24"/>
                <w:lang w:eastAsia="zh-CN"/>
              </w:rPr>
              <w:t>L、BOD</w:t>
            </w:r>
            <w:r>
              <w:rPr>
                <w:rFonts w:hint="eastAsia"/>
                <w:color w:val="auto"/>
                <w:sz w:val="24"/>
                <w:vertAlign w:val="subscript"/>
                <w:lang w:val="en-US" w:eastAsia="zh-CN"/>
              </w:rPr>
              <w:t xml:space="preserve">5 </w:t>
            </w:r>
            <w:r>
              <w:rPr>
                <w:rFonts w:hint="eastAsia"/>
                <w:color w:val="auto"/>
                <w:sz w:val="24"/>
                <w:lang w:eastAsia="zh-CN"/>
              </w:rPr>
              <w:t>100mg</w:t>
            </w:r>
            <w:r>
              <w:rPr>
                <w:rFonts w:hint="eastAsia"/>
                <w:color w:val="auto"/>
                <w:sz w:val="24"/>
                <w:lang w:val="en-US" w:eastAsia="zh-CN"/>
              </w:rPr>
              <w:t>/</w:t>
            </w:r>
            <w:r>
              <w:rPr>
                <w:rFonts w:hint="eastAsia"/>
                <w:color w:val="auto"/>
                <w:sz w:val="24"/>
                <w:lang w:eastAsia="zh-CN"/>
              </w:rPr>
              <w:t>L、SS</w:t>
            </w:r>
            <w:r>
              <w:rPr>
                <w:rFonts w:hint="eastAsia"/>
                <w:color w:val="auto"/>
                <w:sz w:val="24"/>
                <w:lang w:val="en-US" w:eastAsia="zh-CN"/>
              </w:rPr>
              <w:t xml:space="preserve"> </w:t>
            </w:r>
            <w:r>
              <w:rPr>
                <w:rFonts w:hint="eastAsia"/>
                <w:color w:val="auto"/>
                <w:sz w:val="24"/>
                <w:lang w:eastAsia="zh-CN"/>
              </w:rPr>
              <w:t>100mg</w:t>
            </w:r>
            <w:r>
              <w:rPr>
                <w:rFonts w:hint="eastAsia"/>
                <w:color w:val="auto"/>
                <w:sz w:val="24"/>
                <w:lang w:val="en-US" w:eastAsia="zh-CN"/>
              </w:rPr>
              <w:t>/</w:t>
            </w:r>
            <w:r>
              <w:rPr>
                <w:rFonts w:hint="eastAsia"/>
                <w:color w:val="auto"/>
                <w:sz w:val="24"/>
                <w:lang w:eastAsia="zh-CN"/>
              </w:rPr>
              <w:t>L、TP</w:t>
            </w:r>
            <w:r>
              <w:rPr>
                <w:rFonts w:hint="eastAsia"/>
                <w:color w:val="auto"/>
                <w:sz w:val="24"/>
                <w:lang w:val="en-US" w:eastAsia="zh-CN"/>
              </w:rPr>
              <w:t xml:space="preserve"> </w:t>
            </w:r>
            <w:r>
              <w:rPr>
                <w:rFonts w:hint="eastAsia"/>
                <w:color w:val="auto"/>
                <w:sz w:val="24"/>
                <w:lang w:eastAsia="zh-CN"/>
              </w:rPr>
              <w:t>4mg</w:t>
            </w:r>
            <w:r>
              <w:rPr>
                <w:rFonts w:hint="eastAsia"/>
                <w:color w:val="auto"/>
                <w:sz w:val="24"/>
                <w:lang w:val="en-US" w:eastAsia="zh-CN"/>
              </w:rPr>
              <w:t>/</w:t>
            </w:r>
            <w:r>
              <w:rPr>
                <w:rFonts w:hint="eastAsia"/>
                <w:color w:val="auto"/>
                <w:sz w:val="24"/>
                <w:lang w:eastAsia="zh-CN"/>
              </w:rPr>
              <w:t>L、NH</w:t>
            </w:r>
            <w:r>
              <w:rPr>
                <w:rFonts w:hint="eastAsia"/>
                <w:color w:val="auto"/>
                <w:sz w:val="24"/>
                <w:vertAlign w:val="subscript"/>
                <w:lang w:val="en-US" w:eastAsia="zh-CN"/>
              </w:rPr>
              <w:t>3</w:t>
            </w:r>
            <w:r>
              <w:rPr>
                <w:rFonts w:hint="eastAsia"/>
                <w:color w:val="auto"/>
                <w:sz w:val="24"/>
                <w:lang w:eastAsia="zh-CN"/>
              </w:rPr>
              <w:t>-N</w:t>
            </w:r>
            <w:r>
              <w:rPr>
                <w:rFonts w:hint="eastAsia"/>
                <w:color w:val="auto"/>
                <w:sz w:val="24"/>
                <w:lang w:val="en-US" w:eastAsia="zh-CN"/>
              </w:rPr>
              <w:t xml:space="preserve"> </w:t>
            </w:r>
            <w:r>
              <w:rPr>
                <w:rFonts w:hint="eastAsia"/>
                <w:color w:val="auto"/>
                <w:sz w:val="24"/>
                <w:lang w:eastAsia="zh-CN"/>
              </w:rPr>
              <w:t>20mg/L。</w:t>
            </w:r>
          </w:p>
          <w:p w14:paraId="0369DFFE">
            <w:pPr>
              <w:spacing w:line="360" w:lineRule="auto"/>
              <w:ind w:firstLine="480" w:firstLineChars="200"/>
              <w:rPr>
                <w:rFonts w:hint="default"/>
                <w:color w:val="auto"/>
                <w:sz w:val="24"/>
                <w:highlight w:val="none"/>
                <w:lang w:val="en-US" w:eastAsia="zh-CN"/>
              </w:rPr>
            </w:pPr>
            <w:r>
              <w:rPr>
                <w:rFonts w:hint="eastAsia" w:ascii="Times New Roman" w:hAnsi="Times New Roman" w:cs="Times New Roman"/>
                <w:color w:val="auto"/>
                <w:sz w:val="24"/>
                <w:lang w:eastAsia="zh-CN"/>
              </w:rPr>
              <w:t>（</w:t>
            </w:r>
            <w:r>
              <w:rPr>
                <w:rFonts w:hint="eastAsia" w:ascii="Times New Roman" w:hAnsi="Times New Roman" w:cs="Times New Roman"/>
                <w:color w:val="auto"/>
                <w:sz w:val="24"/>
                <w:lang w:val="en-US" w:eastAsia="zh-CN"/>
              </w:rPr>
              <w:t>2</w:t>
            </w:r>
            <w:r>
              <w:rPr>
                <w:rFonts w:hint="eastAsia" w:ascii="Times New Roman" w:hAnsi="Times New Roman" w:cs="Times New Roman"/>
                <w:color w:val="auto"/>
                <w:sz w:val="24"/>
                <w:lang w:eastAsia="zh-CN"/>
              </w:rPr>
              <w:t>）</w:t>
            </w:r>
            <w:r>
              <w:rPr>
                <w:rFonts w:hint="eastAsia" w:ascii="Times New Roman" w:hAnsi="Times New Roman" w:cs="Times New Roman"/>
                <w:color w:val="auto"/>
                <w:sz w:val="24"/>
                <w:lang w:val="en-US" w:eastAsia="zh-CN"/>
              </w:rPr>
              <w:t>普通</w:t>
            </w:r>
            <w:r>
              <w:rPr>
                <w:rFonts w:hint="eastAsia" w:ascii="宋体" w:hAnsi="宋体" w:eastAsia="宋体" w:cs="宋体"/>
                <w:color w:val="auto"/>
                <w:sz w:val="24"/>
                <w:lang w:val="en-US" w:eastAsia="zh-CN"/>
              </w:rPr>
              <w:t>门诊废水</w:t>
            </w:r>
          </w:p>
          <w:p w14:paraId="3747D479">
            <w:pPr>
              <w:keepNext w:val="0"/>
              <w:keepLines w:val="0"/>
              <w:widowControl/>
              <w:suppressLineNumbers w:val="0"/>
              <w:spacing w:line="360" w:lineRule="auto"/>
              <w:ind w:firstLine="480" w:firstLineChars="200"/>
              <w:jc w:val="left"/>
              <w:rPr>
                <w:rFonts w:hint="eastAsia"/>
                <w:color w:val="auto"/>
                <w:sz w:val="24"/>
                <w:lang w:eastAsia="zh-CN"/>
              </w:rPr>
            </w:pPr>
            <w:r>
              <w:rPr>
                <w:rFonts w:hint="eastAsia"/>
                <w:color w:val="auto"/>
                <w:sz w:val="24"/>
                <w:lang w:val="en-US" w:eastAsia="zh-CN"/>
              </w:rPr>
              <w:t>根据前文计算：普通门诊</w:t>
            </w:r>
            <w:r>
              <w:rPr>
                <w:rFonts w:hint="eastAsia"/>
                <w:color w:val="auto"/>
                <w:sz w:val="24"/>
                <w:lang w:eastAsia="zh-CN"/>
              </w:rPr>
              <w:t>废水产生量为</w:t>
            </w:r>
            <w:r>
              <w:rPr>
                <w:rFonts w:hint="eastAsia"/>
                <w:color w:val="auto"/>
                <w:sz w:val="24"/>
                <w:lang w:val="en-US" w:eastAsia="zh-CN"/>
              </w:rPr>
              <w:t>0.8t/d（292t/a）。该部分废水</w:t>
            </w:r>
            <w:r>
              <w:rPr>
                <w:rFonts w:hint="eastAsia" w:ascii="Times New Roman" w:hAnsi="Times New Roman"/>
                <w:b w:val="0"/>
                <w:bCs w:val="0"/>
                <w:color w:val="auto"/>
                <w:sz w:val="24"/>
                <w:szCs w:val="24"/>
              </w:rPr>
              <w:t>经化粪池</w:t>
            </w:r>
            <w:r>
              <w:rPr>
                <w:rFonts w:hint="eastAsia" w:ascii="Times New Roman" w:hAnsi="Times New Roman"/>
                <w:b w:val="0"/>
                <w:bCs w:val="0"/>
                <w:color w:val="auto"/>
                <w:sz w:val="24"/>
                <w:szCs w:val="24"/>
                <w:lang w:eastAsia="zh-CN"/>
              </w:rPr>
              <w:t>预处理</w:t>
            </w:r>
            <w:r>
              <w:rPr>
                <w:rFonts w:hint="eastAsia" w:ascii="Times New Roman" w:hAnsi="Times New Roman"/>
                <w:b w:val="0"/>
                <w:bCs w:val="0"/>
                <w:color w:val="auto"/>
                <w:sz w:val="24"/>
                <w:szCs w:val="24"/>
              </w:rPr>
              <w:t>，再经医院自建污水处理站处理后，接入市政污水管网。</w:t>
            </w:r>
          </w:p>
          <w:p w14:paraId="1A21E9C2">
            <w:pPr>
              <w:keepNext w:val="0"/>
              <w:keepLines w:val="0"/>
              <w:widowControl/>
              <w:suppressLineNumbers w:val="0"/>
              <w:spacing w:line="360" w:lineRule="auto"/>
              <w:ind w:firstLine="480" w:firstLineChars="200"/>
              <w:jc w:val="left"/>
              <w:rPr>
                <w:rFonts w:hint="default"/>
                <w:color w:val="auto"/>
                <w:sz w:val="24"/>
                <w:lang w:val="en-US" w:eastAsia="zh-CN"/>
              </w:rPr>
            </w:pPr>
            <w:r>
              <w:rPr>
                <w:rFonts w:hint="eastAsia"/>
                <w:color w:val="auto"/>
                <w:sz w:val="24"/>
                <w:lang w:eastAsia="zh-CN"/>
              </w:rPr>
              <w:t>（</w:t>
            </w:r>
            <w:r>
              <w:rPr>
                <w:rFonts w:hint="eastAsia"/>
                <w:color w:val="auto"/>
                <w:sz w:val="24"/>
                <w:lang w:val="en-US" w:eastAsia="zh-CN"/>
              </w:rPr>
              <w:t>3</w:t>
            </w:r>
            <w:r>
              <w:rPr>
                <w:rFonts w:hint="eastAsia"/>
                <w:color w:val="auto"/>
                <w:sz w:val="24"/>
                <w:lang w:eastAsia="zh-CN"/>
              </w:rPr>
              <w:t>）</w:t>
            </w:r>
            <w:r>
              <w:rPr>
                <w:rFonts w:hint="eastAsia"/>
                <w:color w:val="auto"/>
                <w:sz w:val="24"/>
                <w:lang w:val="en-US" w:eastAsia="zh-CN"/>
              </w:rPr>
              <w:t>口腔科废水</w:t>
            </w:r>
          </w:p>
          <w:p w14:paraId="6DA13999">
            <w:pPr>
              <w:keepNext w:val="0"/>
              <w:keepLines w:val="0"/>
              <w:widowControl/>
              <w:suppressLineNumbers w:val="0"/>
              <w:spacing w:line="360" w:lineRule="auto"/>
              <w:ind w:firstLine="480" w:firstLineChars="200"/>
              <w:jc w:val="left"/>
              <w:rPr>
                <w:rFonts w:hint="eastAsia" w:ascii="Times New Roman" w:hAnsi="Times New Roman" w:eastAsia="宋体" w:cs="Times New Roman"/>
                <w:i w:val="0"/>
                <w:iCs w:val="0"/>
                <w:caps w:val="0"/>
                <w:color w:val="0F1115"/>
                <w:spacing w:val="0"/>
                <w:sz w:val="24"/>
                <w:szCs w:val="24"/>
                <w:shd w:val="clear" w:color="auto" w:fill="FFFFFF"/>
              </w:rPr>
            </w:pPr>
            <w:r>
              <w:rPr>
                <w:rFonts w:hint="eastAsia" w:ascii="Times New Roman" w:hAnsi="Times New Roman"/>
                <w:b w:val="0"/>
                <w:bCs/>
                <w:color w:val="auto"/>
                <w:sz w:val="24"/>
                <w:szCs w:val="24"/>
                <w:lang w:val="en-US" w:eastAsia="zh-CN"/>
              </w:rPr>
              <w:t>根据前文计算，口腔科废水产生量为</w:t>
            </w:r>
            <w:r>
              <w:rPr>
                <w:rFonts w:hint="default" w:ascii="Times New Roman" w:hAnsi="Times New Roman" w:cs="Times New Roman"/>
                <w:color w:val="auto"/>
                <w:sz w:val="24"/>
                <w:lang w:val="en-US" w:eastAsia="zh-CN"/>
              </w:rPr>
              <w:t xml:space="preserve"> 0.032 t/d（11.68 t/a）。</w:t>
            </w:r>
            <w:r>
              <w:rPr>
                <w:rFonts w:hint="eastAsia" w:ascii="Times New Roman" w:hAnsi="Times New Roman" w:eastAsia="宋体" w:cs="Times New Roman"/>
                <w:i w:val="0"/>
                <w:iCs w:val="0"/>
                <w:caps w:val="0"/>
                <w:color w:val="0F1115"/>
                <w:spacing w:val="0"/>
                <w:sz w:val="24"/>
                <w:szCs w:val="24"/>
                <w:shd w:val="clear" w:color="auto" w:fill="FFFFFF"/>
                <w:lang w:val="en-US" w:eastAsia="zh-CN"/>
              </w:rPr>
              <w:t>该部分废水经化粪池预处理，再经医院自建污水处理站处理后，接入市政污水管网。</w:t>
            </w:r>
          </w:p>
          <w:p w14:paraId="08405E25">
            <w:pPr>
              <w:spacing w:line="360" w:lineRule="auto"/>
              <w:ind w:firstLine="480" w:firstLineChars="200"/>
              <w:rPr>
                <w:rFonts w:hint="default" w:ascii="Times New Roman" w:hAnsi="Times New Roman"/>
                <w:b w:val="0"/>
                <w:bCs/>
                <w:color w:val="auto"/>
                <w:sz w:val="24"/>
                <w:szCs w:val="24"/>
                <w:lang w:val="en-US" w:eastAsia="zh-CN"/>
              </w:rPr>
            </w:pPr>
            <w:r>
              <w:rPr>
                <w:rFonts w:hint="eastAsia" w:ascii="Times New Roman" w:hAnsi="Times New Roman"/>
                <w:b w:val="0"/>
                <w:bCs/>
                <w:color w:val="auto"/>
                <w:sz w:val="24"/>
                <w:szCs w:val="24"/>
                <w:lang w:eastAsia="zh-CN"/>
              </w:rPr>
              <w:t>（</w:t>
            </w:r>
            <w:r>
              <w:rPr>
                <w:rFonts w:hint="eastAsia" w:ascii="Times New Roman" w:hAnsi="Times New Roman"/>
                <w:b w:val="0"/>
                <w:bCs/>
                <w:color w:val="auto"/>
                <w:sz w:val="24"/>
                <w:szCs w:val="24"/>
                <w:lang w:val="en-US" w:eastAsia="zh-CN"/>
              </w:rPr>
              <w:t>4</w:t>
            </w:r>
            <w:r>
              <w:rPr>
                <w:rFonts w:hint="eastAsia" w:ascii="Times New Roman" w:hAnsi="Times New Roman"/>
                <w:b w:val="0"/>
                <w:bCs/>
                <w:color w:val="auto"/>
                <w:sz w:val="24"/>
                <w:szCs w:val="24"/>
                <w:lang w:eastAsia="zh-CN"/>
              </w:rPr>
              <w:t>）</w:t>
            </w:r>
            <w:r>
              <w:rPr>
                <w:rFonts w:hint="eastAsia" w:ascii="Times New Roman" w:hAnsi="Times New Roman"/>
                <w:b w:val="0"/>
                <w:bCs/>
                <w:color w:val="auto"/>
                <w:sz w:val="24"/>
                <w:szCs w:val="24"/>
                <w:lang w:val="en-US" w:eastAsia="zh-CN"/>
              </w:rPr>
              <w:t>病房废水</w:t>
            </w:r>
          </w:p>
          <w:p w14:paraId="65E22681">
            <w:pPr>
              <w:spacing w:line="360" w:lineRule="auto"/>
              <w:ind w:firstLine="480" w:firstLineChars="200"/>
              <w:rPr>
                <w:rFonts w:hint="default" w:ascii="Times New Roman" w:hAnsi="Times New Roman"/>
                <w:b w:val="0"/>
                <w:bCs/>
                <w:color w:val="auto"/>
                <w:sz w:val="24"/>
                <w:szCs w:val="24"/>
                <w:lang w:val="en-US" w:eastAsia="zh-CN"/>
              </w:rPr>
            </w:pPr>
            <w:r>
              <w:rPr>
                <w:rFonts w:hint="eastAsia" w:ascii="Times New Roman" w:hAnsi="Times New Roman"/>
                <w:b w:val="0"/>
                <w:bCs/>
                <w:color w:val="auto"/>
                <w:sz w:val="24"/>
                <w:szCs w:val="24"/>
                <w:lang w:val="en-US" w:eastAsia="zh-CN"/>
              </w:rPr>
              <w:t>根据前文计算，</w:t>
            </w:r>
            <w:r>
              <w:rPr>
                <w:rFonts w:hint="eastAsia" w:ascii="Times New Roman" w:hAnsi="Times New Roman"/>
                <w:b w:val="0"/>
                <w:bCs/>
                <w:color w:val="auto"/>
                <w:sz w:val="24"/>
                <w:szCs w:val="24"/>
                <w:highlight w:val="none"/>
                <w:lang w:eastAsia="zh-CN"/>
              </w:rPr>
              <w:t>病房废水产生量为</w:t>
            </w:r>
            <w:r>
              <w:rPr>
                <w:rFonts w:hint="eastAsia" w:ascii="Times New Roman" w:hAnsi="Times New Roman"/>
                <w:b w:val="0"/>
                <w:bCs/>
                <w:color w:val="auto"/>
                <w:sz w:val="24"/>
                <w:szCs w:val="24"/>
                <w:highlight w:val="none"/>
                <w:lang w:val="en-US" w:eastAsia="zh-CN"/>
              </w:rPr>
              <w:t>4</w:t>
            </w:r>
            <w:r>
              <w:rPr>
                <w:rFonts w:hint="eastAsia"/>
                <w:b w:val="0"/>
                <w:bCs/>
                <w:color w:val="auto"/>
                <w:sz w:val="24"/>
                <w:szCs w:val="24"/>
                <w:highlight w:val="none"/>
                <w:lang w:val="en-US" w:eastAsia="zh-CN"/>
              </w:rPr>
              <w:t>4</w:t>
            </w:r>
            <w:r>
              <w:rPr>
                <w:rFonts w:hint="eastAsia" w:ascii="Times New Roman" w:hAnsi="Times New Roman"/>
                <w:b w:val="0"/>
                <w:bCs/>
                <w:color w:val="auto"/>
                <w:sz w:val="24"/>
                <w:szCs w:val="24"/>
                <w:highlight w:val="none"/>
                <w:lang w:val="en-US" w:eastAsia="zh-CN"/>
              </w:rPr>
              <w:t>t/d，</w:t>
            </w:r>
            <w:r>
              <w:rPr>
                <w:rFonts w:hint="eastAsia"/>
                <w:b w:val="0"/>
                <w:bCs/>
                <w:color w:val="auto"/>
                <w:sz w:val="24"/>
                <w:szCs w:val="24"/>
                <w:highlight w:val="none"/>
                <w:lang w:val="en-US" w:eastAsia="zh-CN"/>
              </w:rPr>
              <w:t>16060</w:t>
            </w:r>
            <w:r>
              <w:rPr>
                <w:rFonts w:hint="eastAsia" w:ascii="Times New Roman" w:hAnsi="Times New Roman"/>
                <w:b w:val="0"/>
                <w:bCs/>
                <w:color w:val="auto"/>
                <w:sz w:val="24"/>
                <w:szCs w:val="24"/>
                <w:highlight w:val="none"/>
                <w:lang w:val="en-US" w:eastAsia="zh-CN"/>
              </w:rPr>
              <w:t>t/</w:t>
            </w:r>
            <w:r>
              <w:rPr>
                <w:rFonts w:hint="eastAsia"/>
                <w:b w:val="0"/>
                <w:bCs/>
                <w:color w:val="auto"/>
                <w:sz w:val="24"/>
                <w:szCs w:val="24"/>
                <w:highlight w:val="none"/>
                <w:lang w:val="en-US" w:eastAsia="zh-CN"/>
              </w:rPr>
              <w:t>a</w:t>
            </w:r>
            <w:r>
              <w:rPr>
                <w:rFonts w:hint="eastAsia" w:ascii="Times New Roman" w:hAnsi="Times New Roman"/>
                <w:b w:val="0"/>
                <w:bCs/>
                <w:color w:val="auto"/>
                <w:sz w:val="24"/>
                <w:szCs w:val="24"/>
                <w:highlight w:val="none"/>
                <w:lang w:val="en-US" w:eastAsia="zh-CN"/>
              </w:rPr>
              <w:t>。该部分废水</w:t>
            </w:r>
            <w:r>
              <w:rPr>
                <w:rFonts w:hint="eastAsia" w:ascii="Times New Roman" w:hAnsi="Times New Roman"/>
                <w:b w:val="0"/>
                <w:bCs w:val="0"/>
                <w:color w:val="auto"/>
                <w:sz w:val="24"/>
                <w:szCs w:val="24"/>
                <w:highlight w:val="none"/>
              </w:rPr>
              <w:t>经化粪池</w:t>
            </w:r>
            <w:r>
              <w:rPr>
                <w:rFonts w:hint="eastAsia" w:ascii="Times New Roman" w:hAnsi="Times New Roman"/>
                <w:b w:val="0"/>
                <w:bCs w:val="0"/>
                <w:color w:val="auto"/>
                <w:sz w:val="24"/>
                <w:szCs w:val="24"/>
                <w:highlight w:val="none"/>
                <w:lang w:eastAsia="zh-CN"/>
              </w:rPr>
              <w:t>预处理</w:t>
            </w:r>
            <w:r>
              <w:rPr>
                <w:rFonts w:hint="eastAsia" w:ascii="Times New Roman" w:hAnsi="Times New Roman"/>
                <w:b w:val="0"/>
                <w:bCs w:val="0"/>
                <w:color w:val="auto"/>
                <w:sz w:val="24"/>
                <w:szCs w:val="24"/>
                <w:highlight w:val="none"/>
              </w:rPr>
              <w:t>，再经医院自建污水处理站处理后，接入市政污水管网。</w:t>
            </w:r>
            <w:r>
              <w:rPr>
                <w:rFonts w:hint="eastAsia" w:ascii="Times New Roman" w:hAnsi="Times New Roman"/>
                <w:b w:val="0"/>
                <w:bCs/>
                <w:color w:val="auto"/>
                <w:sz w:val="24"/>
                <w:szCs w:val="24"/>
                <w:lang w:val="en-US" w:eastAsia="zh-CN"/>
              </w:rPr>
              <w:t>主要污染因子</w:t>
            </w:r>
            <w:r>
              <w:rPr>
                <w:rFonts w:hint="eastAsia"/>
                <w:b w:val="0"/>
                <w:bCs/>
                <w:color w:val="auto"/>
                <w:sz w:val="24"/>
                <w:szCs w:val="24"/>
                <w:lang w:val="en-US" w:eastAsia="zh-CN"/>
              </w:rPr>
              <w:t>为pH</w:t>
            </w:r>
            <w:r>
              <w:rPr>
                <w:rFonts w:hint="eastAsia" w:ascii="Times New Roman" w:hAnsi="Times New Roman"/>
                <w:b w:val="0"/>
                <w:bCs/>
                <w:color w:val="auto"/>
                <w:sz w:val="24"/>
                <w:szCs w:val="24"/>
                <w:lang w:val="en-US" w:eastAsia="zh-CN"/>
              </w:rPr>
              <w:t>、COD、BOD</w:t>
            </w:r>
            <w:r>
              <w:rPr>
                <w:rFonts w:hint="eastAsia" w:ascii="Times New Roman" w:hAnsi="Times New Roman"/>
                <w:b w:val="0"/>
                <w:bCs/>
                <w:color w:val="auto"/>
                <w:sz w:val="24"/>
                <w:szCs w:val="24"/>
                <w:vertAlign w:val="subscript"/>
                <w:lang w:val="en-US" w:eastAsia="zh-CN"/>
              </w:rPr>
              <w:t>5</w:t>
            </w:r>
            <w:r>
              <w:rPr>
                <w:rFonts w:hint="eastAsia" w:ascii="Times New Roman" w:hAnsi="Times New Roman"/>
                <w:b w:val="0"/>
                <w:bCs/>
                <w:color w:val="auto"/>
                <w:sz w:val="24"/>
                <w:szCs w:val="24"/>
                <w:lang w:val="en-US" w:eastAsia="zh-CN"/>
              </w:rPr>
              <w:t>、SS、NH</w:t>
            </w:r>
            <w:r>
              <w:rPr>
                <w:rFonts w:hint="eastAsia" w:ascii="Times New Roman" w:hAnsi="Times New Roman"/>
                <w:b w:val="0"/>
                <w:bCs/>
                <w:color w:val="auto"/>
                <w:sz w:val="24"/>
                <w:szCs w:val="24"/>
                <w:vertAlign w:val="subscript"/>
                <w:lang w:val="en-US" w:eastAsia="zh-CN"/>
              </w:rPr>
              <w:t>3</w:t>
            </w:r>
            <w:r>
              <w:rPr>
                <w:rFonts w:hint="eastAsia" w:ascii="Times New Roman" w:hAnsi="Times New Roman"/>
                <w:b w:val="0"/>
                <w:bCs/>
                <w:color w:val="auto"/>
                <w:sz w:val="24"/>
                <w:szCs w:val="24"/>
                <w:lang w:val="en-US" w:eastAsia="zh-CN"/>
              </w:rPr>
              <w:t>-N、粪大肠菌群。</w:t>
            </w:r>
          </w:p>
          <w:p w14:paraId="415A8342">
            <w:pPr>
              <w:spacing w:line="360" w:lineRule="auto"/>
              <w:ind w:firstLine="480" w:firstLineChars="200"/>
              <w:rPr>
                <w:rFonts w:hint="eastAsia" w:ascii="Times New Roman" w:hAnsi="Times New Roman" w:eastAsia="宋体"/>
                <w:b w:val="0"/>
                <w:bCs/>
                <w:color w:val="auto"/>
                <w:sz w:val="24"/>
                <w:szCs w:val="24"/>
                <w:lang w:eastAsia="zh-CN"/>
              </w:rPr>
            </w:pPr>
            <w:r>
              <w:rPr>
                <w:rFonts w:hint="eastAsia" w:ascii="Times New Roman" w:hAnsi="Times New Roman" w:eastAsia="宋体"/>
                <w:b w:val="0"/>
                <w:bCs/>
                <w:color w:val="auto"/>
                <w:sz w:val="24"/>
                <w:szCs w:val="24"/>
                <w:lang w:eastAsia="zh-CN"/>
              </w:rPr>
              <w:t>（</w:t>
            </w:r>
            <w:r>
              <w:rPr>
                <w:rFonts w:hint="eastAsia" w:ascii="Times New Roman" w:hAnsi="Times New Roman" w:eastAsia="宋体"/>
                <w:b w:val="0"/>
                <w:bCs/>
                <w:color w:val="auto"/>
                <w:sz w:val="24"/>
                <w:szCs w:val="24"/>
                <w:lang w:val="en-US" w:eastAsia="zh-CN"/>
              </w:rPr>
              <w:t>5</w:t>
            </w:r>
            <w:r>
              <w:rPr>
                <w:rFonts w:hint="eastAsia" w:ascii="Times New Roman" w:hAnsi="Times New Roman" w:eastAsia="宋体"/>
                <w:b w:val="0"/>
                <w:bCs/>
                <w:color w:val="auto"/>
                <w:sz w:val="24"/>
                <w:szCs w:val="24"/>
                <w:lang w:eastAsia="zh-CN"/>
              </w:rPr>
              <w:t>）检验废水</w:t>
            </w:r>
          </w:p>
          <w:p w14:paraId="2302AF85">
            <w:pPr>
              <w:keepNext w:val="0"/>
              <w:keepLines w:val="0"/>
              <w:widowControl/>
              <w:suppressLineNumbers w:val="0"/>
              <w:spacing w:line="360" w:lineRule="auto"/>
              <w:ind w:firstLine="480" w:firstLineChars="200"/>
              <w:jc w:val="left"/>
              <w:rPr>
                <w:rFonts w:hint="eastAsia"/>
                <w:color w:val="auto"/>
                <w:sz w:val="24"/>
                <w:lang w:eastAsia="zh-CN"/>
              </w:rPr>
            </w:pPr>
            <w:r>
              <w:rPr>
                <w:rFonts w:hint="eastAsia" w:ascii="Times New Roman" w:hAnsi="Times New Roman" w:eastAsia="宋体"/>
                <w:b w:val="0"/>
                <w:bCs/>
                <w:color w:val="auto"/>
                <w:sz w:val="24"/>
                <w:szCs w:val="24"/>
                <w:lang w:val="en-US" w:eastAsia="zh-CN"/>
              </w:rPr>
              <w:t>根据前文计算，检验废水产生量为0.8t/d（292t/a），</w:t>
            </w:r>
            <w:r>
              <w:rPr>
                <w:rFonts w:hint="eastAsia"/>
                <w:color w:val="auto"/>
                <w:sz w:val="24"/>
                <w:lang w:val="en-US" w:eastAsia="zh-CN"/>
              </w:rPr>
              <w:t>该部分废水</w:t>
            </w:r>
            <w:r>
              <w:rPr>
                <w:rFonts w:hint="eastAsia" w:ascii="Times New Roman" w:hAnsi="Times New Roman"/>
                <w:b w:val="0"/>
                <w:bCs w:val="0"/>
                <w:color w:val="auto"/>
                <w:sz w:val="24"/>
                <w:szCs w:val="24"/>
              </w:rPr>
              <w:t>经化粪池</w:t>
            </w:r>
            <w:r>
              <w:rPr>
                <w:rFonts w:hint="eastAsia" w:ascii="Times New Roman" w:hAnsi="Times New Roman"/>
                <w:b w:val="0"/>
                <w:bCs w:val="0"/>
                <w:color w:val="auto"/>
                <w:sz w:val="24"/>
                <w:szCs w:val="24"/>
                <w:lang w:eastAsia="zh-CN"/>
              </w:rPr>
              <w:t>预处理</w:t>
            </w:r>
            <w:r>
              <w:rPr>
                <w:rFonts w:hint="eastAsia" w:ascii="Times New Roman" w:hAnsi="Times New Roman"/>
                <w:b w:val="0"/>
                <w:bCs w:val="0"/>
                <w:color w:val="auto"/>
                <w:sz w:val="24"/>
                <w:szCs w:val="24"/>
              </w:rPr>
              <w:t>，再经医院自建污水处理站处理后，接入市政污水管网。</w:t>
            </w:r>
          </w:p>
          <w:p w14:paraId="3F65D38F">
            <w:pPr>
              <w:spacing w:line="360" w:lineRule="auto"/>
              <w:ind w:firstLine="480" w:firstLineChars="200"/>
              <w:rPr>
                <w:rFonts w:hint="default" w:ascii="Times New Roman" w:hAnsi="Times New Roman" w:eastAsia="宋体"/>
                <w:b w:val="0"/>
                <w:bCs/>
                <w:color w:val="auto"/>
                <w:sz w:val="24"/>
                <w:szCs w:val="24"/>
                <w:lang w:val="en-US" w:eastAsia="zh-CN"/>
              </w:rPr>
            </w:pPr>
            <w:r>
              <w:rPr>
                <w:rFonts w:hint="eastAsia" w:ascii="Times New Roman" w:hAnsi="Times New Roman" w:eastAsia="宋体"/>
                <w:b w:val="0"/>
                <w:bCs/>
                <w:color w:val="auto"/>
                <w:sz w:val="24"/>
                <w:szCs w:val="24"/>
                <w:lang w:val="en-US" w:eastAsia="zh-CN"/>
              </w:rPr>
              <w:t>主要污染因子</w:t>
            </w:r>
            <w:r>
              <w:rPr>
                <w:rFonts w:hint="eastAsia"/>
                <w:b w:val="0"/>
                <w:bCs/>
                <w:color w:val="auto"/>
                <w:sz w:val="24"/>
                <w:szCs w:val="24"/>
                <w:lang w:val="en-US" w:eastAsia="zh-CN"/>
              </w:rPr>
              <w:t>为pH</w:t>
            </w:r>
            <w:r>
              <w:rPr>
                <w:rFonts w:hint="eastAsia" w:ascii="Times New Roman" w:hAnsi="Times New Roman" w:eastAsia="宋体"/>
                <w:b w:val="0"/>
                <w:bCs/>
                <w:color w:val="auto"/>
                <w:sz w:val="24"/>
                <w:szCs w:val="24"/>
                <w:lang w:val="en-US" w:eastAsia="zh-CN"/>
              </w:rPr>
              <w:t>、COD、BOD</w:t>
            </w:r>
            <w:r>
              <w:rPr>
                <w:rFonts w:hint="eastAsia" w:ascii="Times New Roman" w:hAnsi="Times New Roman" w:eastAsia="宋体"/>
                <w:b w:val="0"/>
                <w:bCs/>
                <w:color w:val="auto"/>
                <w:sz w:val="24"/>
                <w:szCs w:val="24"/>
                <w:vertAlign w:val="subscript"/>
                <w:lang w:val="en-US" w:eastAsia="zh-CN"/>
              </w:rPr>
              <w:t>5</w:t>
            </w:r>
            <w:r>
              <w:rPr>
                <w:rFonts w:hint="eastAsia" w:ascii="Times New Roman" w:hAnsi="Times New Roman" w:eastAsia="宋体"/>
                <w:b w:val="0"/>
                <w:bCs/>
                <w:color w:val="auto"/>
                <w:sz w:val="24"/>
                <w:szCs w:val="24"/>
                <w:lang w:val="en-US" w:eastAsia="zh-CN"/>
              </w:rPr>
              <w:t>、SS、NH</w:t>
            </w:r>
            <w:r>
              <w:rPr>
                <w:rFonts w:hint="eastAsia" w:ascii="Times New Roman" w:hAnsi="Times New Roman" w:eastAsia="宋体"/>
                <w:b w:val="0"/>
                <w:bCs/>
                <w:color w:val="auto"/>
                <w:sz w:val="24"/>
                <w:szCs w:val="24"/>
                <w:vertAlign w:val="subscript"/>
                <w:lang w:val="en-US" w:eastAsia="zh-CN"/>
              </w:rPr>
              <w:t>3</w:t>
            </w:r>
            <w:r>
              <w:rPr>
                <w:rFonts w:hint="eastAsia" w:ascii="Times New Roman" w:hAnsi="Times New Roman" w:eastAsia="宋体"/>
                <w:b w:val="0"/>
                <w:bCs/>
                <w:color w:val="auto"/>
                <w:sz w:val="24"/>
                <w:szCs w:val="24"/>
                <w:lang w:val="en-US" w:eastAsia="zh-CN"/>
              </w:rPr>
              <w:t>-N、粪大肠菌群。</w:t>
            </w:r>
          </w:p>
          <w:p w14:paraId="45177265">
            <w:pPr>
              <w:spacing w:line="360" w:lineRule="auto"/>
              <w:ind w:firstLine="480" w:firstLineChars="200"/>
              <w:rPr>
                <w:rFonts w:hint="default" w:ascii="宋体" w:hAnsi="宋体" w:eastAsia="宋体" w:cs="宋体"/>
                <w:b w:val="0"/>
                <w:bCs/>
                <w:color w:val="auto"/>
                <w:sz w:val="24"/>
                <w:szCs w:val="24"/>
                <w:lang w:val="en-US" w:eastAsia="zh-CN"/>
              </w:rPr>
            </w:pPr>
            <w:r>
              <w:rPr>
                <w:rFonts w:hint="eastAsia" w:ascii="宋体" w:hAnsi="宋体" w:eastAsia="宋体" w:cs="宋体"/>
                <w:b w:val="0"/>
                <w:bCs/>
                <w:color w:val="auto"/>
                <w:sz w:val="24"/>
                <w:szCs w:val="24"/>
                <w:lang w:eastAsia="zh-CN"/>
              </w:rPr>
              <w:t>（</w:t>
            </w:r>
            <w:r>
              <w:rPr>
                <w:rFonts w:hint="eastAsia" w:ascii="宋体" w:hAnsi="宋体" w:eastAsia="宋体" w:cs="宋体"/>
                <w:b w:val="0"/>
                <w:bCs/>
                <w:color w:val="auto"/>
                <w:sz w:val="24"/>
                <w:szCs w:val="24"/>
                <w:lang w:val="en-US" w:eastAsia="zh-CN"/>
              </w:rPr>
              <w:t>6</w:t>
            </w:r>
            <w:r>
              <w:rPr>
                <w:rFonts w:hint="eastAsia" w:ascii="宋体" w:hAnsi="宋体" w:eastAsia="宋体" w:cs="宋体"/>
                <w:b w:val="0"/>
                <w:bCs/>
                <w:color w:val="auto"/>
                <w:sz w:val="24"/>
                <w:szCs w:val="24"/>
                <w:lang w:eastAsia="zh-CN"/>
              </w:rPr>
              <w:t>）</w:t>
            </w:r>
            <w:r>
              <w:rPr>
                <w:rFonts w:hint="eastAsia" w:ascii="宋体" w:hAnsi="宋体" w:eastAsia="宋体" w:cs="宋体"/>
                <w:b w:val="0"/>
                <w:bCs/>
                <w:color w:val="auto"/>
                <w:sz w:val="24"/>
                <w:szCs w:val="24"/>
                <w:lang w:val="en-US" w:eastAsia="zh-CN"/>
              </w:rPr>
              <w:t>手术室废水</w:t>
            </w:r>
          </w:p>
          <w:p w14:paraId="1E8696D3">
            <w:pPr>
              <w:keepNext w:val="0"/>
              <w:keepLines w:val="0"/>
              <w:widowControl/>
              <w:suppressLineNumbers w:val="0"/>
              <w:spacing w:line="360" w:lineRule="auto"/>
              <w:ind w:firstLine="480" w:firstLineChars="200"/>
              <w:jc w:val="left"/>
              <w:rPr>
                <w:rFonts w:hint="eastAsia"/>
                <w:color w:val="auto"/>
                <w:sz w:val="24"/>
                <w:lang w:eastAsia="zh-CN"/>
              </w:rPr>
            </w:pPr>
            <w:r>
              <w:rPr>
                <w:rFonts w:hint="eastAsia" w:ascii="宋体" w:hAnsi="宋体" w:eastAsia="宋体" w:cs="宋体"/>
                <w:b w:val="0"/>
                <w:bCs/>
                <w:color w:val="auto"/>
                <w:sz w:val="24"/>
                <w:szCs w:val="24"/>
                <w:lang w:val="en-US" w:eastAsia="zh-CN"/>
              </w:rPr>
              <w:t>根据前文计算，</w:t>
            </w:r>
            <w:r>
              <w:rPr>
                <w:rFonts w:hint="eastAsia" w:ascii="Times New Roman" w:hAnsi="Times New Roman" w:eastAsia="宋体"/>
                <w:b w:val="0"/>
                <w:bCs/>
                <w:color w:val="auto"/>
                <w:sz w:val="24"/>
                <w:szCs w:val="24"/>
                <w:lang w:val="en-US" w:eastAsia="zh-CN"/>
              </w:rPr>
              <w:t>手术室废水产生量为</w:t>
            </w:r>
            <w:r>
              <w:rPr>
                <w:rFonts w:hint="eastAsia" w:ascii="Times New Roman" w:hAnsi="Times New Roman" w:eastAsia="宋体" w:cs="Times New Roman"/>
                <w:b w:val="0"/>
                <w:bCs/>
                <w:color w:val="auto"/>
                <w:sz w:val="24"/>
                <w:szCs w:val="24"/>
                <w:highlight w:val="none"/>
                <w:lang w:val="en-US" w:eastAsia="zh-CN"/>
              </w:rPr>
              <w:t>0.9t</w:t>
            </w:r>
            <w:r>
              <w:rPr>
                <w:rFonts w:hint="default" w:ascii="Times New Roman" w:hAnsi="Times New Roman" w:eastAsia="宋体" w:cs="Times New Roman"/>
                <w:b w:val="0"/>
                <w:bCs/>
                <w:color w:val="auto"/>
                <w:sz w:val="24"/>
                <w:szCs w:val="24"/>
                <w:highlight w:val="none"/>
                <w:lang w:val="en-US" w:eastAsia="zh-CN"/>
              </w:rPr>
              <w:t>/d（</w:t>
            </w:r>
            <w:r>
              <w:rPr>
                <w:rFonts w:hint="eastAsia" w:ascii="Times New Roman" w:hAnsi="Times New Roman" w:eastAsia="宋体" w:cs="Times New Roman"/>
                <w:b w:val="0"/>
                <w:bCs/>
                <w:color w:val="auto"/>
                <w:sz w:val="24"/>
                <w:szCs w:val="24"/>
                <w:highlight w:val="none"/>
                <w:lang w:val="en-US" w:eastAsia="zh-CN"/>
              </w:rPr>
              <w:t>328.5t</w:t>
            </w:r>
            <w:r>
              <w:rPr>
                <w:rFonts w:hint="default" w:ascii="Times New Roman" w:hAnsi="Times New Roman" w:eastAsia="宋体" w:cs="Times New Roman"/>
                <w:b w:val="0"/>
                <w:bCs/>
                <w:color w:val="auto"/>
                <w:sz w:val="24"/>
                <w:szCs w:val="24"/>
                <w:highlight w:val="none"/>
                <w:lang w:val="en-US" w:eastAsia="zh-CN"/>
              </w:rPr>
              <w:t>/a）</w:t>
            </w:r>
            <w:r>
              <w:rPr>
                <w:rFonts w:hint="eastAsia" w:ascii="Times New Roman" w:hAnsi="Times New Roman" w:eastAsia="宋体"/>
                <w:b w:val="0"/>
                <w:bCs/>
                <w:color w:val="auto"/>
                <w:sz w:val="24"/>
                <w:szCs w:val="24"/>
                <w:lang w:val="en-US" w:eastAsia="zh-CN"/>
              </w:rPr>
              <w:t>，</w:t>
            </w:r>
            <w:r>
              <w:rPr>
                <w:rFonts w:hint="eastAsia"/>
                <w:color w:val="auto"/>
                <w:sz w:val="24"/>
                <w:lang w:val="en-US" w:eastAsia="zh-CN"/>
              </w:rPr>
              <w:t>该部分废水</w:t>
            </w:r>
            <w:r>
              <w:rPr>
                <w:rFonts w:hint="eastAsia" w:ascii="Times New Roman" w:hAnsi="Times New Roman"/>
                <w:b w:val="0"/>
                <w:bCs w:val="0"/>
                <w:color w:val="auto"/>
                <w:sz w:val="24"/>
                <w:szCs w:val="24"/>
              </w:rPr>
              <w:t>经化粪池</w:t>
            </w:r>
            <w:r>
              <w:rPr>
                <w:rFonts w:hint="eastAsia" w:ascii="Times New Roman" w:hAnsi="Times New Roman"/>
                <w:b w:val="0"/>
                <w:bCs w:val="0"/>
                <w:color w:val="auto"/>
                <w:sz w:val="24"/>
                <w:szCs w:val="24"/>
                <w:lang w:eastAsia="zh-CN"/>
              </w:rPr>
              <w:t>预处理</w:t>
            </w:r>
            <w:r>
              <w:rPr>
                <w:rFonts w:hint="eastAsia" w:ascii="Times New Roman" w:hAnsi="Times New Roman"/>
                <w:b w:val="0"/>
                <w:bCs w:val="0"/>
                <w:color w:val="auto"/>
                <w:sz w:val="24"/>
                <w:szCs w:val="24"/>
              </w:rPr>
              <w:t>，再经医院自建污水处理站处理后，接入市政污水管网。</w:t>
            </w:r>
          </w:p>
          <w:p w14:paraId="63BFDDEE">
            <w:pPr>
              <w:spacing w:line="360" w:lineRule="auto"/>
              <w:ind w:firstLine="480" w:firstLineChars="200"/>
              <w:rPr>
                <w:rFonts w:hint="default" w:ascii="Times New Roman" w:hAnsi="Times New Roman" w:eastAsia="宋体"/>
                <w:b w:val="0"/>
                <w:bCs/>
                <w:color w:val="auto"/>
                <w:sz w:val="24"/>
                <w:szCs w:val="24"/>
                <w:lang w:val="en-US" w:eastAsia="zh-CN"/>
              </w:rPr>
            </w:pPr>
            <w:r>
              <w:rPr>
                <w:rFonts w:hint="eastAsia" w:ascii="Times New Roman" w:hAnsi="Times New Roman" w:eastAsia="宋体"/>
                <w:b w:val="0"/>
                <w:bCs/>
                <w:color w:val="auto"/>
                <w:sz w:val="24"/>
                <w:szCs w:val="24"/>
                <w:lang w:val="en-US" w:eastAsia="zh-CN"/>
              </w:rPr>
              <w:t>主要污染因子</w:t>
            </w:r>
            <w:r>
              <w:rPr>
                <w:rFonts w:hint="eastAsia"/>
                <w:b w:val="0"/>
                <w:bCs/>
                <w:color w:val="auto"/>
                <w:sz w:val="24"/>
                <w:szCs w:val="24"/>
                <w:lang w:val="en-US" w:eastAsia="zh-CN"/>
              </w:rPr>
              <w:t>为pH</w:t>
            </w:r>
            <w:r>
              <w:rPr>
                <w:rFonts w:hint="eastAsia" w:ascii="Times New Roman" w:hAnsi="Times New Roman" w:eastAsia="宋体"/>
                <w:b w:val="0"/>
                <w:bCs/>
                <w:color w:val="auto"/>
                <w:sz w:val="24"/>
                <w:szCs w:val="24"/>
                <w:lang w:val="en-US" w:eastAsia="zh-CN"/>
              </w:rPr>
              <w:t>、COD、BOD</w:t>
            </w:r>
            <w:r>
              <w:rPr>
                <w:rFonts w:hint="eastAsia" w:ascii="Times New Roman" w:hAnsi="Times New Roman" w:eastAsia="宋体"/>
                <w:b w:val="0"/>
                <w:bCs/>
                <w:color w:val="auto"/>
                <w:sz w:val="24"/>
                <w:szCs w:val="24"/>
                <w:vertAlign w:val="subscript"/>
                <w:lang w:val="en-US" w:eastAsia="zh-CN"/>
              </w:rPr>
              <w:t>5</w:t>
            </w:r>
            <w:r>
              <w:rPr>
                <w:rFonts w:hint="eastAsia" w:ascii="Times New Roman" w:hAnsi="Times New Roman" w:eastAsia="宋体"/>
                <w:b w:val="0"/>
                <w:bCs/>
                <w:color w:val="auto"/>
                <w:sz w:val="24"/>
                <w:szCs w:val="24"/>
                <w:lang w:val="en-US" w:eastAsia="zh-CN"/>
              </w:rPr>
              <w:t>、SS、NH</w:t>
            </w:r>
            <w:r>
              <w:rPr>
                <w:rFonts w:hint="eastAsia" w:ascii="Times New Roman" w:hAnsi="Times New Roman" w:eastAsia="宋体"/>
                <w:b w:val="0"/>
                <w:bCs/>
                <w:color w:val="auto"/>
                <w:sz w:val="24"/>
                <w:szCs w:val="24"/>
                <w:vertAlign w:val="subscript"/>
                <w:lang w:val="en-US" w:eastAsia="zh-CN"/>
              </w:rPr>
              <w:t>3</w:t>
            </w:r>
            <w:r>
              <w:rPr>
                <w:rFonts w:hint="eastAsia" w:ascii="Times New Roman" w:hAnsi="Times New Roman" w:eastAsia="宋体"/>
                <w:b w:val="0"/>
                <w:bCs/>
                <w:color w:val="auto"/>
                <w:sz w:val="24"/>
                <w:szCs w:val="24"/>
                <w:lang w:val="en-US" w:eastAsia="zh-CN"/>
              </w:rPr>
              <w:t>-N、粪大肠菌群。</w:t>
            </w:r>
          </w:p>
          <w:p w14:paraId="5A58E894">
            <w:pPr>
              <w:numPr>
                <w:ilvl w:val="0"/>
                <w:numId w:val="0"/>
              </w:numPr>
              <w:spacing w:line="360" w:lineRule="auto"/>
              <w:ind w:firstLine="480" w:firstLineChars="200"/>
              <w:rPr>
                <w:rFonts w:hint="eastAsia" w:ascii="宋体" w:hAnsi="宋体" w:eastAsia="宋体" w:cs="宋体"/>
                <w:b w:val="0"/>
                <w:bCs/>
                <w:color w:val="auto"/>
                <w:sz w:val="24"/>
                <w:szCs w:val="24"/>
                <w:lang w:val="en-US" w:eastAsia="zh-CN"/>
              </w:rPr>
            </w:pPr>
            <w:r>
              <w:rPr>
                <w:rFonts w:hint="eastAsia" w:ascii="宋体" w:hAnsi="宋体" w:eastAsia="宋体" w:cs="宋体"/>
                <w:b w:val="0"/>
                <w:bCs/>
                <w:color w:val="auto"/>
                <w:sz w:val="24"/>
                <w:szCs w:val="24"/>
                <w:lang w:val="en-US" w:eastAsia="zh-CN"/>
              </w:rPr>
              <w:t>（7）浓水</w:t>
            </w:r>
          </w:p>
          <w:p w14:paraId="50FE3A69">
            <w:pPr>
              <w:spacing w:line="360" w:lineRule="auto"/>
              <w:ind w:firstLine="480" w:firstLineChars="200"/>
              <w:rPr>
                <w:rFonts w:hint="default" w:ascii="Times New Roman" w:hAnsi="Times New Roman" w:eastAsia="宋体"/>
                <w:b w:val="0"/>
                <w:bCs/>
                <w:color w:val="auto"/>
                <w:sz w:val="24"/>
                <w:szCs w:val="24"/>
                <w:lang w:val="en-US" w:eastAsia="zh-CN"/>
              </w:rPr>
            </w:pPr>
            <w:r>
              <w:rPr>
                <w:rFonts w:hint="eastAsia" w:ascii="宋体" w:hAnsi="宋体" w:eastAsia="宋体" w:cs="宋体"/>
                <w:b w:val="0"/>
                <w:bCs/>
                <w:color w:val="auto"/>
                <w:sz w:val="24"/>
                <w:szCs w:val="24"/>
                <w:lang w:val="en-US" w:eastAsia="zh-CN"/>
              </w:rPr>
              <w:t>根据前文计算，</w:t>
            </w:r>
            <w:r>
              <w:rPr>
                <w:rFonts w:hint="default" w:ascii="Times New Roman" w:hAnsi="Times New Roman" w:eastAsia="宋体" w:cs="Times New Roman"/>
                <w:b w:val="0"/>
                <w:bCs/>
                <w:color w:val="auto"/>
                <w:sz w:val="24"/>
                <w:szCs w:val="24"/>
                <w:highlight w:val="none"/>
                <w:lang w:val="en-US" w:eastAsia="zh-CN"/>
              </w:rPr>
              <w:t>浓水产生量为</w:t>
            </w:r>
            <w:r>
              <w:rPr>
                <w:rFonts w:hint="eastAsia" w:ascii="Times New Roman" w:hAnsi="Times New Roman" w:eastAsia="宋体" w:cs="Times New Roman"/>
                <w:b w:val="0"/>
                <w:bCs/>
                <w:color w:val="auto"/>
                <w:sz w:val="24"/>
                <w:szCs w:val="24"/>
                <w:highlight w:val="none"/>
                <w:lang w:val="en-US" w:eastAsia="zh-CN"/>
              </w:rPr>
              <w:t>0.429t</w:t>
            </w:r>
            <w:r>
              <w:rPr>
                <w:rFonts w:hint="default" w:ascii="Times New Roman" w:hAnsi="Times New Roman" w:eastAsia="宋体" w:cs="Times New Roman"/>
                <w:b w:val="0"/>
                <w:bCs/>
                <w:color w:val="auto"/>
                <w:sz w:val="24"/>
                <w:szCs w:val="24"/>
                <w:highlight w:val="none"/>
                <w:lang w:val="en-US" w:eastAsia="zh-CN"/>
              </w:rPr>
              <w:t>/d（</w:t>
            </w:r>
            <w:r>
              <w:rPr>
                <w:rFonts w:hint="eastAsia" w:ascii="Times New Roman" w:hAnsi="Times New Roman" w:eastAsia="宋体" w:cs="Times New Roman"/>
                <w:b w:val="0"/>
                <w:bCs/>
                <w:color w:val="auto"/>
                <w:sz w:val="24"/>
                <w:szCs w:val="24"/>
                <w:highlight w:val="none"/>
                <w:lang w:val="en-US" w:eastAsia="zh-CN"/>
              </w:rPr>
              <w:t>156.429t</w:t>
            </w:r>
            <w:r>
              <w:rPr>
                <w:rFonts w:hint="default" w:ascii="Times New Roman" w:hAnsi="Times New Roman" w:eastAsia="宋体" w:cs="Times New Roman"/>
                <w:b w:val="0"/>
                <w:bCs/>
                <w:color w:val="auto"/>
                <w:sz w:val="24"/>
                <w:szCs w:val="24"/>
                <w:highlight w:val="none"/>
                <w:lang w:val="en-US" w:eastAsia="zh-CN"/>
              </w:rPr>
              <w:t>/a）</w:t>
            </w:r>
            <w:r>
              <w:rPr>
                <w:rFonts w:hint="eastAsia" w:ascii="Times New Roman" w:hAnsi="Times New Roman" w:eastAsia="宋体" w:cs="Times New Roman"/>
                <w:b w:val="0"/>
                <w:bCs/>
                <w:color w:val="auto"/>
                <w:sz w:val="24"/>
                <w:szCs w:val="24"/>
                <w:highlight w:val="none"/>
                <w:lang w:val="en-US" w:eastAsia="zh-CN"/>
              </w:rPr>
              <w:t>，</w:t>
            </w:r>
            <w:r>
              <w:rPr>
                <w:rFonts w:hint="eastAsia" w:ascii="Times New Roman" w:hAnsi="Times New Roman" w:eastAsia="宋体"/>
                <w:b w:val="0"/>
                <w:bCs/>
                <w:color w:val="auto"/>
                <w:sz w:val="24"/>
                <w:szCs w:val="24"/>
                <w:lang w:val="en-US" w:eastAsia="zh-CN"/>
              </w:rPr>
              <w:t>经污水处理站处理后，接入市政污水管网。主要污染物为COD、SS。</w:t>
            </w:r>
          </w:p>
          <w:p w14:paraId="4F648FE9">
            <w:pPr>
              <w:spacing w:line="360" w:lineRule="auto"/>
              <w:ind w:firstLine="480" w:firstLineChars="200"/>
              <w:rPr>
                <w:rFonts w:hint="eastAsia" w:ascii="宋体" w:hAnsi="宋体" w:eastAsia="宋体" w:cs="宋体"/>
                <w:b w:val="0"/>
                <w:bCs/>
                <w:color w:val="auto"/>
                <w:sz w:val="24"/>
                <w:szCs w:val="24"/>
                <w:lang w:eastAsia="zh-CN"/>
              </w:rPr>
            </w:pPr>
            <w:r>
              <w:rPr>
                <w:rFonts w:hint="eastAsia" w:ascii="宋体" w:hAnsi="宋体" w:eastAsia="宋体" w:cs="宋体"/>
                <w:b w:val="0"/>
                <w:bCs/>
                <w:color w:val="auto"/>
                <w:sz w:val="24"/>
                <w:szCs w:val="24"/>
                <w:lang w:eastAsia="zh-CN"/>
              </w:rPr>
              <w:t>（</w:t>
            </w:r>
            <w:r>
              <w:rPr>
                <w:rFonts w:hint="eastAsia" w:ascii="宋体" w:hAnsi="宋体" w:eastAsia="宋体" w:cs="宋体"/>
                <w:b w:val="0"/>
                <w:bCs/>
                <w:color w:val="auto"/>
                <w:sz w:val="24"/>
                <w:szCs w:val="24"/>
                <w:lang w:val="en-US" w:eastAsia="zh-CN"/>
              </w:rPr>
              <w:t>8</w:t>
            </w:r>
            <w:r>
              <w:rPr>
                <w:rFonts w:hint="eastAsia" w:ascii="宋体" w:hAnsi="宋体" w:eastAsia="宋体" w:cs="宋体"/>
                <w:b w:val="0"/>
                <w:bCs/>
                <w:color w:val="auto"/>
                <w:sz w:val="24"/>
                <w:szCs w:val="24"/>
                <w:lang w:eastAsia="zh-CN"/>
              </w:rPr>
              <w:t>）保洁废水</w:t>
            </w:r>
          </w:p>
          <w:p w14:paraId="6FC8D1D9">
            <w:pPr>
              <w:spacing w:line="360" w:lineRule="auto"/>
              <w:ind w:firstLine="480" w:firstLineChars="200"/>
              <w:rPr>
                <w:rFonts w:hint="eastAsia" w:ascii="Times New Roman" w:hAnsi="Times New Roman" w:eastAsia="宋体" w:cs="Times New Roman"/>
                <w:b w:val="0"/>
                <w:bCs/>
                <w:color w:val="auto"/>
                <w:sz w:val="24"/>
                <w:szCs w:val="24"/>
              </w:rPr>
            </w:pPr>
            <w:r>
              <w:rPr>
                <w:rFonts w:hint="eastAsia" w:ascii="宋体" w:hAnsi="宋体" w:eastAsia="宋体" w:cs="宋体"/>
                <w:b w:val="0"/>
                <w:bCs/>
                <w:color w:val="auto"/>
                <w:sz w:val="24"/>
                <w:szCs w:val="24"/>
                <w:lang w:val="en-US" w:eastAsia="zh-CN"/>
              </w:rPr>
              <w:t>根据前文计算，</w:t>
            </w:r>
            <w:r>
              <w:rPr>
                <w:rFonts w:hint="default" w:ascii="Times New Roman" w:hAnsi="Times New Roman" w:eastAsia="宋体" w:cs="Times New Roman"/>
                <w:b w:val="0"/>
                <w:bCs/>
                <w:color w:val="auto"/>
                <w:sz w:val="24"/>
                <w:szCs w:val="24"/>
              </w:rPr>
              <w:t>保洁废水产生量为</w:t>
            </w:r>
            <w:r>
              <w:rPr>
                <w:rFonts w:hint="eastAsia" w:ascii="Times New Roman" w:hAnsi="Times New Roman" w:eastAsia="宋体" w:cs="Times New Roman"/>
                <w:b w:val="0"/>
                <w:bCs/>
                <w:color w:val="auto"/>
                <w:sz w:val="24"/>
                <w:szCs w:val="24"/>
                <w:lang w:val="en-US" w:eastAsia="zh-CN"/>
              </w:rPr>
              <w:t>0.4</w:t>
            </w:r>
            <w:r>
              <w:rPr>
                <w:rFonts w:hint="default" w:ascii="Times New Roman" w:hAnsi="Times New Roman" w:eastAsia="宋体" w:cs="Times New Roman"/>
                <w:b w:val="0"/>
                <w:bCs/>
                <w:color w:val="auto"/>
                <w:sz w:val="24"/>
                <w:szCs w:val="24"/>
                <w:lang w:val="en-US" w:eastAsia="zh-CN"/>
              </w:rPr>
              <w:t>t</w:t>
            </w:r>
            <w:r>
              <w:rPr>
                <w:rFonts w:hint="default" w:ascii="Times New Roman" w:hAnsi="Times New Roman" w:eastAsia="宋体" w:cs="Times New Roman"/>
                <w:b w:val="0"/>
                <w:bCs/>
                <w:color w:val="auto"/>
                <w:sz w:val="24"/>
                <w:szCs w:val="24"/>
              </w:rPr>
              <w:t>/d（</w:t>
            </w:r>
            <w:r>
              <w:rPr>
                <w:rFonts w:hint="eastAsia" w:ascii="Times New Roman" w:hAnsi="Times New Roman" w:eastAsia="宋体" w:cs="Times New Roman"/>
                <w:b w:val="0"/>
                <w:bCs/>
                <w:color w:val="auto"/>
                <w:sz w:val="24"/>
                <w:szCs w:val="24"/>
                <w:lang w:val="en-US" w:eastAsia="zh-CN"/>
              </w:rPr>
              <w:t>146</w:t>
            </w:r>
            <w:r>
              <w:rPr>
                <w:rFonts w:hint="default" w:ascii="Times New Roman" w:hAnsi="Times New Roman" w:eastAsia="宋体" w:cs="Times New Roman"/>
                <w:b w:val="0"/>
                <w:bCs/>
                <w:color w:val="auto"/>
                <w:sz w:val="24"/>
                <w:szCs w:val="24"/>
                <w:lang w:val="en-US" w:eastAsia="zh-CN"/>
              </w:rPr>
              <w:t>t</w:t>
            </w:r>
            <w:r>
              <w:rPr>
                <w:rFonts w:hint="default" w:ascii="Times New Roman" w:hAnsi="Times New Roman" w:eastAsia="宋体" w:cs="Times New Roman"/>
                <w:b w:val="0"/>
                <w:bCs/>
                <w:color w:val="auto"/>
                <w:sz w:val="24"/>
                <w:szCs w:val="24"/>
              </w:rPr>
              <w:t>/a）。</w:t>
            </w:r>
            <w:r>
              <w:rPr>
                <w:rFonts w:hint="eastAsia" w:ascii="Times New Roman" w:hAnsi="Times New Roman" w:eastAsia="宋体" w:cs="Times New Roman"/>
                <w:b w:val="0"/>
                <w:bCs/>
                <w:color w:val="auto"/>
                <w:sz w:val="24"/>
                <w:szCs w:val="24"/>
                <w:lang w:eastAsia="zh-CN"/>
              </w:rPr>
              <w:t>该部分废水</w:t>
            </w:r>
            <w:r>
              <w:rPr>
                <w:rFonts w:hint="eastAsia" w:ascii="Times New Roman" w:hAnsi="Times New Roman" w:eastAsia="宋体" w:cs="Times New Roman"/>
                <w:b w:val="0"/>
                <w:bCs/>
                <w:color w:val="auto"/>
                <w:sz w:val="24"/>
                <w:szCs w:val="24"/>
              </w:rPr>
              <w:t>经污水处理站处理后，接入市政污水管网。</w:t>
            </w:r>
          </w:p>
          <w:p w14:paraId="33CFA034">
            <w:pPr>
              <w:spacing w:line="360" w:lineRule="auto"/>
              <w:ind w:firstLine="480" w:firstLineChars="200"/>
              <w:rPr>
                <w:rFonts w:hint="eastAsia" w:ascii="Times New Roman" w:hAnsi="Times New Roman" w:eastAsia="宋体" w:cs="Times New Roman"/>
                <w:b w:val="0"/>
                <w:bCs/>
                <w:color w:val="auto"/>
                <w:sz w:val="24"/>
                <w:szCs w:val="24"/>
                <w:lang w:val="en-US" w:eastAsia="zh-CN"/>
              </w:rPr>
            </w:pPr>
            <w:r>
              <w:rPr>
                <w:rFonts w:hint="eastAsia" w:ascii="Times New Roman" w:hAnsi="Times New Roman" w:eastAsia="宋体" w:cs="Times New Roman"/>
                <w:b w:val="0"/>
                <w:bCs/>
                <w:color w:val="auto"/>
                <w:sz w:val="24"/>
                <w:szCs w:val="24"/>
              </w:rPr>
              <w:t>主要污染因子为COD、SS</w:t>
            </w:r>
            <w:r>
              <w:rPr>
                <w:rFonts w:hint="eastAsia" w:ascii="Times New Roman" w:hAnsi="Times New Roman" w:eastAsia="宋体" w:cs="Times New Roman"/>
                <w:b w:val="0"/>
                <w:bCs/>
                <w:color w:val="auto"/>
                <w:sz w:val="24"/>
                <w:szCs w:val="24"/>
                <w:lang w:eastAsia="zh-CN"/>
              </w:rPr>
              <w:t>，浓度依次为</w:t>
            </w:r>
            <w:r>
              <w:rPr>
                <w:rFonts w:hint="eastAsia" w:ascii="Times New Roman" w:hAnsi="Times New Roman" w:eastAsia="宋体" w:cs="Times New Roman"/>
                <w:b w:val="0"/>
                <w:bCs/>
                <w:color w:val="auto"/>
                <w:sz w:val="24"/>
                <w:szCs w:val="24"/>
                <w:lang w:val="en-US" w:eastAsia="zh-CN"/>
              </w:rPr>
              <w:t>150mg/L，150mg/L。</w:t>
            </w:r>
          </w:p>
          <w:p w14:paraId="612E4581">
            <w:pPr>
              <w:pStyle w:val="8"/>
              <w:spacing w:line="360" w:lineRule="auto"/>
              <w:ind w:firstLine="480" w:firstLineChars="200"/>
              <w:rPr>
                <w:rFonts w:hint="eastAsia"/>
                <w:sz w:val="24"/>
                <w:lang w:eastAsia="zh-CN"/>
              </w:rPr>
            </w:pPr>
            <w:r>
              <w:rPr>
                <w:rFonts w:hint="default" w:ascii="Times New Roman" w:hAnsi="Times New Roman" w:eastAsia="宋体" w:cs="Times New Roman"/>
                <w:i w:val="0"/>
                <w:iCs w:val="0"/>
                <w:caps w:val="0"/>
                <w:color w:val="0F1115"/>
                <w:spacing w:val="0"/>
                <w:sz w:val="24"/>
                <w:szCs w:val="24"/>
                <w:shd w:val="clear" w:fill="FFFFFF"/>
              </w:rPr>
              <w:t>本项目为综合医院，无传染科室，废水以生活污水和常规医疗废水为主，</w:t>
            </w:r>
            <w:r>
              <w:rPr>
                <w:rFonts w:hint="eastAsia" w:ascii="Times New Roman" w:hAnsi="Times New Roman" w:cs="Times New Roman"/>
                <w:color w:val="auto"/>
                <w:sz w:val="24"/>
                <w:lang w:val="en-US" w:eastAsia="zh-CN"/>
              </w:rPr>
              <w:t>因此普通</w:t>
            </w:r>
            <w:r>
              <w:rPr>
                <w:rFonts w:hint="default" w:ascii="Times New Roman" w:hAnsi="Times New Roman" w:cs="Times New Roman"/>
                <w:color w:val="auto"/>
                <w:sz w:val="24"/>
                <w:lang w:eastAsia="zh-CN"/>
              </w:rPr>
              <w:t>门诊废水、</w:t>
            </w:r>
            <w:r>
              <w:rPr>
                <w:rFonts w:hint="eastAsia" w:ascii="Times New Roman" w:hAnsi="Times New Roman" w:cs="Times New Roman"/>
                <w:color w:val="auto"/>
                <w:sz w:val="24"/>
                <w:lang w:val="en-US" w:eastAsia="zh-CN"/>
              </w:rPr>
              <w:t>口腔科废水、</w:t>
            </w:r>
            <w:r>
              <w:rPr>
                <w:rFonts w:hint="default" w:ascii="Times New Roman" w:hAnsi="Times New Roman" w:cs="Times New Roman"/>
                <w:color w:val="auto"/>
                <w:sz w:val="24"/>
                <w:lang w:eastAsia="zh-CN"/>
              </w:rPr>
              <w:t>病房废水、检验废水</w:t>
            </w:r>
            <w:r>
              <w:rPr>
                <w:rFonts w:hint="eastAsia" w:ascii="Times New Roman" w:hAnsi="Times New Roman" w:cs="Times New Roman"/>
                <w:color w:val="auto"/>
                <w:sz w:val="24"/>
                <w:lang w:eastAsia="zh-CN"/>
              </w:rPr>
              <w:t>、</w:t>
            </w:r>
            <w:r>
              <w:rPr>
                <w:rFonts w:hint="eastAsia" w:ascii="Times New Roman" w:hAnsi="Times New Roman" w:cs="Times New Roman"/>
                <w:color w:val="auto"/>
                <w:sz w:val="24"/>
                <w:lang w:val="en-US" w:eastAsia="zh-CN"/>
              </w:rPr>
              <w:t>手术室废水参照</w:t>
            </w:r>
            <w:r>
              <w:rPr>
                <w:rFonts w:hint="default" w:ascii="Times New Roman" w:hAnsi="Times New Roman" w:cs="Times New Roman"/>
                <w:color w:val="auto"/>
                <w:sz w:val="24"/>
                <w:lang w:eastAsia="zh-CN"/>
              </w:rPr>
              <w:t>《医院污水处理工程技术规范》（</w:t>
            </w:r>
            <w:r>
              <w:rPr>
                <w:rFonts w:hint="default" w:ascii="Times New Roman" w:hAnsi="Times New Roman" w:cs="Times New Roman"/>
                <w:color w:val="auto"/>
                <w:sz w:val="24"/>
                <w:lang w:val="en-US" w:eastAsia="zh-CN"/>
              </w:rPr>
              <w:t>HJ2029-2013</w:t>
            </w:r>
            <w:r>
              <w:rPr>
                <w:rFonts w:hint="default" w:ascii="Times New Roman" w:hAnsi="Times New Roman" w:cs="Times New Roman"/>
                <w:color w:val="auto"/>
                <w:sz w:val="24"/>
                <w:lang w:eastAsia="zh-CN"/>
              </w:rPr>
              <w:t>）</w:t>
            </w:r>
            <w:r>
              <w:rPr>
                <w:rFonts w:hint="eastAsia"/>
                <w:color w:val="auto"/>
                <w:sz w:val="24"/>
                <w:lang w:eastAsia="zh-CN"/>
              </w:rPr>
              <w:t>，污水水质参</w:t>
            </w:r>
            <w:bookmarkStart w:id="11" w:name="_GoBack"/>
            <w:bookmarkEnd w:id="11"/>
            <w:r>
              <w:rPr>
                <w:rFonts w:hint="eastAsia"/>
                <w:sz w:val="24"/>
                <w:lang w:eastAsia="zh-CN"/>
              </w:rPr>
              <w:t>考下表。</w:t>
            </w:r>
          </w:p>
          <w:p w14:paraId="17E4E46C">
            <w:pPr>
              <w:pStyle w:val="2"/>
              <w:ind w:left="0" w:leftChars="0" w:firstLine="0"/>
              <w:jc w:val="center"/>
              <w:rPr>
                <w:rFonts w:hint="eastAsia"/>
                <w:b/>
                <w:bCs/>
                <w:lang w:eastAsia="zh-CN"/>
              </w:rPr>
            </w:pPr>
          </w:p>
          <w:p w14:paraId="010FDB3D">
            <w:pPr>
              <w:pStyle w:val="2"/>
              <w:ind w:left="0" w:leftChars="0" w:firstLine="0"/>
              <w:jc w:val="center"/>
              <w:rPr>
                <w:rFonts w:hint="eastAsia"/>
                <w:b/>
                <w:bCs/>
                <w:lang w:eastAsia="zh-CN"/>
              </w:rPr>
            </w:pPr>
          </w:p>
          <w:p w14:paraId="3508CBE7">
            <w:pPr>
              <w:rPr>
                <w:rFonts w:hint="eastAsia"/>
                <w:lang w:eastAsia="zh-CN"/>
              </w:rPr>
            </w:pPr>
          </w:p>
          <w:p w14:paraId="4FE73C9B">
            <w:pPr>
              <w:pStyle w:val="2"/>
              <w:ind w:left="0" w:leftChars="0" w:firstLine="0"/>
              <w:jc w:val="center"/>
              <w:rPr>
                <w:rFonts w:hint="default" w:eastAsia="宋体"/>
                <w:b/>
                <w:bCs/>
                <w:lang w:eastAsia="zh-CN"/>
              </w:rPr>
            </w:pPr>
            <w:r>
              <w:rPr>
                <w:rFonts w:hint="eastAsia"/>
                <w:b/>
                <w:bCs/>
                <w:lang w:eastAsia="zh-CN"/>
              </w:rPr>
              <w:t>表</w:t>
            </w:r>
            <w:r>
              <w:rPr>
                <w:rFonts w:hint="eastAsia"/>
                <w:b/>
                <w:bCs/>
                <w:lang w:val="en-US" w:eastAsia="zh-CN"/>
              </w:rPr>
              <w:t>4-4医院污水参考水质</w:t>
            </w:r>
          </w:p>
          <w:tbl>
            <w:tblPr>
              <w:tblStyle w:val="14"/>
              <w:tblW w:w="495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70"/>
              <w:gridCol w:w="1770"/>
              <w:gridCol w:w="1160"/>
              <w:gridCol w:w="1190"/>
              <w:gridCol w:w="1161"/>
              <w:gridCol w:w="1072"/>
            </w:tblGrid>
            <w:tr w14:paraId="23DC6C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70" w:type="dxa"/>
                  <w:noWrap w:val="0"/>
                  <w:vAlign w:val="center"/>
                </w:tcPr>
                <w:p w14:paraId="6383471A">
                  <w:pPr>
                    <w:widowControl/>
                    <w:ind w:firstLine="0" w:firstLineChars="0"/>
                    <w:jc w:val="center"/>
                    <w:rPr>
                      <w:rFonts w:hint="eastAsia" w:eastAsia="宋体" w:cs="Times New Roman"/>
                      <w:b/>
                      <w:bCs/>
                      <w:color w:val="auto"/>
                      <w:kern w:val="0"/>
                      <w:szCs w:val="21"/>
                      <w:lang w:eastAsia="zh-CN" w:bidi="ar"/>
                    </w:rPr>
                  </w:pPr>
                  <w:r>
                    <w:rPr>
                      <w:rFonts w:hint="eastAsia" w:cs="Times New Roman"/>
                      <w:b/>
                      <w:bCs/>
                      <w:color w:val="auto"/>
                      <w:kern w:val="0"/>
                      <w:szCs w:val="21"/>
                      <w:lang w:eastAsia="zh-CN" w:bidi="ar"/>
                    </w:rPr>
                    <w:t>标准</w:t>
                  </w:r>
                </w:p>
              </w:tc>
              <w:tc>
                <w:tcPr>
                  <w:tcW w:w="1770" w:type="dxa"/>
                  <w:noWrap w:val="0"/>
                  <w:vAlign w:val="center"/>
                </w:tcPr>
                <w:p w14:paraId="43A0DFF7">
                  <w:pPr>
                    <w:widowControl/>
                    <w:ind w:firstLine="0" w:firstLineChars="0"/>
                    <w:jc w:val="center"/>
                    <w:rPr>
                      <w:rFonts w:cs="Times New Roman"/>
                      <w:b/>
                      <w:bCs/>
                      <w:color w:val="auto"/>
                      <w:szCs w:val="21"/>
                      <w:lang w:bidi="ar"/>
                    </w:rPr>
                  </w:pPr>
                  <w:r>
                    <w:rPr>
                      <w:rFonts w:cs="Times New Roman"/>
                      <w:b/>
                      <w:bCs/>
                      <w:color w:val="auto"/>
                      <w:kern w:val="0"/>
                      <w:szCs w:val="21"/>
                      <w:lang w:bidi="ar"/>
                    </w:rPr>
                    <w:t>指标</w:t>
                  </w:r>
                </w:p>
              </w:tc>
              <w:tc>
                <w:tcPr>
                  <w:tcW w:w="1160" w:type="dxa"/>
                  <w:noWrap w:val="0"/>
                  <w:vAlign w:val="center"/>
                </w:tcPr>
                <w:p w14:paraId="2C86B49B">
                  <w:pPr>
                    <w:widowControl/>
                    <w:ind w:firstLine="0" w:firstLineChars="0"/>
                    <w:jc w:val="center"/>
                    <w:rPr>
                      <w:rFonts w:cs="Times New Roman"/>
                      <w:color w:val="auto"/>
                      <w:szCs w:val="21"/>
                      <w:lang w:bidi="ar"/>
                    </w:rPr>
                  </w:pPr>
                  <w:r>
                    <w:rPr>
                      <w:rFonts w:cs="Times New Roman"/>
                      <w:color w:val="auto"/>
                      <w:kern w:val="0"/>
                      <w:szCs w:val="21"/>
                      <w:lang w:bidi="ar"/>
                    </w:rPr>
                    <w:t>COD</w:t>
                  </w:r>
                </w:p>
              </w:tc>
              <w:tc>
                <w:tcPr>
                  <w:tcW w:w="1190" w:type="dxa"/>
                  <w:noWrap w:val="0"/>
                  <w:vAlign w:val="center"/>
                </w:tcPr>
                <w:p w14:paraId="73BB02D2">
                  <w:pPr>
                    <w:widowControl/>
                    <w:ind w:firstLine="0" w:firstLineChars="0"/>
                    <w:jc w:val="center"/>
                    <w:rPr>
                      <w:rFonts w:cs="Times New Roman"/>
                      <w:color w:val="auto"/>
                      <w:szCs w:val="21"/>
                      <w:lang w:bidi="ar"/>
                    </w:rPr>
                  </w:pPr>
                  <w:r>
                    <w:rPr>
                      <w:rFonts w:cs="Times New Roman"/>
                      <w:color w:val="auto"/>
                      <w:kern w:val="0"/>
                      <w:szCs w:val="21"/>
                      <w:lang w:bidi="ar"/>
                    </w:rPr>
                    <w:t>BOD</w:t>
                  </w:r>
                  <w:r>
                    <w:rPr>
                      <w:rFonts w:cs="Times New Roman"/>
                      <w:color w:val="auto"/>
                      <w:kern w:val="0"/>
                      <w:szCs w:val="21"/>
                      <w:vertAlign w:val="subscript"/>
                      <w:lang w:bidi="ar"/>
                    </w:rPr>
                    <w:t>5</w:t>
                  </w:r>
                </w:p>
              </w:tc>
              <w:tc>
                <w:tcPr>
                  <w:tcW w:w="1161" w:type="dxa"/>
                  <w:noWrap w:val="0"/>
                  <w:vAlign w:val="center"/>
                </w:tcPr>
                <w:p w14:paraId="4EF1AF5A">
                  <w:pPr>
                    <w:widowControl/>
                    <w:ind w:firstLine="0" w:firstLineChars="0"/>
                    <w:jc w:val="center"/>
                    <w:rPr>
                      <w:rFonts w:cs="Times New Roman"/>
                      <w:color w:val="auto"/>
                      <w:lang w:bidi="ar"/>
                    </w:rPr>
                  </w:pPr>
                  <w:r>
                    <w:rPr>
                      <w:rFonts w:cs="Times New Roman"/>
                      <w:color w:val="auto"/>
                      <w:kern w:val="0"/>
                      <w:lang w:bidi="ar"/>
                    </w:rPr>
                    <w:t>氨氮</w:t>
                  </w:r>
                </w:p>
              </w:tc>
              <w:tc>
                <w:tcPr>
                  <w:tcW w:w="1072" w:type="dxa"/>
                  <w:noWrap w:val="0"/>
                  <w:vAlign w:val="center"/>
                </w:tcPr>
                <w:p w14:paraId="2190E61C">
                  <w:pPr>
                    <w:widowControl/>
                    <w:ind w:firstLine="0" w:firstLineChars="0"/>
                    <w:jc w:val="center"/>
                    <w:rPr>
                      <w:rFonts w:cs="Times New Roman"/>
                      <w:color w:val="auto"/>
                      <w:lang w:bidi="ar"/>
                    </w:rPr>
                  </w:pPr>
                  <w:r>
                    <w:rPr>
                      <w:rFonts w:cs="Times New Roman"/>
                      <w:color w:val="auto"/>
                      <w:kern w:val="0"/>
                      <w:lang w:bidi="ar"/>
                    </w:rPr>
                    <w:t>SS</w:t>
                  </w:r>
                </w:p>
              </w:tc>
            </w:tr>
            <w:tr w14:paraId="42C065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70" w:type="dxa"/>
                  <w:noWrap w:val="0"/>
                  <w:vAlign w:val="center"/>
                </w:tcPr>
                <w:p w14:paraId="72843E80">
                  <w:pPr>
                    <w:widowControl/>
                    <w:ind w:firstLine="0" w:firstLineChars="0"/>
                    <w:jc w:val="center"/>
                    <w:rPr>
                      <w:rFonts w:cs="Times New Roman"/>
                      <w:color w:val="auto"/>
                      <w:kern w:val="0"/>
                      <w:szCs w:val="21"/>
                      <w:lang w:bidi="ar"/>
                    </w:rPr>
                  </w:pPr>
                  <w:r>
                    <w:rPr>
                      <w:rFonts w:hint="default" w:ascii="Times New Roman" w:hAnsi="Times New Roman" w:cs="Times New Roman"/>
                      <w:color w:val="auto"/>
                      <w:sz w:val="21"/>
                      <w:szCs w:val="21"/>
                      <w:lang w:eastAsia="zh-CN"/>
                    </w:rPr>
                    <w:t>《医院污水处理工程技术规范》</w:t>
                  </w:r>
                </w:p>
              </w:tc>
              <w:tc>
                <w:tcPr>
                  <w:tcW w:w="1770" w:type="dxa"/>
                  <w:noWrap w:val="0"/>
                  <w:vAlign w:val="center"/>
                </w:tcPr>
                <w:p w14:paraId="575FDFD8">
                  <w:pPr>
                    <w:widowControl/>
                    <w:ind w:firstLine="0" w:firstLineChars="0"/>
                    <w:jc w:val="center"/>
                    <w:rPr>
                      <w:rFonts w:cs="Times New Roman"/>
                      <w:color w:val="auto"/>
                      <w:szCs w:val="21"/>
                      <w:lang w:bidi="ar"/>
                    </w:rPr>
                  </w:pPr>
                  <w:r>
                    <w:rPr>
                      <w:rFonts w:cs="Times New Roman"/>
                      <w:color w:val="auto"/>
                      <w:kern w:val="0"/>
                      <w:szCs w:val="21"/>
                      <w:lang w:bidi="ar"/>
                    </w:rPr>
                    <w:t>污染物浓度范围</w:t>
                  </w:r>
                </w:p>
              </w:tc>
              <w:tc>
                <w:tcPr>
                  <w:tcW w:w="1160" w:type="dxa"/>
                  <w:noWrap w:val="0"/>
                  <w:vAlign w:val="center"/>
                </w:tcPr>
                <w:p w14:paraId="40176A3D">
                  <w:pPr>
                    <w:widowControl/>
                    <w:ind w:firstLine="0" w:firstLineChars="0"/>
                    <w:jc w:val="center"/>
                    <w:rPr>
                      <w:rFonts w:cs="Times New Roman"/>
                      <w:color w:val="auto"/>
                      <w:szCs w:val="21"/>
                      <w:lang w:bidi="ar"/>
                    </w:rPr>
                  </w:pPr>
                  <w:r>
                    <w:rPr>
                      <w:rFonts w:cs="Times New Roman"/>
                      <w:color w:val="auto"/>
                      <w:kern w:val="0"/>
                      <w:szCs w:val="21"/>
                      <w:lang w:bidi="ar"/>
                    </w:rPr>
                    <w:t>150~300</w:t>
                  </w:r>
                </w:p>
              </w:tc>
              <w:tc>
                <w:tcPr>
                  <w:tcW w:w="1190" w:type="dxa"/>
                  <w:noWrap w:val="0"/>
                  <w:vAlign w:val="center"/>
                </w:tcPr>
                <w:p w14:paraId="2366FE30">
                  <w:pPr>
                    <w:widowControl/>
                    <w:ind w:firstLine="0" w:firstLineChars="0"/>
                    <w:jc w:val="center"/>
                    <w:rPr>
                      <w:rFonts w:cs="Times New Roman"/>
                      <w:color w:val="auto"/>
                      <w:szCs w:val="21"/>
                      <w:lang w:bidi="ar"/>
                    </w:rPr>
                  </w:pPr>
                  <w:r>
                    <w:rPr>
                      <w:rFonts w:cs="Times New Roman"/>
                      <w:color w:val="auto"/>
                      <w:kern w:val="0"/>
                      <w:szCs w:val="21"/>
                      <w:lang w:bidi="ar"/>
                    </w:rPr>
                    <w:t>80~150</w:t>
                  </w:r>
                </w:p>
              </w:tc>
              <w:tc>
                <w:tcPr>
                  <w:tcW w:w="1161" w:type="dxa"/>
                  <w:noWrap w:val="0"/>
                  <w:vAlign w:val="center"/>
                </w:tcPr>
                <w:p w14:paraId="6D685E90">
                  <w:pPr>
                    <w:widowControl/>
                    <w:ind w:firstLine="0" w:firstLineChars="0"/>
                    <w:jc w:val="center"/>
                    <w:rPr>
                      <w:rFonts w:cs="Times New Roman"/>
                      <w:color w:val="auto"/>
                      <w:lang w:bidi="ar"/>
                    </w:rPr>
                  </w:pPr>
                  <w:r>
                    <w:rPr>
                      <w:rFonts w:cs="Times New Roman"/>
                      <w:color w:val="auto"/>
                      <w:kern w:val="0"/>
                      <w:lang w:bidi="ar"/>
                    </w:rPr>
                    <w:t>10~50</w:t>
                  </w:r>
                </w:p>
              </w:tc>
              <w:tc>
                <w:tcPr>
                  <w:tcW w:w="1072" w:type="dxa"/>
                  <w:noWrap w:val="0"/>
                  <w:vAlign w:val="center"/>
                </w:tcPr>
                <w:p w14:paraId="0ED4C2B1">
                  <w:pPr>
                    <w:widowControl/>
                    <w:ind w:firstLine="0" w:firstLineChars="0"/>
                    <w:jc w:val="center"/>
                    <w:rPr>
                      <w:rFonts w:cs="Times New Roman"/>
                      <w:color w:val="auto"/>
                      <w:lang w:bidi="ar"/>
                    </w:rPr>
                  </w:pPr>
                  <w:r>
                    <w:rPr>
                      <w:rFonts w:cs="Times New Roman"/>
                      <w:color w:val="auto"/>
                      <w:kern w:val="0"/>
                      <w:lang w:bidi="ar"/>
                    </w:rPr>
                    <w:t>40~120</w:t>
                  </w:r>
                </w:p>
              </w:tc>
            </w:tr>
            <w:tr w14:paraId="3FDBFA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40" w:type="dxa"/>
                  <w:gridSpan w:val="2"/>
                  <w:noWrap w:val="0"/>
                  <w:vAlign w:val="center"/>
                </w:tcPr>
                <w:p w14:paraId="52208D10">
                  <w:pPr>
                    <w:widowControl/>
                    <w:ind w:firstLine="0" w:firstLineChars="0"/>
                    <w:jc w:val="center"/>
                    <w:rPr>
                      <w:rFonts w:cs="Times New Roman"/>
                      <w:color w:val="auto"/>
                      <w:kern w:val="0"/>
                      <w:szCs w:val="21"/>
                      <w:lang w:bidi="ar"/>
                    </w:rPr>
                  </w:pPr>
                  <w:r>
                    <w:rPr>
                      <w:rFonts w:hint="eastAsia" w:cs="Times New Roman"/>
                      <w:color w:val="auto"/>
                      <w:kern w:val="0"/>
                      <w:szCs w:val="21"/>
                      <w:lang w:eastAsia="zh-CN" w:bidi="ar"/>
                    </w:rPr>
                    <w:t>项目为综合医院，且无传染科室，因此</w:t>
                  </w:r>
                  <w:r>
                    <w:rPr>
                      <w:rFonts w:cs="Times New Roman"/>
                      <w:color w:val="auto"/>
                      <w:kern w:val="0"/>
                      <w:szCs w:val="21"/>
                      <w:lang w:bidi="ar"/>
                    </w:rPr>
                    <w:t>项目取值</w:t>
                  </w:r>
                </w:p>
              </w:tc>
              <w:tc>
                <w:tcPr>
                  <w:tcW w:w="1160" w:type="dxa"/>
                  <w:noWrap w:val="0"/>
                  <w:vAlign w:val="center"/>
                </w:tcPr>
                <w:p w14:paraId="069030A3">
                  <w:pPr>
                    <w:widowControl/>
                    <w:ind w:firstLine="0" w:firstLineChars="0"/>
                    <w:jc w:val="center"/>
                    <w:rPr>
                      <w:rFonts w:hint="default" w:cs="Times New Roman"/>
                      <w:color w:val="auto"/>
                      <w:kern w:val="0"/>
                      <w:szCs w:val="21"/>
                      <w:lang w:bidi="ar"/>
                    </w:rPr>
                  </w:pPr>
                  <w:r>
                    <w:rPr>
                      <w:rFonts w:hint="eastAsia" w:cs="Times New Roman"/>
                      <w:color w:val="auto"/>
                      <w:kern w:val="0"/>
                      <w:szCs w:val="21"/>
                      <w:lang w:eastAsia="zh-CN" w:bidi="ar"/>
                    </w:rPr>
                    <w:t>3</w:t>
                  </w:r>
                  <w:r>
                    <w:rPr>
                      <w:rFonts w:hint="eastAsia" w:cs="Times New Roman"/>
                      <w:color w:val="auto"/>
                      <w:kern w:val="0"/>
                      <w:szCs w:val="21"/>
                      <w:lang w:val="en-US" w:eastAsia="zh-CN" w:bidi="ar"/>
                    </w:rPr>
                    <w:t>00</w:t>
                  </w:r>
                </w:p>
              </w:tc>
              <w:tc>
                <w:tcPr>
                  <w:tcW w:w="1190" w:type="dxa"/>
                  <w:noWrap w:val="0"/>
                  <w:vAlign w:val="center"/>
                </w:tcPr>
                <w:p w14:paraId="11E514A4">
                  <w:pPr>
                    <w:widowControl/>
                    <w:ind w:firstLine="0" w:firstLineChars="0"/>
                    <w:jc w:val="center"/>
                    <w:rPr>
                      <w:rFonts w:hint="default" w:cs="Times New Roman"/>
                      <w:color w:val="auto"/>
                      <w:kern w:val="0"/>
                      <w:szCs w:val="21"/>
                      <w:lang w:bidi="ar"/>
                    </w:rPr>
                  </w:pPr>
                  <w:r>
                    <w:rPr>
                      <w:rFonts w:hint="eastAsia" w:cs="Times New Roman"/>
                      <w:color w:val="auto"/>
                      <w:kern w:val="0"/>
                      <w:szCs w:val="21"/>
                      <w:lang w:eastAsia="zh-CN" w:bidi="ar"/>
                    </w:rPr>
                    <w:t>1</w:t>
                  </w:r>
                  <w:r>
                    <w:rPr>
                      <w:rFonts w:hint="eastAsia" w:cs="Times New Roman"/>
                      <w:color w:val="auto"/>
                      <w:kern w:val="0"/>
                      <w:szCs w:val="21"/>
                      <w:lang w:val="en-US" w:eastAsia="zh-CN" w:bidi="ar"/>
                    </w:rPr>
                    <w:t>50</w:t>
                  </w:r>
                </w:p>
              </w:tc>
              <w:tc>
                <w:tcPr>
                  <w:tcW w:w="1161" w:type="dxa"/>
                  <w:noWrap w:val="0"/>
                  <w:vAlign w:val="center"/>
                </w:tcPr>
                <w:p w14:paraId="1C0B3C86">
                  <w:pPr>
                    <w:widowControl/>
                    <w:ind w:firstLine="0" w:firstLineChars="0"/>
                    <w:jc w:val="center"/>
                    <w:rPr>
                      <w:rFonts w:hint="default" w:eastAsia="宋体" w:cs="Times New Roman"/>
                      <w:color w:val="auto"/>
                      <w:kern w:val="0"/>
                      <w:lang w:val="en-US" w:eastAsia="zh-CN" w:bidi="ar"/>
                    </w:rPr>
                  </w:pPr>
                  <w:r>
                    <w:rPr>
                      <w:rFonts w:hint="eastAsia" w:cs="Times New Roman"/>
                      <w:color w:val="auto"/>
                      <w:kern w:val="0"/>
                      <w:lang w:val="en-US" w:eastAsia="zh-CN" w:bidi="ar"/>
                    </w:rPr>
                    <w:t>40</w:t>
                  </w:r>
                </w:p>
              </w:tc>
              <w:tc>
                <w:tcPr>
                  <w:tcW w:w="1072" w:type="dxa"/>
                  <w:noWrap w:val="0"/>
                  <w:vAlign w:val="center"/>
                </w:tcPr>
                <w:p w14:paraId="17AC013F">
                  <w:pPr>
                    <w:widowControl/>
                    <w:ind w:firstLine="0" w:firstLineChars="0"/>
                    <w:jc w:val="center"/>
                    <w:rPr>
                      <w:rFonts w:hint="default" w:eastAsia="宋体" w:cs="Times New Roman"/>
                      <w:color w:val="auto"/>
                      <w:kern w:val="0"/>
                      <w:lang w:val="en-US" w:eastAsia="zh-CN" w:bidi="ar"/>
                    </w:rPr>
                  </w:pPr>
                  <w:r>
                    <w:rPr>
                      <w:rFonts w:hint="eastAsia" w:cs="Times New Roman"/>
                      <w:color w:val="auto"/>
                      <w:kern w:val="0"/>
                      <w:lang w:val="en-US" w:eastAsia="zh-CN" w:bidi="ar"/>
                    </w:rPr>
                    <w:t>120</w:t>
                  </w:r>
                </w:p>
              </w:tc>
            </w:tr>
          </w:tbl>
          <w:p w14:paraId="7FE066BF">
            <w:pPr>
              <w:pStyle w:val="11"/>
              <w:spacing w:line="240" w:lineRule="auto"/>
              <w:ind w:left="0" w:firstLine="422" w:firstLineChars="200"/>
              <w:jc w:val="center"/>
              <w:rPr>
                <w:rFonts w:cs="Times New Roman"/>
                <w:b/>
                <w:color w:val="000000"/>
              </w:rPr>
            </w:pPr>
            <w:r>
              <w:rPr>
                <w:rFonts w:cs="Times New Roman"/>
                <w:b/>
                <w:color w:val="000000"/>
              </w:rPr>
              <w:t>表4-</w:t>
            </w:r>
            <w:r>
              <w:rPr>
                <w:rFonts w:hint="eastAsia" w:cs="Times New Roman"/>
                <w:b/>
                <w:color w:val="000000"/>
                <w:lang w:val="en-US" w:eastAsia="zh-CN"/>
              </w:rPr>
              <w:t>5</w:t>
            </w:r>
            <w:r>
              <w:rPr>
                <w:rFonts w:cs="Times New Roman"/>
                <w:b/>
                <w:color w:val="000000"/>
              </w:rPr>
              <w:t xml:space="preserve"> 项目废水污染源产</w:t>
            </w:r>
            <w:r>
              <w:rPr>
                <w:rFonts w:hint="eastAsia" w:cs="Times New Roman"/>
                <w:b/>
                <w:color w:val="000000"/>
                <w:lang w:eastAsia="zh-CN"/>
              </w:rPr>
              <w:t>生</w:t>
            </w:r>
            <w:r>
              <w:rPr>
                <w:rFonts w:cs="Times New Roman"/>
                <w:b/>
                <w:color w:val="000000"/>
              </w:rPr>
              <w:t>情况</w:t>
            </w:r>
          </w:p>
          <w:tbl>
            <w:tblPr>
              <w:tblStyle w:val="14"/>
              <w:tblW w:w="821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97"/>
              <w:gridCol w:w="744"/>
              <w:gridCol w:w="750"/>
              <w:gridCol w:w="867"/>
              <w:gridCol w:w="978"/>
              <w:gridCol w:w="1020"/>
              <w:gridCol w:w="1001"/>
              <w:gridCol w:w="720"/>
              <w:gridCol w:w="1138"/>
            </w:tblGrid>
            <w:tr w14:paraId="5D4F9D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997" w:type="dxa"/>
                  <w:vMerge w:val="restart"/>
                  <w:tcBorders>
                    <w:top w:val="single" w:color="000000" w:sz="8" w:space="0"/>
                    <w:left w:val="single" w:color="000000" w:sz="8" w:space="0"/>
                    <w:bottom w:val="single" w:color="000000" w:sz="8" w:space="0"/>
                    <w:right w:val="single" w:color="000000" w:sz="8" w:space="0"/>
                  </w:tcBorders>
                  <w:noWrap w:val="0"/>
                  <w:vAlign w:val="center"/>
                </w:tcPr>
                <w:p w14:paraId="29F222DF">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1"/>
                      <w:szCs w:val="21"/>
                      <w:u w:val="none"/>
                    </w:rPr>
                  </w:pPr>
                  <w:r>
                    <w:rPr>
                      <w:rFonts w:hint="default" w:ascii="Times New Roman" w:hAnsi="Times New Roman" w:eastAsia="宋体" w:cs="Times New Roman"/>
                      <w:b/>
                      <w:bCs/>
                      <w:i w:val="0"/>
                      <w:iCs w:val="0"/>
                      <w:color w:val="000000"/>
                      <w:kern w:val="0"/>
                      <w:sz w:val="21"/>
                      <w:szCs w:val="21"/>
                      <w:u w:val="none"/>
                      <w:lang w:val="en-US" w:eastAsia="zh-CN" w:bidi="ar"/>
                    </w:rPr>
                    <w:t>污染源</w:t>
                  </w:r>
                </w:p>
              </w:tc>
              <w:tc>
                <w:tcPr>
                  <w:tcW w:w="744" w:type="dxa"/>
                  <w:vMerge w:val="restart"/>
                  <w:tcBorders>
                    <w:top w:val="single" w:color="000000" w:sz="8" w:space="0"/>
                    <w:left w:val="single" w:color="000000" w:sz="8" w:space="0"/>
                    <w:right w:val="single" w:color="000000" w:sz="8" w:space="0"/>
                  </w:tcBorders>
                  <w:noWrap w:val="0"/>
                  <w:vAlign w:val="center"/>
                </w:tcPr>
                <w:p w14:paraId="48800DD0">
                  <w:pPr>
                    <w:keepNext w:val="0"/>
                    <w:keepLines w:val="0"/>
                    <w:widowControl/>
                    <w:suppressLineNumbers w:val="0"/>
                    <w:jc w:val="center"/>
                    <w:textAlignment w:val="center"/>
                    <w:rPr>
                      <w:rFonts w:hint="default" w:ascii="Times New Roman" w:hAnsi="Times New Roman" w:eastAsia="宋体" w:cs="Times New Roman"/>
                      <w:b/>
                      <w:bCs/>
                      <w:i w:val="0"/>
                      <w:iCs w:val="0"/>
                      <w:color w:val="000000"/>
                      <w:kern w:val="0"/>
                      <w:sz w:val="21"/>
                      <w:szCs w:val="21"/>
                      <w:u w:val="none"/>
                      <w:lang w:val="en-US" w:eastAsia="zh-CN" w:bidi="ar"/>
                    </w:rPr>
                  </w:pPr>
                  <w:r>
                    <w:rPr>
                      <w:rFonts w:hint="default" w:ascii="Times New Roman" w:hAnsi="Times New Roman" w:eastAsia="宋体" w:cs="Times New Roman"/>
                      <w:b/>
                      <w:bCs/>
                      <w:i w:val="0"/>
                      <w:iCs w:val="0"/>
                      <w:color w:val="000000"/>
                      <w:kern w:val="0"/>
                      <w:sz w:val="21"/>
                      <w:szCs w:val="21"/>
                      <w:u w:val="none"/>
                      <w:lang w:val="en-US" w:eastAsia="zh-CN" w:bidi="ar"/>
                    </w:rPr>
                    <w:t>废水量</w:t>
                  </w:r>
                </w:p>
                <w:p w14:paraId="317F8211">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1"/>
                      <w:szCs w:val="21"/>
                      <w:u w:val="none"/>
                    </w:rPr>
                  </w:pPr>
                  <w:r>
                    <w:rPr>
                      <w:rFonts w:hint="default" w:ascii="Times New Roman" w:hAnsi="Times New Roman" w:eastAsia="宋体" w:cs="Times New Roman"/>
                      <w:b/>
                      <w:bCs/>
                      <w:i w:val="0"/>
                      <w:iCs w:val="0"/>
                      <w:color w:val="000000"/>
                      <w:kern w:val="0"/>
                      <w:sz w:val="21"/>
                      <w:szCs w:val="21"/>
                      <w:u w:val="none"/>
                      <w:lang w:val="en-US" w:eastAsia="zh-CN" w:bidi="ar"/>
                    </w:rPr>
                    <w:t>t/a</w:t>
                  </w:r>
                </w:p>
              </w:tc>
              <w:tc>
                <w:tcPr>
                  <w:tcW w:w="750" w:type="dxa"/>
                  <w:vMerge w:val="restart"/>
                  <w:tcBorders>
                    <w:top w:val="single" w:color="000000" w:sz="8" w:space="0"/>
                    <w:left w:val="single" w:color="000000" w:sz="8" w:space="0"/>
                    <w:bottom w:val="single" w:color="000000" w:sz="8" w:space="0"/>
                    <w:right w:val="single" w:color="000000" w:sz="8" w:space="0"/>
                  </w:tcBorders>
                  <w:noWrap w:val="0"/>
                  <w:vAlign w:val="center"/>
                </w:tcPr>
                <w:p w14:paraId="15EA113A">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1"/>
                      <w:szCs w:val="21"/>
                      <w:u w:val="none"/>
                    </w:rPr>
                  </w:pPr>
                  <w:r>
                    <w:rPr>
                      <w:rFonts w:hint="default" w:ascii="Times New Roman" w:hAnsi="Times New Roman" w:eastAsia="宋体" w:cs="Times New Roman"/>
                      <w:b/>
                      <w:bCs/>
                      <w:i w:val="0"/>
                      <w:iCs w:val="0"/>
                      <w:color w:val="000000"/>
                      <w:kern w:val="0"/>
                      <w:sz w:val="21"/>
                      <w:szCs w:val="21"/>
                      <w:u w:val="none"/>
                      <w:lang w:val="en-US" w:eastAsia="zh-CN" w:bidi="ar"/>
                    </w:rPr>
                    <w:t>污染物</w:t>
                  </w:r>
                </w:p>
              </w:tc>
              <w:tc>
                <w:tcPr>
                  <w:tcW w:w="1845" w:type="dxa"/>
                  <w:gridSpan w:val="2"/>
                  <w:tcBorders>
                    <w:top w:val="single" w:color="000000" w:sz="8" w:space="0"/>
                    <w:left w:val="single" w:color="000000" w:sz="8" w:space="0"/>
                    <w:bottom w:val="single" w:color="000000" w:sz="8" w:space="0"/>
                    <w:right w:val="single" w:color="000000" w:sz="8" w:space="0"/>
                  </w:tcBorders>
                  <w:noWrap w:val="0"/>
                  <w:vAlign w:val="center"/>
                </w:tcPr>
                <w:p w14:paraId="5BEB0DF8">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1"/>
                      <w:szCs w:val="21"/>
                      <w:u w:val="none"/>
                    </w:rPr>
                  </w:pPr>
                  <w:r>
                    <w:rPr>
                      <w:rFonts w:hint="default" w:ascii="Times New Roman" w:hAnsi="Times New Roman" w:eastAsia="宋体" w:cs="Times New Roman"/>
                      <w:b/>
                      <w:bCs/>
                      <w:i w:val="0"/>
                      <w:iCs w:val="0"/>
                      <w:color w:val="000000"/>
                      <w:kern w:val="0"/>
                      <w:sz w:val="21"/>
                      <w:szCs w:val="21"/>
                      <w:u w:val="none"/>
                      <w:lang w:val="en-US" w:eastAsia="zh-CN" w:bidi="ar"/>
                    </w:rPr>
                    <w:t>产生情况</w:t>
                  </w:r>
                </w:p>
              </w:tc>
              <w:tc>
                <w:tcPr>
                  <w:tcW w:w="1020" w:type="dxa"/>
                  <w:vMerge w:val="restart"/>
                  <w:tcBorders>
                    <w:top w:val="single" w:color="000000" w:sz="8" w:space="0"/>
                    <w:left w:val="single" w:color="000000" w:sz="8" w:space="0"/>
                    <w:bottom w:val="single" w:color="000000" w:sz="8" w:space="0"/>
                    <w:right w:val="single" w:color="000000" w:sz="8" w:space="0"/>
                  </w:tcBorders>
                  <w:noWrap w:val="0"/>
                  <w:vAlign w:val="center"/>
                </w:tcPr>
                <w:p w14:paraId="5376D8E6">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1"/>
                      <w:szCs w:val="21"/>
                      <w:u w:val="none"/>
                    </w:rPr>
                  </w:pPr>
                  <w:r>
                    <w:rPr>
                      <w:rFonts w:hint="default" w:ascii="Times New Roman" w:hAnsi="Times New Roman" w:eastAsia="宋体" w:cs="Times New Roman"/>
                      <w:b/>
                      <w:bCs/>
                      <w:i w:val="0"/>
                      <w:iCs w:val="0"/>
                      <w:color w:val="000000"/>
                      <w:kern w:val="0"/>
                      <w:sz w:val="21"/>
                      <w:szCs w:val="21"/>
                      <w:u w:val="none"/>
                      <w:lang w:val="en-US" w:eastAsia="zh-CN" w:bidi="ar"/>
                    </w:rPr>
                    <w:t>预处理措施</w:t>
                  </w:r>
                </w:p>
              </w:tc>
              <w:tc>
                <w:tcPr>
                  <w:tcW w:w="1001" w:type="dxa"/>
                  <w:vMerge w:val="restart"/>
                  <w:tcBorders>
                    <w:top w:val="single" w:color="000000" w:sz="8" w:space="0"/>
                    <w:left w:val="single" w:color="000000" w:sz="8" w:space="0"/>
                    <w:bottom w:val="single" w:color="000000" w:sz="8" w:space="0"/>
                    <w:right w:val="single" w:color="000000" w:sz="8" w:space="0"/>
                  </w:tcBorders>
                  <w:noWrap w:val="0"/>
                  <w:vAlign w:val="center"/>
                </w:tcPr>
                <w:p w14:paraId="13B0347C">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1"/>
                      <w:szCs w:val="21"/>
                      <w:u w:val="none"/>
                    </w:rPr>
                  </w:pPr>
                  <w:r>
                    <w:rPr>
                      <w:rFonts w:hint="default" w:ascii="Times New Roman" w:hAnsi="Times New Roman" w:eastAsia="宋体" w:cs="Times New Roman"/>
                      <w:b/>
                      <w:bCs/>
                      <w:i w:val="0"/>
                      <w:iCs w:val="0"/>
                      <w:color w:val="000000"/>
                      <w:kern w:val="0"/>
                      <w:sz w:val="21"/>
                      <w:szCs w:val="21"/>
                      <w:u w:val="none"/>
                      <w:lang w:val="en-US" w:eastAsia="zh-CN" w:bidi="ar"/>
                    </w:rPr>
                    <w:t>污水处理站</w:t>
                  </w:r>
                </w:p>
              </w:tc>
              <w:tc>
                <w:tcPr>
                  <w:tcW w:w="1858" w:type="dxa"/>
                  <w:gridSpan w:val="2"/>
                  <w:tcBorders>
                    <w:top w:val="single" w:color="000000" w:sz="8" w:space="0"/>
                    <w:left w:val="single" w:color="000000" w:sz="8" w:space="0"/>
                    <w:bottom w:val="nil"/>
                    <w:right w:val="single" w:color="000000" w:sz="8" w:space="0"/>
                  </w:tcBorders>
                  <w:noWrap w:val="0"/>
                  <w:vAlign w:val="center"/>
                </w:tcPr>
                <w:p w14:paraId="32088A57">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1"/>
                      <w:szCs w:val="21"/>
                      <w:u w:val="none"/>
                    </w:rPr>
                  </w:pPr>
                  <w:r>
                    <w:rPr>
                      <w:rFonts w:hint="default" w:ascii="Times New Roman" w:hAnsi="Times New Roman" w:eastAsia="宋体" w:cs="Times New Roman"/>
                      <w:b/>
                      <w:bCs/>
                      <w:i w:val="0"/>
                      <w:iCs w:val="0"/>
                      <w:color w:val="000000"/>
                      <w:kern w:val="0"/>
                      <w:sz w:val="21"/>
                      <w:szCs w:val="21"/>
                      <w:u w:val="none"/>
                      <w:lang w:val="en-US" w:eastAsia="zh-CN" w:bidi="ar"/>
                    </w:rPr>
                    <w:t>排放情况</w:t>
                  </w:r>
                </w:p>
              </w:tc>
            </w:tr>
            <w:tr w14:paraId="4754BA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jc w:val="center"/>
              </w:trPr>
              <w:tc>
                <w:tcPr>
                  <w:tcW w:w="997" w:type="dxa"/>
                  <w:vMerge w:val="continue"/>
                  <w:tcBorders>
                    <w:top w:val="single" w:color="000000" w:sz="8" w:space="0"/>
                    <w:left w:val="single" w:color="000000" w:sz="8" w:space="0"/>
                    <w:bottom w:val="single" w:color="000000" w:sz="8" w:space="0"/>
                    <w:right w:val="single" w:color="000000" w:sz="8" w:space="0"/>
                  </w:tcBorders>
                  <w:noWrap w:val="0"/>
                  <w:vAlign w:val="center"/>
                </w:tcPr>
                <w:p w14:paraId="23B2712A">
                  <w:pPr>
                    <w:jc w:val="center"/>
                    <w:rPr>
                      <w:rFonts w:hint="default" w:ascii="Times New Roman" w:hAnsi="Times New Roman" w:eastAsia="宋体" w:cs="Times New Roman"/>
                      <w:b/>
                      <w:bCs/>
                      <w:i w:val="0"/>
                      <w:iCs w:val="0"/>
                      <w:color w:val="000000"/>
                      <w:sz w:val="21"/>
                      <w:szCs w:val="21"/>
                      <w:u w:val="none"/>
                    </w:rPr>
                  </w:pPr>
                </w:p>
              </w:tc>
              <w:tc>
                <w:tcPr>
                  <w:tcW w:w="744" w:type="dxa"/>
                  <w:vMerge w:val="continue"/>
                  <w:tcBorders>
                    <w:left w:val="single" w:color="000000" w:sz="8" w:space="0"/>
                    <w:bottom w:val="single" w:color="000000" w:sz="8" w:space="0"/>
                    <w:right w:val="single" w:color="000000" w:sz="8" w:space="0"/>
                  </w:tcBorders>
                  <w:noWrap w:val="0"/>
                  <w:vAlign w:val="center"/>
                </w:tcPr>
                <w:p w14:paraId="7C18D07F">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1"/>
                      <w:szCs w:val="21"/>
                      <w:u w:val="none"/>
                    </w:rPr>
                  </w:pPr>
                </w:p>
              </w:tc>
              <w:tc>
                <w:tcPr>
                  <w:tcW w:w="750" w:type="dxa"/>
                  <w:vMerge w:val="continue"/>
                  <w:tcBorders>
                    <w:top w:val="single" w:color="000000" w:sz="8" w:space="0"/>
                    <w:left w:val="single" w:color="000000" w:sz="8" w:space="0"/>
                    <w:bottom w:val="single" w:color="000000" w:sz="8" w:space="0"/>
                    <w:right w:val="single" w:color="000000" w:sz="8" w:space="0"/>
                  </w:tcBorders>
                  <w:noWrap w:val="0"/>
                  <w:vAlign w:val="center"/>
                </w:tcPr>
                <w:p w14:paraId="333397E7">
                  <w:pPr>
                    <w:jc w:val="center"/>
                    <w:rPr>
                      <w:rFonts w:hint="default" w:ascii="Times New Roman" w:hAnsi="Times New Roman" w:eastAsia="宋体" w:cs="Times New Roman"/>
                      <w:b/>
                      <w:bCs/>
                      <w:i w:val="0"/>
                      <w:iCs w:val="0"/>
                      <w:color w:val="000000"/>
                      <w:sz w:val="21"/>
                      <w:szCs w:val="21"/>
                      <w:u w:val="none"/>
                    </w:rPr>
                  </w:pPr>
                </w:p>
              </w:tc>
              <w:tc>
                <w:tcPr>
                  <w:tcW w:w="867" w:type="dxa"/>
                  <w:tcBorders>
                    <w:top w:val="nil"/>
                    <w:left w:val="single" w:color="000000" w:sz="8" w:space="0"/>
                    <w:bottom w:val="single" w:color="000000" w:sz="8" w:space="0"/>
                    <w:right w:val="single" w:color="000000" w:sz="8" w:space="0"/>
                  </w:tcBorders>
                  <w:noWrap w:val="0"/>
                  <w:vAlign w:val="center"/>
                </w:tcPr>
                <w:p w14:paraId="5A1DFBBC">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1"/>
                      <w:szCs w:val="21"/>
                      <w:u w:val="none"/>
                    </w:rPr>
                  </w:pPr>
                  <w:r>
                    <w:rPr>
                      <w:rFonts w:hint="default" w:ascii="Times New Roman" w:hAnsi="Times New Roman" w:eastAsia="宋体" w:cs="Times New Roman"/>
                      <w:b/>
                      <w:bCs/>
                      <w:i w:val="0"/>
                      <w:iCs w:val="0"/>
                      <w:color w:val="000000"/>
                      <w:kern w:val="0"/>
                      <w:sz w:val="21"/>
                      <w:szCs w:val="21"/>
                      <w:u w:val="none"/>
                      <w:lang w:val="en-US" w:eastAsia="zh-CN" w:bidi="ar"/>
                    </w:rPr>
                    <w:t>浓度mg/L</w:t>
                  </w:r>
                </w:p>
              </w:tc>
              <w:tc>
                <w:tcPr>
                  <w:tcW w:w="978" w:type="dxa"/>
                  <w:tcBorders>
                    <w:top w:val="nil"/>
                    <w:left w:val="single" w:color="000000" w:sz="8" w:space="0"/>
                    <w:bottom w:val="single" w:color="000000" w:sz="8" w:space="0"/>
                    <w:right w:val="single" w:color="000000" w:sz="8" w:space="0"/>
                  </w:tcBorders>
                  <w:noWrap w:val="0"/>
                  <w:vAlign w:val="center"/>
                </w:tcPr>
                <w:p w14:paraId="0AB2A8CE">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1"/>
                      <w:szCs w:val="21"/>
                      <w:u w:val="none"/>
                    </w:rPr>
                  </w:pPr>
                  <w:r>
                    <w:rPr>
                      <w:rFonts w:hint="default" w:ascii="Times New Roman" w:hAnsi="Times New Roman" w:eastAsia="宋体" w:cs="Times New Roman"/>
                      <w:b/>
                      <w:bCs/>
                      <w:i w:val="0"/>
                      <w:iCs w:val="0"/>
                      <w:color w:val="000000"/>
                      <w:kern w:val="0"/>
                      <w:sz w:val="21"/>
                      <w:szCs w:val="21"/>
                      <w:u w:val="none"/>
                      <w:lang w:val="en-US" w:eastAsia="zh-CN" w:bidi="ar"/>
                    </w:rPr>
                    <w:t>产生量t/a</w:t>
                  </w:r>
                </w:p>
              </w:tc>
              <w:tc>
                <w:tcPr>
                  <w:tcW w:w="1020" w:type="dxa"/>
                  <w:vMerge w:val="continue"/>
                  <w:tcBorders>
                    <w:top w:val="single" w:color="000000" w:sz="8" w:space="0"/>
                    <w:left w:val="single" w:color="000000" w:sz="8" w:space="0"/>
                    <w:bottom w:val="single" w:color="000000" w:sz="8" w:space="0"/>
                    <w:right w:val="single" w:color="000000" w:sz="8" w:space="0"/>
                  </w:tcBorders>
                  <w:noWrap w:val="0"/>
                  <w:vAlign w:val="center"/>
                </w:tcPr>
                <w:p w14:paraId="2A596095">
                  <w:pPr>
                    <w:jc w:val="center"/>
                    <w:rPr>
                      <w:rFonts w:hint="default" w:ascii="Times New Roman" w:hAnsi="Times New Roman" w:eastAsia="宋体" w:cs="Times New Roman"/>
                      <w:b/>
                      <w:bCs/>
                      <w:i w:val="0"/>
                      <w:iCs w:val="0"/>
                      <w:color w:val="000000"/>
                      <w:sz w:val="21"/>
                      <w:szCs w:val="21"/>
                      <w:u w:val="none"/>
                    </w:rPr>
                  </w:pPr>
                </w:p>
              </w:tc>
              <w:tc>
                <w:tcPr>
                  <w:tcW w:w="1001" w:type="dxa"/>
                  <w:vMerge w:val="continue"/>
                  <w:tcBorders>
                    <w:top w:val="single" w:color="000000" w:sz="8" w:space="0"/>
                    <w:left w:val="single" w:color="000000" w:sz="8" w:space="0"/>
                    <w:bottom w:val="single" w:color="000000" w:sz="8" w:space="0"/>
                    <w:right w:val="single" w:color="000000" w:sz="8" w:space="0"/>
                  </w:tcBorders>
                  <w:noWrap w:val="0"/>
                  <w:vAlign w:val="center"/>
                </w:tcPr>
                <w:p w14:paraId="50478A73">
                  <w:pPr>
                    <w:jc w:val="center"/>
                    <w:rPr>
                      <w:rFonts w:hint="default" w:ascii="Times New Roman" w:hAnsi="Times New Roman" w:eastAsia="宋体" w:cs="Times New Roman"/>
                      <w:b/>
                      <w:bCs/>
                      <w:i w:val="0"/>
                      <w:iCs w:val="0"/>
                      <w:color w:val="000000"/>
                      <w:sz w:val="21"/>
                      <w:szCs w:val="21"/>
                      <w:u w:val="none"/>
                    </w:rPr>
                  </w:pPr>
                </w:p>
              </w:tc>
              <w:tc>
                <w:tcPr>
                  <w:tcW w:w="720" w:type="dxa"/>
                  <w:tcBorders>
                    <w:top w:val="single" w:color="000000" w:sz="8" w:space="0"/>
                    <w:left w:val="single" w:color="000000" w:sz="8" w:space="0"/>
                    <w:bottom w:val="single" w:color="000000" w:sz="8" w:space="0"/>
                    <w:right w:val="single" w:color="000000" w:sz="8" w:space="0"/>
                  </w:tcBorders>
                  <w:noWrap w:val="0"/>
                  <w:vAlign w:val="center"/>
                </w:tcPr>
                <w:p w14:paraId="6D3CEB63">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1"/>
                      <w:szCs w:val="21"/>
                      <w:u w:val="none"/>
                    </w:rPr>
                  </w:pPr>
                  <w:r>
                    <w:rPr>
                      <w:rFonts w:hint="default" w:ascii="Times New Roman" w:hAnsi="Times New Roman" w:eastAsia="宋体" w:cs="Times New Roman"/>
                      <w:b/>
                      <w:bCs/>
                      <w:i w:val="0"/>
                      <w:iCs w:val="0"/>
                      <w:color w:val="000000"/>
                      <w:kern w:val="0"/>
                      <w:sz w:val="21"/>
                      <w:szCs w:val="21"/>
                      <w:u w:val="none"/>
                      <w:lang w:val="en-US" w:eastAsia="zh-CN" w:bidi="ar"/>
                    </w:rPr>
                    <w:t>浓度mg/l</w:t>
                  </w:r>
                </w:p>
              </w:tc>
              <w:tc>
                <w:tcPr>
                  <w:tcW w:w="1138" w:type="dxa"/>
                  <w:tcBorders>
                    <w:top w:val="single" w:color="000000" w:sz="8" w:space="0"/>
                    <w:left w:val="single" w:color="000000" w:sz="8" w:space="0"/>
                    <w:bottom w:val="single" w:color="000000" w:sz="8" w:space="0"/>
                    <w:right w:val="single" w:color="000000" w:sz="8" w:space="0"/>
                  </w:tcBorders>
                  <w:noWrap w:val="0"/>
                  <w:vAlign w:val="center"/>
                </w:tcPr>
                <w:p w14:paraId="342B92C1">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1"/>
                      <w:szCs w:val="21"/>
                      <w:u w:val="none"/>
                    </w:rPr>
                  </w:pPr>
                  <w:r>
                    <w:rPr>
                      <w:rFonts w:hint="default" w:ascii="Times New Roman" w:hAnsi="Times New Roman" w:eastAsia="宋体" w:cs="Times New Roman"/>
                      <w:b/>
                      <w:bCs/>
                      <w:i w:val="0"/>
                      <w:iCs w:val="0"/>
                      <w:color w:val="000000"/>
                      <w:kern w:val="0"/>
                      <w:sz w:val="21"/>
                      <w:szCs w:val="21"/>
                      <w:u w:val="none"/>
                      <w:lang w:val="en-US" w:eastAsia="zh-CN" w:bidi="ar"/>
                    </w:rPr>
                    <w:t>排放量t/a</w:t>
                  </w:r>
                </w:p>
              </w:tc>
            </w:tr>
            <w:tr w14:paraId="20CEE1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997" w:type="dxa"/>
                  <w:vMerge w:val="restart"/>
                  <w:tcBorders>
                    <w:top w:val="nil"/>
                    <w:left w:val="single" w:color="000000" w:sz="8" w:space="0"/>
                    <w:bottom w:val="single" w:color="000000" w:sz="8" w:space="0"/>
                    <w:right w:val="single" w:color="000000" w:sz="8" w:space="0"/>
                  </w:tcBorders>
                  <w:noWrap w:val="0"/>
                  <w:vAlign w:val="center"/>
                </w:tcPr>
                <w:p w14:paraId="3EE5BB2C">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生活污水</w:t>
                  </w:r>
                </w:p>
              </w:tc>
              <w:tc>
                <w:tcPr>
                  <w:tcW w:w="744" w:type="dxa"/>
                  <w:vMerge w:val="restart"/>
                  <w:tcBorders>
                    <w:top w:val="nil"/>
                    <w:left w:val="single" w:color="000000" w:sz="8" w:space="0"/>
                    <w:right w:val="single" w:color="000000" w:sz="8" w:space="0"/>
                  </w:tcBorders>
                  <w:noWrap w:val="0"/>
                  <w:vAlign w:val="center"/>
                </w:tcPr>
                <w:p w14:paraId="1407C852">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lang w:val="en-US"/>
                    </w:rPr>
                  </w:pPr>
                  <w:r>
                    <w:rPr>
                      <w:rFonts w:hint="eastAsia" w:ascii="Times New Roman" w:hAnsi="Times New Roman" w:eastAsia="宋体" w:cs="Times New Roman"/>
                      <w:i w:val="0"/>
                      <w:iCs w:val="0"/>
                      <w:color w:val="000000"/>
                      <w:kern w:val="0"/>
                      <w:sz w:val="21"/>
                      <w:szCs w:val="21"/>
                      <w:u w:val="none"/>
                      <w:lang w:val="en-US" w:eastAsia="zh-CN" w:bidi="ar"/>
                    </w:rPr>
                    <w:t>2614.4</w:t>
                  </w:r>
                </w:p>
              </w:tc>
              <w:tc>
                <w:tcPr>
                  <w:tcW w:w="750" w:type="dxa"/>
                  <w:tcBorders>
                    <w:top w:val="nil"/>
                    <w:left w:val="single" w:color="000000" w:sz="8" w:space="0"/>
                    <w:bottom w:val="single" w:color="000000" w:sz="8" w:space="0"/>
                    <w:right w:val="single" w:color="000000" w:sz="8" w:space="0"/>
                  </w:tcBorders>
                  <w:noWrap w:val="0"/>
                  <w:vAlign w:val="center"/>
                </w:tcPr>
                <w:p w14:paraId="6A411DDD">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COD</w:t>
                  </w:r>
                </w:p>
              </w:tc>
              <w:tc>
                <w:tcPr>
                  <w:tcW w:w="867" w:type="dxa"/>
                  <w:tcBorders>
                    <w:top w:val="nil"/>
                    <w:left w:val="single" w:color="000000" w:sz="8" w:space="0"/>
                    <w:bottom w:val="single" w:color="000000" w:sz="8" w:space="0"/>
                    <w:right w:val="single" w:color="000000" w:sz="8" w:space="0"/>
                  </w:tcBorders>
                  <w:noWrap w:val="0"/>
                  <w:vAlign w:val="center"/>
                </w:tcPr>
                <w:p w14:paraId="1A2EFDDD">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250</w:t>
                  </w:r>
                </w:p>
              </w:tc>
              <w:tc>
                <w:tcPr>
                  <w:tcW w:w="978" w:type="dxa"/>
                  <w:tcBorders>
                    <w:top w:val="nil"/>
                    <w:left w:val="single" w:color="000000" w:sz="8" w:space="0"/>
                    <w:bottom w:val="single" w:color="000000" w:sz="8" w:space="0"/>
                    <w:right w:val="single" w:color="000000" w:sz="8" w:space="0"/>
                  </w:tcBorders>
                  <w:noWrap w:val="0"/>
                  <w:vAlign w:val="center"/>
                </w:tcPr>
                <w:p w14:paraId="4ECB0E41">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lang w:val="en-US"/>
                    </w:rPr>
                  </w:pPr>
                  <w:r>
                    <w:rPr>
                      <w:rFonts w:hint="default" w:ascii="Times New Roman" w:hAnsi="Times New Roman" w:eastAsia="宋体" w:cs="Times New Roman"/>
                      <w:i w:val="0"/>
                      <w:iCs w:val="0"/>
                      <w:color w:val="000000"/>
                      <w:kern w:val="0"/>
                      <w:sz w:val="21"/>
                      <w:szCs w:val="21"/>
                      <w:u w:val="none"/>
                      <w:lang w:val="en-US" w:eastAsia="zh-CN" w:bidi="ar"/>
                    </w:rPr>
                    <w:t>0.6536</w:t>
                  </w:r>
                </w:p>
              </w:tc>
              <w:tc>
                <w:tcPr>
                  <w:tcW w:w="1020" w:type="dxa"/>
                  <w:vMerge w:val="restart"/>
                  <w:tcBorders>
                    <w:top w:val="nil"/>
                    <w:left w:val="single" w:color="000000" w:sz="8" w:space="0"/>
                    <w:bottom w:val="single" w:color="000000" w:sz="8" w:space="0"/>
                    <w:right w:val="single" w:color="000000" w:sz="8" w:space="0"/>
                  </w:tcBorders>
                  <w:noWrap w:val="0"/>
                  <w:vAlign w:val="center"/>
                </w:tcPr>
                <w:p w14:paraId="520F9060">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化粪池</w:t>
                  </w:r>
                </w:p>
              </w:tc>
              <w:tc>
                <w:tcPr>
                  <w:tcW w:w="1001" w:type="dxa"/>
                  <w:vMerge w:val="restart"/>
                  <w:tcBorders>
                    <w:top w:val="nil"/>
                    <w:left w:val="single" w:color="000000" w:sz="8" w:space="0"/>
                    <w:bottom w:val="single" w:color="000000" w:sz="8" w:space="0"/>
                    <w:right w:val="single" w:color="000000" w:sz="8" w:space="0"/>
                  </w:tcBorders>
                  <w:noWrap w:val="0"/>
                  <w:vAlign w:val="center"/>
                </w:tcPr>
                <w:p w14:paraId="3520B949">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一级强化处理+消毒</w:t>
                  </w:r>
                </w:p>
              </w:tc>
              <w:tc>
                <w:tcPr>
                  <w:tcW w:w="720" w:type="dxa"/>
                  <w:tcBorders>
                    <w:top w:val="nil"/>
                    <w:left w:val="single" w:color="000000" w:sz="8" w:space="0"/>
                    <w:bottom w:val="single" w:color="000000" w:sz="8" w:space="0"/>
                    <w:right w:val="single" w:color="000000" w:sz="8" w:space="0"/>
                  </w:tcBorders>
                  <w:noWrap w:val="0"/>
                  <w:vAlign w:val="center"/>
                </w:tcPr>
                <w:p w14:paraId="3C070BA5">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eastAsia" w:ascii="Times New Roman" w:hAnsi="Times New Roman" w:eastAsia="宋体" w:cs="Times New Roman"/>
                      <w:i w:val="0"/>
                      <w:iCs w:val="0"/>
                      <w:color w:val="000000"/>
                      <w:kern w:val="0"/>
                      <w:sz w:val="21"/>
                      <w:szCs w:val="21"/>
                      <w:u w:val="none"/>
                      <w:lang w:val="en-US" w:eastAsia="zh-CN" w:bidi="ar"/>
                    </w:rPr>
                    <w:t>/</w:t>
                  </w:r>
                </w:p>
              </w:tc>
              <w:tc>
                <w:tcPr>
                  <w:tcW w:w="1138" w:type="dxa"/>
                  <w:tcBorders>
                    <w:top w:val="nil"/>
                    <w:left w:val="single" w:color="000000" w:sz="8" w:space="0"/>
                    <w:bottom w:val="single" w:color="000000" w:sz="8" w:space="0"/>
                    <w:right w:val="single" w:color="000000" w:sz="8" w:space="0"/>
                  </w:tcBorders>
                  <w:noWrap w:val="0"/>
                  <w:vAlign w:val="center"/>
                </w:tcPr>
                <w:p w14:paraId="6A9C3417">
                  <w:pPr>
                    <w:keepNext w:val="0"/>
                    <w:keepLines w:val="0"/>
                    <w:widowControl/>
                    <w:suppressLineNumbers w:val="0"/>
                    <w:jc w:val="center"/>
                    <w:textAlignment w:val="center"/>
                    <w:rPr>
                      <w:rFonts w:hint="eastAsia" w:ascii="Times New Roman" w:hAnsi="Times New Roman" w:eastAsia="宋体" w:cs="Times New Roman"/>
                      <w:i w:val="0"/>
                      <w:iCs w:val="0"/>
                      <w:color w:val="000000"/>
                      <w:sz w:val="21"/>
                      <w:szCs w:val="21"/>
                      <w:u w:val="none"/>
                    </w:rPr>
                  </w:pPr>
                  <w:r>
                    <w:rPr>
                      <w:rFonts w:hint="eastAsia" w:ascii="Times New Roman" w:hAnsi="Times New Roman" w:eastAsia="宋体" w:cs="Times New Roman"/>
                      <w:i w:val="0"/>
                      <w:iCs w:val="0"/>
                      <w:color w:val="000000"/>
                      <w:sz w:val="21"/>
                      <w:szCs w:val="21"/>
                      <w:u w:val="none"/>
                      <w:lang w:val="en-US" w:eastAsia="zh-CN"/>
                    </w:rPr>
                    <w:t>/</w:t>
                  </w:r>
                </w:p>
              </w:tc>
            </w:tr>
            <w:tr w14:paraId="183328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jc w:val="center"/>
              </w:trPr>
              <w:tc>
                <w:tcPr>
                  <w:tcW w:w="997" w:type="dxa"/>
                  <w:vMerge w:val="continue"/>
                  <w:tcBorders>
                    <w:top w:val="nil"/>
                    <w:left w:val="single" w:color="000000" w:sz="8" w:space="0"/>
                    <w:bottom w:val="single" w:color="000000" w:sz="8" w:space="0"/>
                    <w:right w:val="single" w:color="000000" w:sz="8" w:space="0"/>
                  </w:tcBorders>
                  <w:noWrap w:val="0"/>
                  <w:vAlign w:val="center"/>
                </w:tcPr>
                <w:p w14:paraId="5500B3C5">
                  <w:pPr>
                    <w:jc w:val="center"/>
                    <w:rPr>
                      <w:rFonts w:hint="default" w:ascii="Times New Roman" w:hAnsi="Times New Roman" w:eastAsia="宋体" w:cs="Times New Roman"/>
                      <w:i w:val="0"/>
                      <w:iCs w:val="0"/>
                      <w:color w:val="000000"/>
                      <w:sz w:val="21"/>
                      <w:szCs w:val="21"/>
                      <w:u w:val="none"/>
                    </w:rPr>
                  </w:pPr>
                </w:p>
              </w:tc>
              <w:tc>
                <w:tcPr>
                  <w:tcW w:w="744" w:type="dxa"/>
                  <w:vMerge w:val="continue"/>
                  <w:tcBorders>
                    <w:left w:val="single" w:color="000000" w:sz="8" w:space="0"/>
                    <w:right w:val="single" w:color="000000" w:sz="8" w:space="0"/>
                  </w:tcBorders>
                  <w:noWrap w:val="0"/>
                  <w:vAlign w:val="center"/>
                </w:tcPr>
                <w:p w14:paraId="7F9309D8">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p>
              </w:tc>
              <w:tc>
                <w:tcPr>
                  <w:tcW w:w="750" w:type="dxa"/>
                  <w:tcBorders>
                    <w:top w:val="nil"/>
                    <w:left w:val="single" w:color="000000" w:sz="8" w:space="0"/>
                    <w:bottom w:val="single" w:color="000000" w:sz="8" w:space="0"/>
                    <w:right w:val="single" w:color="000000" w:sz="8" w:space="0"/>
                  </w:tcBorders>
                  <w:noWrap w:val="0"/>
                  <w:vAlign w:val="center"/>
                </w:tcPr>
                <w:p w14:paraId="5EB70883">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BOD</w:t>
                  </w:r>
                  <w:r>
                    <w:rPr>
                      <w:rFonts w:hint="default" w:ascii="Times New Roman" w:hAnsi="Times New Roman" w:eastAsia="宋体" w:cs="Times New Roman"/>
                      <w:i w:val="0"/>
                      <w:iCs w:val="0"/>
                      <w:color w:val="000000"/>
                      <w:kern w:val="0"/>
                      <w:sz w:val="21"/>
                      <w:szCs w:val="21"/>
                      <w:u w:val="none"/>
                      <w:vertAlign w:val="subscript"/>
                      <w:lang w:val="en-US" w:eastAsia="zh-CN" w:bidi="ar"/>
                    </w:rPr>
                    <w:t>5</w:t>
                  </w:r>
                </w:p>
              </w:tc>
              <w:tc>
                <w:tcPr>
                  <w:tcW w:w="867" w:type="dxa"/>
                  <w:tcBorders>
                    <w:top w:val="nil"/>
                    <w:left w:val="single" w:color="000000" w:sz="8" w:space="0"/>
                    <w:bottom w:val="single" w:color="000000" w:sz="8" w:space="0"/>
                    <w:right w:val="single" w:color="000000" w:sz="8" w:space="0"/>
                  </w:tcBorders>
                  <w:noWrap w:val="0"/>
                  <w:vAlign w:val="center"/>
                </w:tcPr>
                <w:p w14:paraId="383762CF">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100</w:t>
                  </w:r>
                </w:p>
              </w:tc>
              <w:tc>
                <w:tcPr>
                  <w:tcW w:w="978" w:type="dxa"/>
                  <w:tcBorders>
                    <w:top w:val="nil"/>
                    <w:left w:val="single" w:color="000000" w:sz="8" w:space="0"/>
                    <w:bottom w:val="single" w:color="000000" w:sz="8" w:space="0"/>
                    <w:right w:val="single" w:color="000000" w:sz="8" w:space="0"/>
                  </w:tcBorders>
                  <w:noWrap w:val="0"/>
                  <w:vAlign w:val="center"/>
                </w:tcPr>
                <w:p w14:paraId="4479E0C1">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lang w:val="en-US"/>
                    </w:rPr>
                  </w:pPr>
                  <w:r>
                    <w:rPr>
                      <w:rFonts w:hint="default" w:ascii="Times New Roman" w:hAnsi="Times New Roman" w:eastAsia="宋体" w:cs="Times New Roman"/>
                      <w:i w:val="0"/>
                      <w:iCs w:val="0"/>
                      <w:color w:val="000000"/>
                      <w:kern w:val="0"/>
                      <w:sz w:val="21"/>
                      <w:szCs w:val="21"/>
                      <w:u w:val="none"/>
                      <w:lang w:val="en-US" w:eastAsia="zh-CN" w:bidi="ar"/>
                    </w:rPr>
                    <w:t>0.2614</w:t>
                  </w:r>
                </w:p>
              </w:tc>
              <w:tc>
                <w:tcPr>
                  <w:tcW w:w="1020" w:type="dxa"/>
                  <w:vMerge w:val="continue"/>
                  <w:tcBorders>
                    <w:top w:val="nil"/>
                    <w:left w:val="single" w:color="000000" w:sz="8" w:space="0"/>
                    <w:bottom w:val="single" w:color="000000" w:sz="8" w:space="0"/>
                    <w:right w:val="single" w:color="000000" w:sz="8" w:space="0"/>
                  </w:tcBorders>
                  <w:noWrap w:val="0"/>
                  <w:vAlign w:val="center"/>
                </w:tcPr>
                <w:p w14:paraId="12456339">
                  <w:pPr>
                    <w:jc w:val="center"/>
                    <w:rPr>
                      <w:rFonts w:hint="default" w:ascii="Times New Roman" w:hAnsi="Times New Roman" w:eastAsia="宋体" w:cs="Times New Roman"/>
                      <w:i w:val="0"/>
                      <w:iCs w:val="0"/>
                      <w:color w:val="000000"/>
                      <w:sz w:val="21"/>
                      <w:szCs w:val="21"/>
                      <w:u w:val="none"/>
                    </w:rPr>
                  </w:pPr>
                </w:p>
              </w:tc>
              <w:tc>
                <w:tcPr>
                  <w:tcW w:w="1001" w:type="dxa"/>
                  <w:vMerge w:val="continue"/>
                  <w:tcBorders>
                    <w:top w:val="nil"/>
                    <w:left w:val="single" w:color="000000" w:sz="8" w:space="0"/>
                    <w:bottom w:val="single" w:color="000000" w:sz="8" w:space="0"/>
                    <w:right w:val="single" w:color="000000" w:sz="8" w:space="0"/>
                  </w:tcBorders>
                  <w:noWrap w:val="0"/>
                  <w:vAlign w:val="center"/>
                </w:tcPr>
                <w:p w14:paraId="621E21AE">
                  <w:pPr>
                    <w:jc w:val="center"/>
                    <w:rPr>
                      <w:rFonts w:hint="default" w:ascii="Times New Roman" w:hAnsi="Times New Roman" w:eastAsia="宋体" w:cs="Times New Roman"/>
                      <w:i w:val="0"/>
                      <w:iCs w:val="0"/>
                      <w:color w:val="000000"/>
                      <w:sz w:val="21"/>
                      <w:szCs w:val="21"/>
                      <w:u w:val="none"/>
                    </w:rPr>
                  </w:pPr>
                </w:p>
              </w:tc>
              <w:tc>
                <w:tcPr>
                  <w:tcW w:w="720" w:type="dxa"/>
                  <w:tcBorders>
                    <w:top w:val="nil"/>
                    <w:left w:val="single" w:color="000000" w:sz="8" w:space="0"/>
                    <w:bottom w:val="single" w:color="000000" w:sz="8" w:space="0"/>
                    <w:right w:val="single" w:color="000000" w:sz="8" w:space="0"/>
                  </w:tcBorders>
                  <w:noWrap w:val="0"/>
                  <w:vAlign w:val="center"/>
                </w:tcPr>
                <w:p w14:paraId="4F3D8F4C">
                  <w:pPr>
                    <w:keepNext w:val="0"/>
                    <w:keepLines w:val="0"/>
                    <w:widowControl/>
                    <w:suppressLineNumbers w:val="0"/>
                    <w:jc w:val="center"/>
                    <w:textAlignment w:val="center"/>
                    <w:rPr>
                      <w:rFonts w:hint="eastAsia" w:ascii="Times New Roman" w:hAnsi="Times New Roman" w:eastAsia="宋体" w:cs="Times New Roman"/>
                      <w:i w:val="0"/>
                      <w:iCs w:val="0"/>
                      <w:color w:val="000000"/>
                      <w:sz w:val="21"/>
                      <w:szCs w:val="21"/>
                      <w:u w:val="none"/>
                    </w:rPr>
                  </w:pPr>
                  <w:r>
                    <w:rPr>
                      <w:rFonts w:hint="eastAsia" w:ascii="Times New Roman" w:hAnsi="Times New Roman" w:eastAsia="宋体" w:cs="Times New Roman"/>
                      <w:i w:val="0"/>
                      <w:iCs w:val="0"/>
                      <w:color w:val="000000"/>
                      <w:sz w:val="21"/>
                      <w:szCs w:val="21"/>
                      <w:u w:val="none"/>
                      <w:lang w:val="en-US" w:eastAsia="zh-CN"/>
                    </w:rPr>
                    <w:t>/</w:t>
                  </w:r>
                </w:p>
              </w:tc>
              <w:tc>
                <w:tcPr>
                  <w:tcW w:w="1138" w:type="dxa"/>
                  <w:tcBorders>
                    <w:top w:val="nil"/>
                    <w:left w:val="single" w:color="000000" w:sz="8" w:space="0"/>
                    <w:bottom w:val="single" w:color="000000" w:sz="8" w:space="0"/>
                    <w:right w:val="single" w:color="000000" w:sz="8" w:space="0"/>
                  </w:tcBorders>
                  <w:noWrap w:val="0"/>
                  <w:vAlign w:val="center"/>
                </w:tcPr>
                <w:p w14:paraId="3D821006">
                  <w:pPr>
                    <w:keepNext w:val="0"/>
                    <w:keepLines w:val="0"/>
                    <w:widowControl/>
                    <w:suppressLineNumbers w:val="0"/>
                    <w:jc w:val="center"/>
                    <w:textAlignment w:val="center"/>
                    <w:rPr>
                      <w:rFonts w:hint="eastAsia" w:ascii="Times New Roman" w:hAnsi="Times New Roman" w:eastAsia="宋体" w:cs="Times New Roman"/>
                      <w:i w:val="0"/>
                      <w:iCs w:val="0"/>
                      <w:color w:val="000000"/>
                      <w:sz w:val="21"/>
                      <w:szCs w:val="21"/>
                      <w:u w:val="none"/>
                    </w:rPr>
                  </w:pPr>
                  <w:r>
                    <w:rPr>
                      <w:rFonts w:hint="eastAsia" w:ascii="Times New Roman" w:hAnsi="Times New Roman" w:eastAsia="宋体" w:cs="Times New Roman"/>
                      <w:i w:val="0"/>
                      <w:iCs w:val="0"/>
                      <w:color w:val="000000"/>
                      <w:sz w:val="21"/>
                      <w:szCs w:val="21"/>
                      <w:u w:val="none"/>
                      <w:lang w:val="en-US" w:eastAsia="zh-CN"/>
                    </w:rPr>
                    <w:t>/</w:t>
                  </w:r>
                </w:p>
              </w:tc>
            </w:tr>
            <w:tr w14:paraId="338F42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997" w:type="dxa"/>
                  <w:vMerge w:val="continue"/>
                  <w:tcBorders>
                    <w:top w:val="nil"/>
                    <w:left w:val="single" w:color="000000" w:sz="8" w:space="0"/>
                    <w:bottom w:val="single" w:color="000000" w:sz="8" w:space="0"/>
                    <w:right w:val="single" w:color="000000" w:sz="8" w:space="0"/>
                  </w:tcBorders>
                  <w:noWrap w:val="0"/>
                  <w:vAlign w:val="center"/>
                </w:tcPr>
                <w:p w14:paraId="485670DA">
                  <w:pPr>
                    <w:jc w:val="center"/>
                    <w:rPr>
                      <w:rFonts w:hint="default" w:ascii="Times New Roman" w:hAnsi="Times New Roman" w:eastAsia="宋体" w:cs="Times New Roman"/>
                      <w:i w:val="0"/>
                      <w:iCs w:val="0"/>
                      <w:color w:val="000000"/>
                      <w:sz w:val="21"/>
                      <w:szCs w:val="21"/>
                      <w:u w:val="none"/>
                    </w:rPr>
                  </w:pPr>
                </w:p>
              </w:tc>
              <w:tc>
                <w:tcPr>
                  <w:tcW w:w="744" w:type="dxa"/>
                  <w:vMerge w:val="continue"/>
                  <w:tcBorders>
                    <w:left w:val="single" w:color="000000" w:sz="8" w:space="0"/>
                    <w:right w:val="single" w:color="000000" w:sz="8" w:space="0"/>
                  </w:tcBorders>
                  <w:noWrap w:val="0"/>
                  <w:vAlign w:val="center"/>
                </w:tcPr>
                <w:p w14:paraId="517331EF">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p>
              </w:tc>
              <w:tc>
                <w:tcPr>
                  <w:tcW w:w="750" w:type="dxa"/>
                  <w:tcBorders>
                    <w:top w:val="nil"/>
                    <w:left w:val="single" w:color="000000" w:sz="8" w:space="0"/>
                    <w:bottom w:val="single" w:color="000000" w:sz="8" w:space="0"/>
                    <w:right w:val="single" w:color="000000" w:sz="8" w:space="0"/>
                  </w:tcBorders>
                  <w:noWrap w:val="0"/>
                  <w:vAlign w:val="center"/>
                </w:tcPr>
                <w:p w14:paraId="79A648FB">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SS</w:t>
                  </w:r>
                </w:p>
              </w:tc>
              <w:tc>
                <w:tcPr>
                  <w:tcW w:w="867" w:type="dxa"/>
                  <w:tcBorders>
                    <w:top w:val="nil"/>
                    <w:left w:val="single" w:color="000000" w:sz="8" w:space="0"/>
                    <w:bottom w:val="single" w:color="000000" w:sz="8" w:space="0"/>
                    <w:right w:val="single" w:color="000000" w:sz="8" w:space="0"/>
                  </w:tcBorders>
                  <w:noWrap w:val="0"/>
                  <w:vAlign w:val="center"/>
                </w:tcPr>
                <w:p w14:paraId="371031BA">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100</w:t>
                  </w:r>
                </w:p>
              </w:tc>
              <w:tc>
                <w:tcPr>
                  <w:tcW w:w="978" w:type="dxa"/>
                  <w:tcBorders>
                    <w:top w:val="nil"/>
                    <w:left w:val="single" w:color="000000" w:sz="8" w:space="0"/>
                    <w:bottom w:val="single" w:color="000000" w:sz="8" w:space="0"/>
                    <w:right w:val="single" w:color="000000" w:sz="8" w:space="0"/>
                  </w:tcBorders>
                  <w:noWrap w:val="0"/>
                  <w:vAlign w:val="center"/>
                </w:tcPr>
                <w:p w14:paraId="55197DF3">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lang w:val="en-US"/>
                    </w:rPr>
                  </w:pPr>
                  <w:r>
                    <w:rPr>
                      <w:rFonts w:hint="default" w:ascii="Times New Roman" w:hAnsi="Times New Roman" w:eastAsia="宋体" w:cs="Times New Roman"/>
                      <w:i w:val="0"/>
                      <w:iCs w:val="0"/>
                      <w:color w:val="000000"/>
                      <w:kern w:val="0"/>
                      <w:sz w:val="21"/>
                      <w:szCs w:val="21"/>
                      <w:u w:val="none"/>
                      <w:lang w:val="en-US" w:eastAsia="zh-CN" w:bidi="ar"/>
                    </w:rPr>
                    <w:t>0.2614</w:t>
                  </w:r>
                </w:p>
              </w:tc>
              <w:tc>
                <w:tcPr>
                  <w:tcW w:w="1020" w:type="dxa"/>
                  <w:vMerge w:val="continue"/>
                  <w:tcBorders>
                    <w:top w:val="nil"/>
                    <w:left w:val="single" w:color="000000" w:sz="8" w:space="0"/>
                    <w:bottom w:val="single" w:color="000000" w:sz="8" w:space="0"/>
                    <w:right w:val="single" w:color="000000" w:sz="8" w:space="0"/>
                  </w:tcBorders>
                  <w:noWrap w:val="0"/>
                  <w:vAlign w:val="center"/>
                </w:tcPr>
                <w:p w14:paraId="108F0B2A">
                  <w:pPr>
                    <w:jc w:val="center"/>
                    <w:rPr>
                      <w:rFonts w:hint="default" w:ascii="Times New Roman" w:hAnsi="Times New Roman" w:eastAsia="宋体" w:cs="Times New Roman"/>
                      <w:i w:val="0"/>
                      <w:iCs w:val="0"/>
                      <w:color w:val="000000"/>
                      <w:sz w:val="21"/>
                      <w:szCs w:val="21"/>
                      <w:u w:val="none"/>
                    </w:rPr>
                  </w:pPr>
                </w:p>
              </w:tc>
              <w:tc>
                <w:tcPr>
                  <w:tcW w:w="1001" w:type="dxa"/>
                  <w:vMerge w:val="continue"/>
                  <w:tcBorders>
                    <w:top w:val="nil"/>
                    <w:left w:val="single" w:color="000000" w:sz="8" w:space="0"/>
                    <w:bottom w:val="single" w:color="000000" w:sz="8" w:space="0"/>
                    <w:right w:val="single" w:color="000000" w:sz="8" w:space="0"/>
                  </w:tcBorders>
                  <w:noWrap w:val="0"/>
                  <w:vAlign w:val="center"/>
                </w:tcPr>
                <w:p w14:paraId="14C84B75">
                  <w:pPr>
                    <w:jc w:val="center"/>
                    <w:rPr>
                      <w:rFonts w:hint="default" w:ascii="Times New Roman" w:hAnsi="Times New Roman" w:eastAsia="宋体" w:cs="Times New Roman"/>
                      <w:i w:val="0"/>
                      <w:iCs w:val="0"/>
                      <w:color w:val="000000"/>
                      <w:sz w:val="21"/>
                      <w:szCs w:val="21"/>
                      <w:u w:val="none"/>
                    </w:rPr>
                  </w:pPr>
                </w:p>
              </w:tc>
              <w:tc>
                <w:tcPr>
                  <w:tcW w:w="720" w:type="dxa"/>
                  <w:tcBorders>
                    <w:top w:val="nil"/>
                    <w:left w:val="single" w:color="000000" w:sz="8" w:space="0"/>
                    <w:bottom w:val="single" w:color="000000" w:sz="8" w:space="0"/>
                    <w:right w:val="single" w:color="000000" w:sz="8" w:space="0"/>
                  </w:tcBorders>
                  <w:noWrap w:val="0"/>
                  <w:vAlign w:val="center"/>
                </w:tcPr>
                <w:p w14:paraId="2961F977">
                  <w:pPr>
                    <w:keepNext w:val="0"/>
                    <w:keepLines w:val="0"/>
                    <w:widowControl/>
                    <w:suppressLineNumbers w:val="0"/>
                    <w:jc w:val="center"/>
                    <w:textAlignment w:val="center"/>
                    <w:rPr>
                      <w:rFonts w:hint="eastAsia" w:ascii="Times New Roman" w:hAnsi="Times New Roman" w:eastAsia="宋体" w:cs="Times New Roman"/>
                      <w:i w:val="0"/>
                      <w:iCs w:val="0"/>
                      <w:color w:val="000000"/>
                      <w:sz w:val="21"/>
                      <w:szCs w:val="21"/>
                      <w:u w:val="none"/>
                    </w:rPr>
                  </w:pPr>
                  <w:r>
                    <w:rPr>
                      <w:rFonts w:hint="eastAsia" w:ascii="Times New Roman" w:hAnsi="Times New Roman" w:eastAsia="宋体" w:cs="Times New Roman"/>
                      <w:i w:val="0"/>
                      <w:iCs w:val="0"/>
                      <w:color w:val="000000"/>
                      <w:sz w:val="21"/>
                      <w:szCs w:val="21"/>
                      <w:u w:val="none"/>
                      <w:lang w:val="en-US" w:eastAsia="zh-CN"/>
                    </w:rPr>
                    <w:t>/</w:t>
                  </w:r>
                </w:p>
              </w:tc>
              <w:tc>
                <w:tcPr>
                  <w:tcW w:w="1138" w:type="dxa"/>
                  <w:tcBorders>
                    <w:top w:val="nil"/>
                    <w:left w:val="single" w:color="000000" w:sz="8" w:space="0"/>
                    <w:bottom w:val="single" w:color="000000" w:sz="8" w:space="0"/>
                    <w:right w:val="single" w:color="000000" w:sz="8" w:space="0"/>
                  </w:tcBorders>
                  <w:noWrap w:val="0"/>
                  <w:vAlign w:val="center"/>
                </w:tcPr>
                <w:p w14:paraId="468B2B21">
                  <w:pPr>
                    <w:keepNext w:val="0"/>
                    <w:keepLines w:val="0"/>
                    <w:widowControl/>
                    <w:suppressLineNumbers w:val="0"/>
                    <w:jc w:val="center"/>
                    <w:textAlignment w:val="center"/>
                    <w:rPr>
                      <w:rFonts w:hint="eastAsia" w:ascii="Times New Roman" w:hAnsi="Times New Roman" w:eastAsia="宋体" w:cs="Times New Roman"/>
                      <w:i w:val="0"/>
                      <w:iCs w:val="0"/>
                      <w:color w:val="000000"/>
                      <w:sz w:val="21"/>
                      <w:szCs w:val="21"/>
                      <w:u w:val="none"/>
                    </w:rPr>
                  </w:pPr>
                  <w:r>
                    <w:rPr>
                      <w:rFonts w:hint="eastAsia" w:ascii="Times New Roman" w:hAnsi="Times New Roman" w:eastAsia="宋体" w:cs="Times New Roman"/>
                      <w:i w:val="0"/>
                      <w:iCs w:val="0"/>
                      <w:color w:val="000000"/>
                      <w:sz w:val="21"/>
                      <w:szCs w:val="21"/>
                      <w:u w:val="none"/>
                      <w:lang w:val="en-US" w:eastAsia="zh-CN"/>
                    </w:rPr>
                    <w:t>/</w:t>
                  </w:r>
                </w:p>
              </w:tc>
            </w:tr>
            <w:tr w14:paraId="189841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997" w:type="dxa"/>
                  <w:vMerge w:val="continue"/>
                  <w:tcBorders>
                    <w:top w:val="nil"/>
                    <w:left w:val="single" w:color="000000" w:sz="8" w:space="0"/>
                    <w:bottom w:val="single" w:color="000000" w:sz="8" w:space="0"/>
                    <w:right w:val="single" w:color="000000" w:sz="8" w:space="0"/>
                  </w:tcBorders>
                  <w:noWrap w:val="0"/>
                  <w:vAlign w:val="center"/>
                </w:tcPr>
                <w:p w14:paraId="63E8C86D">
                  <w:pPr>
                    <w:jc w:val="center"/>
                    <w:rPr>
                      <w:rFonts w:hint="default" w:ascii="Times New Roman" w:hAnsi="Times New Roman" w:eastAsia="宋体" w:cs="Times New Roman"/>
                      <w:i w:val="0"/>
                      <w:iCs w:val="0"/>
                      <w:color w:val="000000"/>
                      <w:sz w:val="21"/>
                      <w:szCs w:val="21"/>
                      <w:u w:val="none"/>
                    </w:rPr>
                  </w:pPr>
                </w:p>
              </w:tc>
              <w:tc>
                <w:tcPr>
                  <w:tcW w:w="744" w:type="dxa"/>
                  <w:vMerge w:val="continue"/>
                  <w:tcBorders>
                    <w:left w:val="single" w:color="000000" w:sz="8" w:space="0"/>
                    <w:right w:val="single" w:color="000000" w:sz="8" w:space="0"/>
                  </w:tcBorders>
                  <w:noWrap w:val="0"/>
                  <w:vAlign w:val="center"/>
                </w:tcPr>
                <w:p w14:paraId="3CF85ACA">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p>
              </w:tc>
              <w:tc>
                <w:tcPr>
                  <w:tcW w:w="750" w:type="dxa"/>
                  <w:tcBorders>
                    <w:top w:val="nil"/>
                    <w:left w:val="single" w:color="000000" w:sz="8" w:space="0"/>
                    <w:bottom w:val="single" w:color="000000" w:sz="8" w:space="0"/>
                    <w:right w:val="single" w:color="000000" w:sz="8" w:space="0"/>
                  </w:tcBorders>
                  <w:noWrap w:val="0"/>
                  <w:vAlign w:val="center"/>
                </w:tcPr>
                <w:p w14:paraId="58E44541">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氨氮</w:t>
                  </w:r>
                </w:p>
              </w:tc>
              <w:tc>
                <w:tcPr>
                  <w:tcW w:w="867" w:type="dxa"/>
                  <w:tcBorders>
                    <w:top w:val="nil"/>
                    <w:left w:val="single" w:color="000000" w:sz="8" w:space="0"/>
                    <w:bottom w:val="single" w:color="000000" w:sz="8" w:space="0"/>
                    <w:right w:val="single" w:color="000000" w:sz="8" w:space="0"/>
                  </w:tcBorders>
                  <w:noWrap w:val="0"/>
                  <w:vAlign w:val="center"/>
                </w:tcPr>
                <w:p w14:paraId="51B0F856">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w:t>
                  </w:r>
                </w:p>
              </w:tc>
              <w:tc>
                <w:tcPr>
                  <w:tcW w:w="978" w:type="dxa"/>
                  <w:tcBorders>
                    <w:top w:val="nil"/>
                    <w:left w:val="single" w:color="000000" w:sz="8" w:space="0"/>
                    <w:bottom w:val="single" w:color="000000" w:sz="8" w:space="0"/>
                    <w:right w:val="single" w:color="000000" w:sz="8" w:space="0"/>
                  </w:tcBorders>
                  <w:noWrap w:val="0"/>
                  <w:vAlign w:val="center"/>
                </w:tcPr>
                <w:p w14:paraId="3158220B">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lang w:val="en-US"/>
                    </w:rPr>
                  </w:pPr>
                  <w:r>
                    <w:rPr>
                      <w:rFonts w:hint="default" w:ascii="Times New Roman" w:hAnsi="Times New Roman" w:eastAsia="宋体" w:cs="Times New Roman"/>
                      <w:i w:val="0"/>
                      <w:iCs w:val="0"/>
                      <w:color w:val="000000"/>
                      <w:kern w:val="0"/>
                      <w:sz w:val="21"/>
                      <w:szCs w:val="21"/>
                      <w:u w:val="none"/>
                      <w:lang w:val="en-US" w:eastAsia="zh-CN" w:bidi="ar"/>
                    </w:rPr>
                    <w:t>0.052</w:t>
                  </w:r>
                  <w:r>
                    <w:rPr>
                      <w:rFonts w:hint="eastAsia" w:ascii="Times New Roman" w:hAnsi="Times New Roman" w:eastAsia="宋体" w:cs="Times New Roman"/>
                      <w:i w:val="0"/>
                      <w:iCs w:val="0"/>
                      <w:color w:val="000000"/>
                      <w:kern w:val="0"/>
                      <w:sz w:val="21"/>
                      <w:szCs w:val="21"/>
                      <w:u w:val="none"/>
                      <w:lang w:val="en-US" w:eastAsia="zh-CN" w:bidi="ar"/>
                    </w:rPr>
                    <w:t>3</w:t>
                  </w:r>
                </w:p>
              </w:tc>
              <w:tc>
                <w:tcPr>
                  <w:tcW w:w="1020" w:type="dxa"/>
                  <w:vMerge w:val="continue"/>
                  <w:tcBorders>
                    <w:top w:val="nil"/>
                    <w:left w:val="single" w:color="000000" w:sz="8" w:space="0"/>
                    <w:bottom w:val="single" w:color="000000" w:sz="8" w:space="0"/>
                    <w:right w:val="single" w:color="000000" w:sz="8" w:space="0"/>
                  </w:tcBorders>
                  <w:noWrap w:val="0"/>
                  <w:vAlign w:val="center"/>
                </w:tcPr>
                <w:p w14:paraId="00CA9925">
                  <w:pPr>
                    <w:jc w:val="center"/>
                    <w:rPr>
                      <w:rFonts w:hint="default" w:ascii="Times New Roman" w:hAnsi="Times New Roman" w:eastAsia="宋体" w:cs="Times New Roman"/>
                      <w:i w:val="0"/>
                      <w:iCs w:val="0"/>
                      <w:color w:val="000000"/>
                      <w:sz w:val="21"/>
                      <w:szCs w:val="21"/>
                      <w:u w:val="none"/>
                    </w:rPr>
                  </w:pPr>
                </w:p>
              </w:tc>
              <w:tc>
                <w:tcPr>
                  <w:tcW w:w="1001" w:type="dxa"/>
                  <w:vMerge w:val="continue"/>
                  <w:tcBorders>
                    <w:top w:val="nil"/>
                    <w:left w:val="single" w:color="000000" w:sz="8" w:space="0"/>
                    <w:bottom w:val="single" w:color="000000" w:sz="8" w:space="0"/>
                    <w:right w:val="single" w:color="000000" w:sz="8" w:space="0"/>
                  </w:tcBorders>
                  <w:noWrap w:val="0"/>
                  <w:vAlign w:val="center"/>
                </w:tcPr>
                <w:p w14:paraId="32498236">
                  <w:pPr>
                    <w:jc w:val="center"/>
                    <w:rPr>
                      <w:rFonts w:hint="default" w:ascii="Times New Roman" w:hAnsi="Times New Roman" w:eastAsia="宋体" w:cs="Times New Roman"/>
                      <w:i w:val="0"/>
                      <w:iCs w:val="0"/>
                      <w:color w:val="000000"/>
                      <w:sz w:val="21"/>
                      <w:szCs w:val="21"/>
                      <w:u w:val="none"/>
                    </w:rPr>
                  </w:pPr>
                </w:p>
              </w:tc>
              <w:tc>
                <w:tcPr>
                  <w:tcW w:w="720" w:type="dxa"/>
                  <w:tcBorders>
                    <w:top w:val="nil"/>
                    <w:left w:val="single" w:color="000000" w:sz="8" w:space="0"/>
                    <w:bottom w:val="single" w:color="000000" w:sz="8" w:space="0"/>
                    <w:right w:val="single" w:color="000000" w:sz="8" w:space="0"/>
                  </w:tcBorders>
                  <w:noWrap w:val="0"/>
                  <w:vAlign w:val="center"/>
                </w:tcPr>
                <w:p w14:paraId="7C94BCB8">
                  <w:pPr>
                    <w:keepNext w:val="0"/>
                    <w:keepLines w:val="0"/>
                    <w:widowControl/>
                    <w:suppressLineNumbers w:val="0"/>
                    <w:jc w:val="center"/>
                    <w:textAlignment w:val="center"/>
                    <w:rPr>
                      <w:rFonts w:hint="eastAsia" w:ascii="Times New Roman" w:hAnsi="Times New Roman" w:eastAsia="宋体" w:cs="Times New Roman"/>
                      <w:i w:val="0"/>
                      <w:iCs w:val="0"/>
                      <w:color w:val="000000"/>
                      <w:sz w:val="21"/>
                      <w:szCs w:val="21"/>
                      <w:u w:val="none"/>
                    </w:rPr>
                  </w:pPr>
                  <w:r>
                    <w:rPr>
                      <w:rFonts w:hint="eastAsia" w:ascii="Times New Roman" w:hAnsi="Times New Roman" w:eastAsia="宋体" w:cs="Times New Roman"/>
                      <w:i w:val="0"/>
                      <w:iCs w:val="0"/>
                      <w:color w:val="000000"/>
                      <w:sz w:val="21"/>
                      <w:szCs w:val="21"/>
                      <w:u w:val="none"/>
                      <w:lang w:val="en-US" w:eastAsia="zh-CN"/>
                    </w:rPr>
                    <w:t>/</w:t>
                  </w:r>
                </w:p>
              </w:tc>
              <w:tc>
                <w:tcPr>
                  <w:tcW w:w="1138" w:type="dxa"/>
                  <w:tcBorders>
                    <w:top w:val="nil"/>
                    <w:left w:val="single" w:color="000000" w:sz="8" w:space="0"/>
                    <w:bottom w:val="single" w:color="000000" w:sz="8" w:space="0"/>
                    <w:right w:val="single" w:color="000000" w:sz="8" w:space="0"/>
                  </w:tcBorders>
                  <w:noWrap w:val="0"/>
                  <w:vAlign w:val="center"/>
                </w:tcPr>
                <w:p w14:paraId="01D75105">
                  <w:pPr>
                    <w:keepNext w:val="0"/>
                    <w:keepLines w:val="0"/>
                    <w:widowControl/>
                    <w:suppressLineNumbers w:val="0"/>
                    <w:jc w:val="center"/>
                    <w:textAlignment w:val="center"/>
                    <w:rPr>
                      <w:rFonts w:hint="eastAsia" w:ascii="Times New Roman" w:hAnsi="Times New Roman" w:eastAsia="宋体" w:cs="Times New Roman"/>
                      <w:i w:val="0"/>
                      <w:iCs w:val="0"/>
                      <w:color w:val="000000"/>
                      <w:sz w:val="21"/>
                      <w:szCs w:val="21"/>
                      <w:u w:val="none"/>
                    </w:rPr>
                  </w:pPr>
                  <w:r>
                    <w:rPr>
                      <w:rFonts w:hint="eastAsia" w:ascii="Times New Roman" w:hAnsi="Times New Roman" w:eastAsia="宋体" w:cs="Times New Roman"/>
                      <w:i w:val="0"/>
                      <w:iCs w:val="0"/>
                      <w:color w:val="000000"/>
                      <w:sz w:val="21"/>
                      <w:szCs w:val="21"/>
                      <w:u w:val="none"/>
                      <w:lang w:val="en-US" w:eastAsia="zh-CN"/>
                    </w:rPr>
                    <w:t>/</w:t>
                  </w:r>
                </w:p>
              </w:tc>
            </w:tr>
            <w:tr w14:paraId="09E9EC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997" w:type="dxa"/>
                  <w:vMerge w:val="continue"/>
                  <w:tcBorders>
                    <w:top w:val="nil"/>
                    <w:left w:val="single" w:color="000000" w:sz="8" w:space="0"/>
                    <w:bottom w:val="single" w:color="000000" w:sz="8" w:space="0"/>
                    <w:right w:val="single" w:color="000000" w:sz="8" w:space="0"/>
                  </w:tcBorders>
                  <w:noWrap w:val="0"/>
                  <w:vAlign w:val="center"/>
                </w:tcPr>
                <w:p w14:paraId="47D07C1D">
                  <w:pPr>
                    <w:jc w:val="center"/>
                    <w:rPr>
                      <w:rFonts w:hint="default" w:ascii="Times New Roman" w:hAnsi="Times New Roman" w:eastAsia="宋体" w:cs="Times New Roman"/>
                      <w:i w:val="0"/>
                      <w:iCs w:val="0"/>
                      <w:color w:val="000000"/>
                      <w:sz w:val="21"/>
                      <w:szCs w:val="21"/>
                      <w:u w:val="none"/>
                    </w:rPr>
                  </w:pPr>
                </w:p>
              </w:tc>
              <w:tc>
                <w:tcPr>
                  <w:tcW w:w="744" w:type="dxa"/>
                  <w:vMerge w:val="continue"/>
                  <w:tcBorders>
                    <w:top w:val="nil"/>
                    <w:left w:val="single" w:color="000000" w:sz="8" w:space="0"/>
                    <w:bottom w:val="single" w:color="auto" w:sz="4" w:space="0"/>
                    <w:right w:val="single" w:color="000000" w:sz="8" w:space="0"/>
                  </w:tcBorders>
                  <w:noWrap w:val="0"/>
                  <w:vAlign w:val="center"/>
                </w:tcPr>
                <w:p w14:paraId="5E24C2AD">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p>
              </w:tc>
              <w:tc>
                <w:tcPr>
                  <w:tcW w:w="750" w:type="dxa"/>
                  <w:tcBorders>
                    <w:top w:val="nil"/>
                    <w:left w:val="single" w:color="000000" w:sz="8" w:space="0"/>
                    <w:bottom w:val="single" w:color="000000" w:sz="8" w:space="0"/>
                    <w:right w:val="single" w:color="000000" w:sz="8" w:space="0"/>
                  </w:tcBorders>
                  <w:noWrap w:val="0"/>
                  <w:vAlign w:val="center"/>
                </w:tcPr>
                <w:p w14:paraId="0C263401">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TP</w:t>
                  </w:r>
                </w:p>
              </w:tc>
              <w:tc>
                <w:tcPr>
                  <w:tcW w:w="867" w:type="dxa"/>
                  <w:tcBorders>
                    <w:top w:val="nil"/>
                    <w:left w:val="single" w:color="000000" w:sz="8" w:space="0"/>
                    <w:bottom w:val="single" w:color="000000" w:sz="8" w:space="0"/>
                    <w:right w:val="single" w:color="000000" w:sz="8" w:space="0"/>
                  </w:tcBorders>
                  <w:noWrap w:val="0"/>
                  <w:vAlign w:val="center"/>
                </w:tcPr>
                <w:p w14:paraId="3D1235CF">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w:t>
                  </w:r>
                </w:p>
              </w:tc>
              <w:tc>
                <w:tcPr>
                  <w:tcW w:w="978" w:type="dxa"/>
                  <w:tcBorders>
                    <w:top w:val="nil"/>
                    <w:left w:val="single" w:color="000000" w:sz="8" w:space="0"/>
                    <w:bottom w:val="single" w:color="000000" w:sz="8" w:space="0"/>
                    <w:right w:val="single" w:color="000000" w:sz="8" w:space="0"/>
                  </w:tcBorders>
                  <w:noWrap w:val="0"/>
                  <w:vAlign w:val="center"/>
                </w:tcPr>
                <w:p w14:paraId="47440076">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lang w:val="en-US"/>
                    </w:rPr>
                  </w:pPr>
                  <w:r>
                    <w:rPr>
                      <w:rFonts w:hint="default" w:ascii="Times New Roman" w:hAnsi="Times New Roman" w:eastAsia="宋体" w:cs="Times New Roman"/>
                      <w:i w:val="0"/>
                      <w:iCs w:val="0"/>
                      <w:color w:val="000000"/>
                      <w:kern w:val="0"/>
                      <w:sz w:val="21"/>
                      <w:szCs w:val="21"/>
                      <w:u w:val="none"/>
                      <w:lang w:val="en-US" w:eastAsia="zh-CN" w:bidi="ar"/>
                    </w:rPr>
                    <w:t>0.010</w:t>
                  </w:r>
                  <w:r>
                    <w:rPr>
                      <w:rFonts w:hint="eastAsia" w:ascii="Times New Roman" w:hAnsi="Times New Roman" w:eastAsia="宋体" w:cs="Times New Roman"/>
                      <w:i w:val="0"/>
                      <w:iCs w:val="0"/>
                      <w:color w:val="000000"/>
                      <w:kern w:val="0"/>
                      <w:sz w:val="21"/>
                      <w:szCs w:val="21"/>
                      <w:u w:val="none"/>
                      <w:lang w:val="en-US" w:eastAsia="zh-CN" w:bidi="ar"/>
                    </w:rPr>
                    <w:t>5</w:t>
                  </w:r>
                </w:p>
              </w:tc>
              <w:tc>
                <w:tcPr>
                  <w:tcW w:w="1020" w:type="dxa"/>
                  <w:vMerge w:val="continue"/>
                  <w:tcBorders>
                    <w:top w:val="nil"/>
                    <w:left w:val="single" w:color="000000" w:sz="8" w:space="0"/>
                    <w:bottom w:val="single" w:color="000000" w:sz="8" w:space="0"/>
                    <w:right w:val="single" w:color="000000" w:sz="8" w:space="0"/>
                  </w:tcBorders>
                  <w:noWrap w:val="0"/>
                  <w:vAlign w:val="center"/>
                </w:tcPr>
                <w:p w14:paraId="4BFD62A5">
                  <w:pPr>
                    <w:jc w:val="center"/>
                    <w:rPr>
                      <w:rFonts w:hint="default" w:ascii="Times New Roman" w:hAnsi="Times New Roman" w:eastAsia="宋体" w:cs="Times New Roman"/>
                      <w:i w:val="0"/>
                      <w:iCs w:val="0"/>
                      <w:color w:val="000000"/>
                      <w:sz w:val="21"/>
                      <w:szCs w:val="21"/>
                      <w:u w:val="none"/>
                    </w:rPr>
                  </w:pPr>
                </w:p>
              </w:tc>
              <w:tc>
                <w:tcPr>
                  <w:tcW w:w="1001" w:type="dxa"/>
                  <w:vMerge w:val="continue"/>
                  <w:tcBorders>
                    <w:top w:val="nil"/>
                    <w:left w:val="single" w:color="000000" w:sz="8" w:space="0"/>
                    <w:bottom w:val="single" w:color="000000" w:sz="8" w:space="0"/>
                    <w:right w:val="single" w:color="000000" w:sz="8" w:space="0"/>
                  </w:tcBorders>
                  <w:noWrap w:val="0"/>
                  <w:vAlign w:val="center"/>
                </w:tcPr>
                <w:p w14:paraId="20BAAF24">
                  <w:pPr>
                    <w:jc w:val="center"/>
                    <w:rPr>
                      <w:rFonts w:hint="default" w:ascii="Times New Roman" w:hAnsi="Times New Roman" w:eastAsia="宋体" w:cs="Times New Roman"/>
                      <w:i w:val="0"/>
                      <w:iCs w:val="0"/>
                      <w:color w:val="000000"/>
                      <w:sz w:val="21"/>
                      <w:szCs w:val="21"/>
                      <w:u w:val="none"/>
                    </w:rPr>
                  </w:pPr>
                </w:p>
              </w:tc>
              <w:tc>
                <w:tcPr>
                  <w:tcW w:w="720" w:type="dxa"/>
                  <w:tcBorders>
                    <w:top w:val="nil"/>
                    <w:left w:val="single" w:color="000000" w:sz="8" w:space="0"/>
                    <w:bottom w:val="single" w:color="000000" w:sz="8" w:space="0"/>
                    <w:right w:val="single" w:color="000000" w:sz="8" w:space="0"/>
                  </w:tcBorders>
                  <w:noWrap w:val="0"/>
                  <w:vAlign w:val="center"/>
                </w:tcPr>
                <w:p w14:paraId="28117C88">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eastAsia" w:ascii="Times New Roman" w:hAnsi="Times New Roman" w:eastAsia="宋体" w:cs="Times New Roman"/>
                      <w:i w:val="0"/>
                      <w:iCs w:val="0"/>
                      <w:color w:val="000000"/>
                      <w:kern w:val="0"/>
                      <w:sz w:val="21"/>
                      <w:szCs w:val="21"/>
                      <w:u w:val="none"/>
                      <w:lang w:val="en-US" w:eastAsia="zh-CN" w:bidi="ar"/>
                    </w:rPr>
                    <w:t>/</w:t>
                  </w:r>
                </w:p>
              </w:tc>
              <w:tc>
                <w:tcPr>
                  <w:tcW w:w="1138" w:type="dxa"/>
                  <w:tcBorders>
                    <w:top w:val="nil"/>
                    <w:left w:val="single" w:color="000000" w:sz="8" w:space="0"/>
                    <w:bottom w:val="single" w:color="000000" w:sz="8" w:space="0"/>
                    <w:right w:val="single" w:color="000000" w:sz="8" w:space="0"/>
                  </w:tcBorders>
                  <w:noWrap w:val="0"/>
                  <w:vAlign w:val="center"/>
                </w:tcPr>
                <w:p w14:paraId="110AD83F">
                  <w:pPr>
                    <w:keepNext w:val="0"/>
                    <w:keepLines w:val="0"/>
                    <w:widowControl/>
                    <w:suppressLineNumbers w:val="0"/>
                    <w:jc w:val="center"/>
                    <w:textAlignment w:val="center"/>
                    <w:rPr>
                      <w:rFonts w:hint="eastAsia" w:ascii="Times New Roman" w:hAnsi="Times New Roman" w:eastAsia="宋体" w:cs="Times New Roman"/>
                      <w:i w:val="0"/>
                      <w:iCs w:val="0"/>
                      <w:color w:val="000000"/>
                      <w:sz w:val="21"/>
                      <w:szCs w:val="21"/>
                      <w:u w:val="none"/>
                    </w:rPr>
                  </w:pPr>
                  <w:r>
                    <w:rPr>
                      <w:rFonts w:hint="eastAsia" w:ascii="Times New Roman" w:hAnsi="Times New Roman" w:eastAsia="宋体" w:cs="Times New Roman"/>
                      <w:i w:val="0"/>
                      <w:iCs w:val="0"/>
                      <w:color w:val="000000"/>
                      <w:sz w:val="21"/>
                      <w:szCs w:val="21"/>
                      <w:u w:val="none"/>
                      <w:lang w:val="en-US" w:eastAsia="zh-CN"/>
                    </w:rPr>
                    <w:t>/</w:t>
                  </w:r>
                </w:p>
              </w:tc>
            </w:tr>
            <w:tr w14:paraId="58B805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997" w:type="dxa"/>
                  <w:vMerge w:val="restart"/>
                  <w:tcBorders>
                    <w:top w:val="nil"/>
                    <w:left w:val="single" w:color="000000" w:sz="8" w:space="0"/>
                    <w:bottom w:val="single" w:color="000000" w:sz="8" w:space="0"/>
                    <w:right w:val="single" w:color="auto" w:sz="4" w:space="0"/>
                  </w:tcBorders>
                  <w:noWrap w:val="0"/>
                  <w:vAlign w:val="center"/>
                </w:tcPr>
                <w:p w14:paraId="24B6694F">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普通门诊废水、口腔科废水、病房废水、检验废水、手术室废水</w:t>
                  </w:r>
                </w:p>
              </w:tc>
              <w:tc>
                <w:tcPr>
                  <w:tcW w:w="744" w:type="dxa"/>
                  <w:vMerge w:val="restart"/>
                  <w:tcBorders>
                    <w:top w:val="single" w:color="auto" w:sz="4" w:space="0"/>
                    <w:left w:val="single" w:color="auto" w:sz="4" w:space="0"/>
                    <w:bottom w:val="single" w:color="auto" w:sz="4" w:space="0"/>
                    <w:right w:val="single" w:color="auto" w:sz="4" w:space="0"/>
                  </w:tcBorders>
                  <w:noWrap w:val="0"/>
                  <w:vAlign w:val="center"/>
                </w:tcPr>
                <w:p w14:paraId="732E61A3">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lang w:val="en-US"/>
                    </w:rPr>
                  </w:pPr>
                  <w:r>
                    <w:rPr>
                      <w:rFonts w:hint="eastAsia" w:cs="Times New Roman"/>
                      <w:i w:val="0"/>
                      <w:iCs w:val="0"/>
                      <w:color w:val="000000"/>
                      <w:kern w:val="0"/>
                      <w:sz w:val="21"/>
                      <w:szCs w:val="21"/>
                      <w:u w:val="none"/>
                      <w:lang w:val="en-US" w:eastAsia="zh-CN" w:bidi="ar"/>
                    </w:rPr>
                    <w:t>16984.18</w:t>
                  </w:r>
                </w:p>
              </w:tc>
              <w:tc>
                <w:tcPr>
                  <w:tcW w:w="750" w:type="dxa"/>
                  <w:tcBorders>
                    <w:top w:val="nil"/>
                    <w:left w:val="single" w:color="auto" w:sz="4" w:space="0"/>
                    <w:bottom w:val="single" w:color="000000" w:sz="8" w:space="0"/>
                    <w:right w:val="single" w:color="000000" w:sz="8" w:space="0"/>
                  </w:tcBorders>
                  <w:noWrap w:val="0"/>
                  <w:vAlign w:val="center"/>
                </w:tcPr>
                <w:p w14:paraId="7AE6E412">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COD</w:t>
                  </w:r>
                </w:p>
              </w:tc>
              <w:tc>
                <w:tcPr>
                  <w:tcW w:w="867" w:type="dxa"/>
                  <w:tcBorders>
                    <w:top w:val="nil"/>
                    <w:left w:val="single" w:color="000000" w:sz="8" w:space="0"/>
                    <w:bottom w:val="single" w:color="000000" w:sz="8" w:space="0"/>
                    <w:right w:val="single" w:color="000000" w:sz="8" w:space="0"/>
                  </w:tcBorders>
                  <w:noWrap w:val="0"/>
                  <w:vAlign w:val="center"/>
                </w:tcPr>
                <w:p w14:paraId="5BAD102C">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300</w:t>
                  </w:r>
                </w:p>
              </w:tc>
              <w:tc>
                <w:tcPr>
                  <w:tcW w:w="978" w:type="dxa"/>
                  <w:tcBorders>
                    <w:top w:val="nil"/>
                    <w:left w:val="single" w:color="000000" w:sz="8" w:space="0"/>
                    <w:bottom w:val="single" w:color="000000" w:sz="8" w:space="0"/>
                    <w:right w:val="single" w:color="000000" w:sz="8" w:space="0"/>
                  </w:tcBorders>
                  <w:noWrap w:val="0"/>
                  <w:vAlign w:val="center"/>
                </w:tcPr>
                <w:p w14:paraId="1B49E674">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lang w:val="en-US"/>
                    </w:rPr>
                  </w:pPr>
                  <w:r>
                    <w:rPr>
                      <w:rFonts w:hint="default" w:ascii="Times New Roman" w:hAnsi="Times New Roman" w:eastAsia="宋体" w:cs="Times New Roman"/>
                      <w:i w:val="0"/>
                      <w:iCs w:val="0"/>
                      <w:color w:val="000000"/>
                      <w:kern w:val="0"/>
                      <w:sz w:val="21"/>
                      <w:szCs w:val="21"/>
                      <w:u w:val="none"/>
                      <w:lang w:val="en-US" w:eastAsia="zh-CN" w:bidi="ar"/>
                    </w:rPr>
                    <w:t>5.095</w:t>
                  </w:r>
                  <w:r>
                    <w:rPr>
                      <w:rFonts w:hint="eastAsia" w:cs="Times New Roman"/>
                      <w:i w:val="0"/>
                      <w:iCs w:val="0"/>
                      <w:color w:val="000000"/>
                      <w:kern w:val="0"/>
                      <w:sz w:val="21"/>
                      <w:szCs w:val="21"/>
                      <w:u w:val="none"/>
                      <w:lang w:val="en-US" w:eastAsia="zh-CN" w:bidi="ar"/>
                    </w:rPr>
                    <w:t>3</w:t>
                  </w:r>
                </w:p>
              </w:tc>
              <w:tc>
                <w:tcPr>
                  <w:tcW w:w="1020" w:type="dxa"/>
                  <w:vMerge w:val="restart"/>
                  <w:tcBorders>
                    <w:top w:val="nil"/>
                    <w:left w:val="single" w:color="000000" w:sz="8" w:space="0"/>
                    <w:bottom w:val="single" w:color="000000" w:sz="8" w:space="0"/>
                    <w:right w:val="single" w:color="000000" w:sz="8" w:space="0"/>
                  </w:tcBorders>
                  <w:noWrap w:val="0"/>
                  <w:vAlign w:val="center"/>
                </w:tcPr>
                <w:p w14:paraId="6C884D3C">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化粪池</w:t>
                  </w:r>
                </w:p>
              </w:tc>
              <w:tc>
                <w:tcPr>
                  <w:tcW w:w="1001" w:type="dxa"/>
                  <w:vMerge w:val="continue"/>
                  <w:tcBorders>
                    <w:top w:val="nil"/>
                    <w:left w:val="single" w:color="000000" w:sz="8" w:space="0"/>
                    <w:bottom w:val="single" w:color="000000" w:sz="8" w:space="0"/>
                    <w:right w:val="single" w:color="000000" w:sz="8" w:space="0"/>
                  </w:tcBorders>
                  <w:noWrap w:val="0"/>
                  <w:vAlign w:val="center"/>
                </w:tcPr>
                <w:p w14:paraId="4B04E934">
                  <w:pPr>
                    <w:jc w:val="center"/>
                    <w:rPr>
                      <w:rFonts w:hint="default" w:ascii="Times New Roman" w:hAnsi="Times New Roman" w:eastAsia="宋体" w:cs="Times New Roman"/>
                      <w:i w:val="0"/>
                      <w:iCs w:val="0"/>
                      <w:color w:val="000000"/>
                      <w:sz w:val="21"/>
                      <w:szCs w:val="21"/>
                      <w:u w:val="none"/>
                    </w:rPr>
                  </w:pPr>
                </w:p>
              </w:tc>
              <w:tc>
                <w:tcPr>
                  <w:tcW w:w="720" w:type="dxa"/>
                  <w:tcBorders>
                    <w:top w:val="nil"/>
                    <w:left w:val="single" w:color="000000" w:sz="8" w:space="0"/>
                    <w:bottom w:val="single" w:color="000000" w:sz="8" w:space="0"/>
                    <w:right w:val="single" w:color="000000" w:sz="8" w:space="0"/>
                  </w:tcBorders>
                  <w:noWrap w:val="0"/>
                  <w:vAlign w:val="center"/>
                </w:tcPr>
                <w:p w14:paraId="6FD2EFA7">
                  <w:pPr>
                    <w:keepNext w:val="0"/>
                    <w:keepLines w:val="0"/>
                    <w:widowControl/>
                    <w:suppressLineNumbers w:val="0"/>
                    <w:jc w:val="center"/>
                    <w:textAlignment w:val="center"/>
                    <w:rPr>
                      <w:rFonts w:hint="eastAsia" w:ascii="Times New Roman" w:hAnsi="Times New Roman" w:eastAsia="宋体" w:cs="Times New Roman"/>
                      <w:i w:val="0"/>
                      <w:iCs w:val="0"/>
                      <w:color w:val="000000"/>
                      <w:sz w:val="21"/>
                      <w:szCs w:val="21"/>
                      <w:u w:val="none"/>
                    </w:rPr>
                  </w:pPr>
                  <w:r>
                    <w:rPr>
                      <w:rFonts w:hint="eastAsia" w:ascii="Times New Roman" w:hAnsi="Times New Roman" w:eastAsia="宋体" w:cs="Times New Roman"/>
                      <w:i w:val="0"/>
                      <w:iCs w:val="0"/>
                      <w:color w:val="000000"/>
                      <w:sz w:val="21"/>
                      <w:szCs w:val="21"/>
                      <w:u w:val="none"/>
                      <w:lang w:val="en-US" w:eastAsia="zh-CN"/>
                    </w:rPr>
                    <w:t>/</w:t>
                  </w:r>
                </w:p>
              </w:tc>
              <w:tc>
                <w:tcPr>
                  <w:tcW w:w="1138" w:type="dxa"/>
                  <w:tcBorders>
                    <w:top w:val="nil"/>
                    <w:left w:val="single" w:color="000000" w:sz="8" w:space="0"/>
                    <w:bottom w:val="single" w:color="000000" w:sz="8" w:space="0"/>
                    <w:right w:val="single" w:color="000000" w:sz="8" w:space="0"/>
                  </w:tcBorders>
                  <w:noWrap w:val="0"/>
                  <w:vAlign w:val="center"/>
                </w:tcPr>
                <w:p w14:paraId="6D8509F4">
                  <w:pPr>
                    <w:keepNext w:val="0"/>
                    <w:keepLines w:val="0"/>
                    <w:widowControl/>
                    <w:suppressLineNumbers w:val="0"/>
                    <w:jc w:val="center"/>
                    <w:textAlignment w:val="center"/>
                    <w:rPr>
                      <w:rFonts w:hint="eastAsia" w:ascii="Times New Roman" w:hAnsi="Times New Roman" w:eastAsia="宋体" w:cs="Times New Roman"/>
                      <w:i w:val="0"/>
                      <w:iCs w:val="0"/>
                      <w:color w:val="000000"/>
                      <w:sz w:val="21"/>
                      <w:szCs w:val="21"/>
                      <w:u w:val="none"/>
                    </w:rPr>
                  </w:pPr>
                  <w:r>
                    <w:rPr>
                      <w:rFonts w:hint="eastAsia" w:ascii="Times New Roman" w:hAnsi="Times New Roman" w:eastAsia="宋体" w:cs="Times New Roman"/>
                      <w:i w:val="0"/>
                      <w:iCs w:val="0"/>
                      <w:color w:val="000000"/>
                      <w:sz w:val="21"/>
                      <w:szCs w:val="21"/>
                      <w:u w:val="none"/>
                      <w:lang w:val="en-US" w:eastAsia="zh-CN"/>
                    </w:rPr>
                    <w:t>/</w:t>
                  </w:r>
                </w:p>
              </w:tc>
            </w:tr>
            <w:tr w14:paraId="066FBA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jc w:val="center"/>
              </w:trPr>
              <w:tc>
                <w:tcPr>
                  <w:tcW w:w="997" w:type="dxa"/>
                  <w:vMerge w:val="continue"/>
                  <w:tcBorders>
                    <w:top w:val="nil"/>
                    <w:left w:val="single" w:color="000000" w:sz="8" w:space="0"/>
                    <w:bottom w:val="single" w:color="000000" w:sz="8" w:space="0"/>
                    <w:right w:val="single" w:color="auto" w:sz="4" w:space="0"/>
                  </w:tcBorders>
                  <w:noWrap w:val="0"/>
                  <w:vAlign w:val="center"/>
                </w:tcPr>
                <w:p w14:paraId="48E208D8">
                  <w:pPr>
                    <w:jc w:val="center"/>
                    <w:rPr>
                      <w:rFonts w:hint="default" w:ascii="Times New Roman" w:hAnsi="Times New Roman" w:eastAsia="宋体" w:cs="Times New Roman"/>
                      <w:i w:val="0"/>
                      <w:iCs w:val="0"/>
                      <w:color w:val="000000"/>
                      <w:sz w:val="21"/>
                      <w:szCs w:val="21"/>
                      <w:u w:val="none"/>
                    </w:rPr>
                  </w:pPr>
                </w:p>
              </w:tc>
              <w:tc>
                <w:tcPr>
                  <w:tcW w:w="744" w:type="dxa"/>
                  <w:vMerge w:val="continue"/>
                  <w:tcBorders>
                    <w:top w:val="single" w:color="auto" w:sz="4" w:space="0"/>
                    <w:left w:val="single" w:color="auto" w:sz="4" w:space="0"/>
                    <w:bottom w:val="single" w:color="auto" w:sz="4" w:space="0"/>
                    <w:right w:val="single" w:color="auto" w:sz="4" w:space="0"/>
                  </w:tcBorders>
                  <w:noWrap w:val="0"/>
                  <w:vAlign w:val="center"/>
                </w:tcPr>
                <w:p w14:paraId="45C0A8CF">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p>
              </w:tc>
              <w:tc>
                <w:tcPr>
                  <w:tcW w:w="750" w:type="dxa"/>
                  <w:tcBorders>
                    <w:top w:val="nil"/>
                    <w:left w:val="single" w:color="auto" w:sz="4" w:space="0"/>
                    <w:bottom w:val="single" w:color="000000" w:sz="8" w:space="0"/>
                    <w:right w:val="single" w:color="000000" w:sz="8" w:space="0"/>
                  </w:tcBorders>
                  <w:noWrap w:val="0"/>
                  <w:vAlign w:val="center"/>
                </w:tcPr>
                <w:p w14:paraId="117CF63F">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BOD</w:t>
                  </w:r>
                  <w:r>
                    <w:rPr>
                      <w:rFonts w:hint="default" w:ascii="Times New Roman" w:hAnsi="Times New Roman" w:eastAsia="宋体" w:cs="Times New Roman"/>
                      <w:i w:val="0"/>
                      <w:iCs w:val="0"/>
                      <w:color w:val="000000"/>
                      <w:kern w:val="0"/>
                      <w:sz w:val="21"/>
                      <w:szCs w:val="21"/>
                      <w:u w:val="none"/>
                      <w:vertAlign w:val="subscript"/>
                      <w:lang w:val="en-US" w:eastAsia="zh-CN" w:bidi="ar"/>
                    </w:rPr>
                    <w:t>5</w:t>
                  </w:r>
                </w:p>
              </w:tc>
              <w:tc>
                <w:tcPr>
                  <w:tcW w:w="867" w:type="dxa"/>
                  <w:tcBorders>
                    <w:top w:val="nil"/>
                    <w:left w:val="single" w:color="000000" w:sz="8" w:space="0"/>
                    <w:bottom w:val="single" w:color="000000" w:sz="8" w:space="0"/>
                    <w:right w:val="single" w:color="000000" w:sz="8" w:space="0"/>
                  </w:tcBorders>
                  <w:noWrap w:val="0"/>
                  <w:vAlign w:val="center"/>
                </w:tcPr>
                <w:p w14:paraId="3589EC8C">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120</w:t>
                  </w:r>
                </w:p>
              </w:tc>
              <w:tc>
                <w:tcPr>
                  <w:tcW w:w="978" w:type="dxa"/>
                  <w:tcBorders>
                    <w:top w:val="nil"/>
                    <w:left w:val="single" w:color="000000" w:sz="8" w:space="0"/>
                    <w:bottom w:val="single" w:color="000000" w:sz="8" w:space="0"/>
                    <w:right w:val="single" w:color="000000" w:sz="8" w:space="0"/>
                  </w:tcBorders>
                  <w:noWrap w:val="0"/>
                  <w:vAlign w:val="center"/>
                </w:tcPr>
                <w:p w14:paraId="23856D66">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lang w:val="en-US"/>
                    </w:rPr>
                  </w:pPr>
                  <w:r>
                    <w:rPr>
                      <w:rFonts w:hint="default" w:ascii="Times New Roman" w:hAnsi="Times New Roman" w:eastAsia="宋体" w:cs="Times New Roman"/>
                      <w:i w:val="0"/>
                      <w:iCs w:val="0"/>
                      <w:color w:val="000000"/>
                      <w:kern w:val="0"/>
                      <w:sz w:val="21"/>
                      <w:szCs w:val="21"/>
                      <w:u w:val="none"/>
                      <w:lang w:val="en-US" w:eastAsia="zh-CN" w:bidi="ar"/>
                    </w:rPr>
                    <w:t>2.0381016</w:t>
                  </w:r>
                </w:p>
              </w:tc>
              <w:tc>
                <w:tcPr>
                  <w:tcW w:w="1020" w:type="dxa"/>
                  <w:vMerge w:val="continue"/>
                  <w:tcBorders>
                    <w:top w:val="nil"/>
                    <w:left w:val="single" w:color="000000" w:sz="8" w:space="0"/>
                    <w:bottom w:val="single" w:color="000000" w:sz="8" w:space="0"/>
                    <w:right w:val="single" w:color="000000" w:sz="8" w:space="0"/>
                  </w:tcBorders>
                  <w:noWrap w:val="0"/>
                  <w:vAlign w:val="center"/>
                </w:tcPr>
                <w:p w14:paraId="1DB9B342">
                  <w:pPr>
                    <w:jc w:val="center"/>
                    <w:rPr>
                      <w:rFonts w:hint="default" w:ascii="Times New Roman" w:hAnsi="Times New Roman" w:eastAsia="宋体" w:cs="Times New Roman"/>
                      <w:i w:val="0"/>
                      <w:iCs w:val="0"/>
                      <w:color w:val="000000"/>
                      <w:sz w:val="21"/>
                      <w:szCs w:val="21"/>
                      <w:u w:val="none"/>
                    </w:rPr>
                  </w:pPr>
                </w:p>
              </w:tc>
              <w:tc>
                <w:tcPr>
                  <w:tcW w:w="1001" w:type="dxa"/>
                  <w:vMerge w:val="continue"/>
                  <w:tcBorders>
                    <w:top w:val="nil"/>
                    <w:left w:val="single" w:color="000000" w:sz="8" w:space="0"/>
                    <w:bottom w:val="single" w:color="000000" w:sz="8" w:space="0"/>
                    <w:right w:val="single" w:color="000000" w:sz="8" w:space="0"/>
                  </w:tcBorders>
                  <w:noWrap w:val="0"/>
                  <w:vAlign w:val="center"/>
                </w:tcPr>
                <w:p w14:paraId="7DB7C159">
                  <w:pPr>
                    <w:jc w:val="center"/>
                    <w:rPr>
                      <w:rFonts w:hint="default" w:ascii="Times New Roman" w:hAnsi="Times New Roman" w:eastAsia="宋体" w:cs="Times New Roman"/>
                      <w:i w:val="0"/>
                      <w:iCs w:val="0"/>
                      <w:color w:val="000000"/>
                      <w:sz w:val="21"/>
                      <w:szCs w:val="21"/>
                      <w:u w:val="none"/>
                    </w:rPr>
                  </w:pPr>
                </w:p>
              </w:tc>
              <w:tc>
                <w:tcPr>
                  <w:tcW w:w="720" w:type="dxa"/>
                  <w:tcBorders>
                    <w:top w:val="nil"/>
                    <w:left w:val="single" w:color="000000" w:sz="8" w:space="0"/>
                    <w:bottom w:val="single" w:color="000000" w:sz="8" w:space="0"/>
                    <w:right w:val="single" w:color="000000" w:sz="8" w:space="0"/>
                  </w:tcBorders>
                  <w:noWrap w:val="0"/>
                  <w:vAlign w:val="center"/>
                </w:tcPr>
                <w:p w14:paraId="468D26FC">
                  <w:pPr>
                    <w:keepNext w:val="0"/>
                    <w:keepLines w:val="0"/>
                    <w:widowControl/>
                    <w:suppressLineNumbers w:val="0"/>
                    <w:jc w:val="center"/>
                    <w:textAlignment w:val="center"/>
                    <w:rPr>
                      <w:rFonts w:hint="eastAsia" w:ascii="Times New Roman" w:hAnsi="Times New Roman" w:eastAsia="宋体" w:cs="Times New Roman"/>
                      <w:i w:val="0"/>
                      <w:iCs w:val="0"/>
                      <w:color w:val="000000"/>
                      <w:sz w:val="21"/>
                      <w:szCs w:val="21"/>
                      <w:u w:val="none"/>
                    </w:rPr>
                  </w:pPr>
                  <w:r>
                    <w:rPr>
                      <w:rFonts w:hint="eastAsia" w:ascii="Times New Roman" w:hAnsi="Times New Roman" w:eastAsia="宋体" w:cs="Times New Roman"/>
                      <w:i w:val="0"/>
                      <w:iCs w:val="0"/>
                      <w:color w:val="000000"/>
                      <w:sz w:val="21"/>
                      <w:szCs w:val="21"/>
                      <w:u w:val="none"/>
                      <w:lang w:val="en-US" w:eastAsia="zh-CN"/>
                    </w:rPr>
                    <w:t>/</w:t>
                  </w:r>
                </w:p>
              </w:tc>
              <w:tc>
                <w:tcPr>
                  <w:tcW w:w="1138" w:type="dxa"/>
                  <w:tcBorders>
                    <w:top w:val="nil"/>
                    <w:left w:val="single" w:color="000000" w:sz="8" w:space="0"/>
                    <w:bottom w:val="single" w:color="000000" w:sz="8" w:space="0"/>
                    <w:right w:val="single" w:color="000000" w:sz="8" w:space="0"/>
                  </w:tcBorders>
                  <w:noWrap w:val="0"/>
                  <w:vAlign w:val="center"/>
                </w:tcPr>
                <w:p w14:paraId="2DFA00FA">
                  <w:pPr>
                    <w:keepNext w:val="0"/>
                    <w:keepLines w:val="0"/>
                    <w:widowControl/>
                    <w:suppressLineNumbers w:val="0"/>
                    <w:jc w:val="center"/>
                    <w:textAlignment w:val="center"/>
                    <w:rPr>
                      <w:rFonts w:hint="eastAsia" w:ascii="Times New Roman" w:hAnsi="Times New Roman" w:eastAsia="宋体" w:cs="Times New Roman"/>
                      <w:i w:val="0"/>
                      <w:iCs w:val="0"/>
                      <w:color w:val="000000"/>
                      <w:sz w:val="21"/>
                      <w:szCs w:val="21"/>
                      <w:u w:val="none"/>
                    </w:rPr>
                  </w:pPr>
                  <w:r>
                    <w:rPr>
                      <w:rFonts w:hint="eastAsia" w:ascii="Times New Roman" w:hAnsi="Times New Roman" w:eastAsia="宋体" w:cs="Times New Roman"/>
                      <w:i w:val="0"/>
                      <w:iCs w:val="0"/>
                      <w:color w:val="000000"/>
                      <w:sz w:val="21"/>
                      <w:szCs w:val="21"/>
                      <w:u w:val="none"/>
                      <w:lang w:val="en-US" w:eastAsia="zh-CN"/>
                    </w:rPr>
                    <w:t>/</w:t>
                  </w:r>
                </w:p>
              </w:tc>
            </w:tr>
            <w:tr w14:paraId="5BB587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997" w:type="dxa"/>
                  <w:vMerge w:val="continue"/>
                  <w:tcBorders>
                    <w:top w:val="nil"/>
                    <w:left w:val="single" w:color="000000" w:sz="8" w:space="0"/>
                    <w:bottom w:val="single" w:color="000000" w:sz="8" w:space="0"/>
                    <w:right w:val="single" w:color="auto" w:sz="4" w:space="0"/>
                  </w:tcBorders>
                  <w:noWrap w:val="0"/>
                  <w:vAlign w:val="center"/>
                </w:tcPr>
                <w:p w14:paraId="0EC24ABE">
                  <w:pPr>
                    <w:jc w:val="center"/>
                    <w:rPr>
                      <w:rFonts w:hint="default" w:ascii="Times New Roman" w:hAnsi="Times New Roman" w:eastAsia="宋体" w:cs="Times New Roman"/>
                      <w:i w:val="0"/>
                      <w:iCs w:val="0"/>
                      <w:color w:val="000000"/>
                      <w:sz w:val="21"/>
                      <w:szCs w:val="21"/>
                      <w:u w:val="none"/>
                    </w:rPr>
                  </w:pPr>
                </w:p>
              </w:tc>
              <w:tc>
                <w:tcPr>
                  <w:tcW w:w="744" w:type="dxa"/>
                  <w:vMerge w:val="continue"/>
                  <w:tcBorders>
                    <w:top w:val="single" w:color="auto" w:sz="4" w:space="0"/>
                    <w:left w:val="single" w:color="auto" w:sz="4" w:space="0"/>
                    <w:bottom w:val="single" w:color="auto" w:sz="4" w:space="0"/>
                    <w:right w:val="single" w:color="auto" w:sz="4" w:space="0"/>
                  </w:tcBorders>
                  <w:noWrap w:val="0"/>
                  <w:vAlign w:val="center"/>
                </w:tcPr>
                <w:p w14:paraId="53F1B469">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p>
              </w:tc>
              <w:tc>
                <w:tcPr>
                  <w:tcW w:w="750" w:type="dxa"/>
                  <w:tcBorders>
                    <w:top w:val="nil"/>
                    <w:left w:val="single" w:color="auto" w:sz="4" w:space="0"/>
                    <w:bottom w:val="single" w:color="000000" w:sz="8" w:space="0"/>
                    <w:right w:val="single" w:color="000000" w:sz="8" w:space="0"/>
                  </w:tcBorders>
                  <w:noWrap w:val="0"/>
                  <w:vAlign w:val="center"/>
                </w:tcPr>
                <w:p w14:paraId="65E24C94">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SS</w:t>
                  </w:r>
                </w:p>
              </w:tc>
              <w:tc>
                <w:tcPr>
                  <w:tcW w:w="867" w:type="dxa"/>
                  <w:tcBorders>
                    <w:top w:val="nil"/>
                    <w:left w:val="single" w:color="000000" w:sz="8" w:space="0"/>
                    <w:bottom w:val="single" w:color="000000" w:sz="8" w:space="0"/>
                    <w:right w:val="single" w:color="000000" w:sz="8" w:space="0"/>
                  </w:tcBorders>
                  <w:noWrap w:val="0"/>
                  <w:vAlign w:val="center"/>
                </w:tcPr>
                <w:p w14:paraId="0F082690">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120</w:t>
                  </w:r>
                </w:p>
              </w:tc>
              <w:tc>
                <w:tcPr>
                  <w:tcW w:w="978" w:type="dxa"/>
                  <w:tcBorders>
                    <w:top w:val="nil"/>
                    <w:left w:val="single" w:color="000000" w:sz="8" w:space="0"/>
                    <w:bottom w:val="single" w:color="000000" w:sz="8" w:space="0"/>
                    <w:right w:val="single" w:color="000000" w:sz="8" w:space="0"/>
                  </w:tcBorders>
                  <w:noWrap w:val="0"/>
                  <w:vAlign w:val="center"/>
                </w:tcPr>
                <w:p w14:paraId="1B3A1FFB">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lang w:val="en-US"/>
                    </w:rPr>
                  </w:pPr>
                  <w:r>
                    <w:rPr>
                      <w:rFonts w:hint="default" w:ascii="Times New Roman" w:hAnsi="Times New Roman" w:eastAsia="宋体" w:cs="Times New Roman"/>
                      <w:i w:val="0"/>
                      <w:iCs w:val="0"/>
                      <w:color w:val="000000"/>
                      <w:kern w:val="0"/>
                      <w:sz w:val="21"/>
                      <w:szCs w:val="21"/>
                      <w:u w:val="none"/>
                      <w:lang w:val="en-US" w:eastAsia="zh-CN" w:bidi="ar"/>
                    </w:rPr>
                    <w:t>2.0381</w:t>
                  </w:r>
                </w:p>
              </w:tc>
              <w:tc>
                <w:tcPr>
                  <w:tcW w:w="1020" w:type="dxa"/>
                  <w:vMerge w:val="continue"/>
                  <w:tcBorders>
                    <w:top w:val="nil"/>
                    <w:left w:val="single" w:color="000000" w:sz="8" w:space="0"/>
                    <w:bottom w:val="single" w:color="000000" w:sz="8" w:space="0"/>
                    <w:right w:val="single" w:color="000000" w:sz="8" w:space="0"/>
                  </w:tcBorders>
                  <w:noWrap w:val="0"/>
                  <w:vAlign w:val="center"/>
                </w:tcPr>
                <w:p w14:paraId="21519952">
                  <w:pPr>
                    <w:jc w:val="center"/>
                    <w:rPr>
                      <w:rFonts w:hint="default" w:ascii="Times New Roman" w:hAnsi="Times New Roman" w:eastAsia="宋体" w:cs="Times New Roman"/>
                      <w:i w:val="0"/>
                      <w:iCs w:val="0"/>
                      <w:color w:val="000000"/>
                      <w:sz w:val="21"/>
                      <w:szCs w:val="21"/>
                      <w:u w:val="none"/>
                    </w:rPr>
                  </w:pPr>
                </w:p>
              </w:tc>
              <w:tc>
                <w:tcPr>
                  <w:tcW w:w="1001" w:type="dxa"/>
                  <w:vMerge w:val="continue"/>
                  <w:tcBorders>
                    <w:top w:val="nil"/>
                    <w:left w:val="single" w:color="000000" w:sz="8" w:space="0"/>
                    <w:bottom w:val="single" w:color="000000" w:sz="8" w:space="0"/>
                    <w:right w:val="single" w:color="000000" w:sz="8" w:space="0"/>
                  </w:tcBorders>
                  <w:noWrap w:val="0"/>
                  <w:vAlign w:val="center"/>
                </w:tcPr>
                <w:p w14:paraId="5B0D135E">
                  <w:pPr>
                    <w:jc w:val="center"/>
                    <w:rPr>
                      <w:rFonts w:hint="default" w:ascii="Times New Roman" w:hAnsi="Times New Roman" w:eastAsia="宋体" w:cs="Times New Roman"/>
                      <w:i w:val="0"/>
                      <w:iCs w:val="0"/>
                      <w:color w:val="000000"/>
                      <w:sz w:val="21"/>
                      <w:szCs w:val="21"/>
                      <w:u w:val="none"/>
                    </w:rPr>
                  </w:pPr>
                </w:p>
              </w:tc>
              <w:tc>
                <w:tcPr>
                  <w:tcW w:w="720" w:type="dxa"/>
                  <w:tcBorders>
                    <w:top w:val="nil"/>
                    <w:left w:val="single" w:color="000000" w:sz="8" w:space="0"/>
                    <w:bottom w:val="single" w:color="000000" w:sz="8" w:space="0"/>
                    <w:right w:val="single" w:color="000000" w:sz="8" w:space="0"/>
                  </w:tcBorders>
                  <w:noWrap w:val="0"/>
                  <w:vAlign w:val="center"/>
                </w:tcPr>
                <w:p w14:paraId="3957761C">
                  <w:pPr>
                    <w:keepNext w:val="0"/>
                    <w:keepLines w:val="0"/>
                    <w:widowControl/>
                    <w:suppressLineNumbers w:val="0"/>
                    <w:jc w:val="center"/>
                    <w:textAlignment w:val="center"/>
                    <w:rPr>
                      <w:rFonts w:hint="eastAsia" w:ascii="Times New Roman" w:hAnsi="Times New Roman" w:eastAsia="宋体" w:cs="Times New Roman"/>
                      <w:i w:val="0"/>
                      <w:iCs w:val="0"/>
                      <w:color w:val="000000"/>
                      <w:sz w:val="21"/>
                      <w:szCs w:val="21"/>
                      <w:u w:val="none"/>
                    </w:rPr>
                  </w:pPr>
                  <w:r>
                    <w:rPr>
                      <w:rFonts w:hint="eastAsia" w:ascii="Times New Roman" w:hAnsi="Times New Roman" w:eastAsia="宋体" w:cs="Times New Roman"/>
                      <w:i w:val="0"/>
                      <w:iCs w:val="0"/>
                      <w:color w:val="000000"/>
                      <w:sz w:val="21"/>
                      <w:szCs w:val="21"/>
                      <w:u w:val="none"/>
                      <w:lang w:val="en-US" w:eastAsia="zh-CN"/>
                    </w:rPr>
                    <w:t>/</w:t>
                  </w:r>
                </w:p>
              </w:tc>
              <w:tc>
                <w:tcPr>
                  <w:tcW w:w="1138" w:type="dxa"/>
                  <w:tcBorders>
                    <w:top w:val="nil"/>
                    <w:left w:val="single" w:color="000000" w:sz="8" w:space="0"/>
                    <w:bottom w:val="single" w:color="000000" w:sz="8" w:space="0"/>
                    <w:right w:val="single" w:color="000000" w:sz="8" w:space="0"/>
                  </w:tcBorders>
                  <w:noWrap w:val="0"/>
                  <w:vAlign w:val="center"/>
                </w:tcPr>
                <w:p w14:paraId="5B5D0BE0">
                  <w:pPr>
                    <w:keepNext w:val="0"/>
                    <w:keepLines w:val="0"/>
                    <w:widowControl/>
                    <w:suppressLineNumbers w:val="0"/>
                    <w:jc w:val="center"/>
                    <w:textAlignment w:val="center"/>
                    <w:rPr>
                      <w:rFonts w:hint="eastAsia" w:ascii="Times New Roman" w:hAnsi="Times New Roman" w:eastAsia="宋体" w:cs="Times New Roman"/>
                      <w:i w:val="0"/>
                      <w:iCs w:val="0"/>
                      <w:color w:val="000000"/>
                      <w:sz w:val="21"/>
                      <w:szCs w:val="21"/>
                      <w:u w:val="none"/>
                    </w:rPr>
                  </w:pPr>
                  <w:r>
                    <w:rPr>
                      <w:rFonts w:hint="eastAsia" w:ascii="Times New Roman" w:hAnsi="Times New Roman" w:eastAsia="宋体" w:cs="Times New Roman"/>
                      <w:i w:val="0"/>
                      <w:iCs w:val="0"/>
                      <w:color w:val="000000"/>
                      <w:sz w:val="21"/>
                      <w:szCs w:val="21"/>
                      <w:u w:val="none"/>
                      <w:lang w:val="en-US" w:eastAsia="zh-CN"/>
                    </w:rPr>
                    <w:t>/</w:t>
                  </w:r>
                </w:p>
              </w:tc>
            </w:tr>
            <w:tr w14:paraId="4DC41D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997" w:type="dxa"/>
                  <w:vMerge w:val="continue"/>
                  <w:tcBorders>
                    <w:top w:val="nil"/>
                    <w:left w:val="single" w:color="000000" w:sz="8" w:space="0"/>
                    <w:bottom w:val="single" w:color="000000" w:sz="8" w:space="0"/>
                    <w:right w:val="single" w:color="auto" w:sz="4" w:space="0"/>
                  </w:tcBorders>
                  <w:noWrap w:val="0"/>
                  <w:vAlign w:val="center"/>
                </w:tcPr>
                <w:p w14:paraId="71139E60">
                  <w:pPr>
                    <w:jc w:val="center"/>
                    <w:rPr>
                      <w:rFonts w:hint="default" w:ascii="Times New Roman" w:hAnsi="Times New Roman" w:eastAsia="宋体" w:cs="Times New Roman"/>
                      <w:i w:val="0"/>
                      <w:iCs w:val="0"/>
                      <w:color w:val="000000"/>
                      <w:sz w:val="21"/>
                      <w:szCs w:val="21"/>
                      <w:u w:val="none"/>
                    </w:rPr>
                  </w:pPr>
                </w:p>
              </w:tc>
              <w:tc>
                <w:tcPr>
                  <w:tcW w:w="744" w:type="dxa"/>
                  <w:vMerge w:val="continue"/>
                  <w:tcBorders>
                    <w:top w:val="single" w:color="auto" w:sz="4" w:space="0"/>
                    <w:left w:val="single" w:color="auto" w:sz="4" w:space="0"/>
                    <w:bottom w:val="single" w:color="auto" w:sz="4" w:space="0"/>
                    <w:right w:val="single" w:color="auto" w:sz="4" w:space="0"/>
                  </w:tcBorders>
                  <w:noWrap w:val="0"/>
                  <w:vAlign w:val="center"/>
                </w:tcPr>
                <w:p w14:paraId="6D428BFB">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p>
              </w:tc>
              <w:tc>
                <w:tcPr>
                  <w:tcW w:w="750" w:type="dxa"/>
                  <w:tcBorders>
                    <w:top w:val="nil"/>
                    <w:left w:val="single" w:color="auto" w:sz="4" w:space="0"/>
                    <w:bottom w:val="single" w:color="000000" w:sz="8" w:space="0"/>
                    <w:right w:val="single" w:color="000000" w:sz="8" w:space="0"/>
                  </w:tcBorders>
                  <w:noWrap w:val="0"/>
                  <w:vAlign w:val="center"/>
                </w:tcPr>
                <w:p w14:paraId="4F9732E3">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氨氮</w:t>
                  </w:r>
                </w:p>
              </w:tc>
              <w:tc>
                <w:tcPr>
                  <w:tcW w:w="867" w:type="dxa"/>
                  <w:tcBorders>
                    <w:top w:val="nil"/>
                    <w:left w:val="single" w:color="000000" w:sz="8" w:space="0"/>
                    <w:bottom w:val="single" w:color="000000" w:sz="8" w:space="0"/>
                    <w:right w:val="single" w:color="000000" w:sz="8" w:space="0"/>
                  </w:tcBorders>
                  <w:noWrap w:val="0"/>
                  <w:vAlign w:val="center"/>
                </w:tcPr>
                <w:p w14:paraId="2BCCBE26">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40</w:t>
                  </w:r>
                </w:p>
              </w:tc>
              <w:tc>
                <w:tcPr>
                  <w:tcW w:w="978" w:type="dxa"/>
                  <w:tcBorders>
                    <w:top w:val="nil"/>
                    <w:left w:val="single" w:color="000000" w:sz="8" w:space="0"/>
                    <w:bottom w:val="single" w:color="000000" w:sz="8" w:space="0"/>
                    <w:right w:val="single" w:color="000000" w:sz="8" w:space="0"/>
                  </w:tcBorders>
                  <w:noWrap w:val="0"/>
                  <w:vAlign w:val="center"/>
                </w:tcPr>
                <w:p w14:paraId="54E9D55F">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lang w:val="en-US"/>
                    </w:rPr>
                  </w:pPr>
                  <w:r>
                    <w:rPr>
                      <w:rFonts w:hint="default" w:ascii="Times New Roman" w:hAnsi="Times New Roman" w:eastAsia="宋体" w:cs="Times New Roman"/>
                      <w:i w:val="0"/>
                      <w:iCs w:val="0"/>
                      <w:color w:val="000000"/>
                      <w:kern w:val="0"/>
                      <w:sz w:val="21"/>
                      <w:szCs w:val="21"/>
                      <w:u w:val="none"/>
                      <w:lang w:val="en-US" w:eastAsia="zh-CN" w:bidi="ar"/>
                    </w:rPr>
                    <w:t>0.679</w:t>
                  </w:r>
                  <w:r>
                    <w:rPr>
                      <w:rFonts w:hint="eastAsia" w:cs="Times New Roman"/>
                      <w:i w:val="0"/>
                      <w:iCs w:val="0"/>
                      <w:color w:val="000000"/>
                      <w:kern w:val="0"/>
                      <w:sz w:val="21"/>
                      <w:szCs w:val="21"/>
                      <w:u w:val="none"/>
                      <w:lang w:val="en-US" w:eastAsia="zh-CN" w:bidi="ar"/>
                    </w:rPr>
                    <w:t>4</w:t>
                  </w:r>
                </w:p>
              </w:tc>
              <w:tc>
                <w:tcPr>
                  <w:tcW w:w="1020" w:type="dxa"/>
                  <w:vMerge w:val="continue"/>
                  <w:tcBorders>
                    <w:top w:val="nil"/>
                    <w:left w:val="single" w:color="000000" w:sz="8" w:space="0"/>
                    <w:bottom w:val="single" w:color="auto" w:sz="4" w:space="0"/>
                    <w:right w:val="single" w:color="000000" w:sz="8" w:space="0"/>
                  </w:tcBorders>
                  <w:noWrap w:val="0"/>
                  <w:vAlign w:val="center"/>
                </w:tcPr>
                <w:p w14:paraId="1658DE5C">
                  <w:pPr>
                    <w:jc w:val="center"/>
                    <w:rPr>
                      <w:rFonts w:hint="default" w:ascii="Times New Roman" w:hAnsi="Times New Roman" w:eastAsia="宋体" w:cs="Times New Roman"/>
                      <w:i w:val="0"/>
                      <w:iCs w:val="0"/>
                      <w:color w:val="000000"/>
                      <w:sz w:val="21"/>
                      <w:szCs w:val="21"/>
                      <w:u w:val="none"/>
                    </w:rPr>
                  </w:pPr>
                </w:p>
              </w:tc>
              <w:tc>
                <w:tcPr>
                  <w:tcW w:w="1001" w:type="dxa"/>
                  <w:vMerge w:val="continue"/>
                  <w:tcBorders>
                    <w:top w:val="nil"/>
                    <w:left w:val="single" w:color="000000" w:sz="8" w:space="0"/>
                    <w:bottom w:val="single" w:color="000000" w:sz="8" w:space="0"/>
                    <w:right w:val="single" w:color="000000" w:sz="8" w:space="0"/>
                  </w:tcBorders>
                  <w:noWrap w:val="0"/>
                  <w:vAlign w:val="center"/>
                </w:tcPr>
                <w:p w14:paraId="37EA91C8">
                  <w:pPr>
                    <w:jc w:val="center"/>
                    <w:rPr>
                      <w:rFonts w:hint="default" w:ascii="Times New Roman" w:hAnsi="Times New Roman" w:eastAsia="宋体" w:cs="Times New Roman"/>
                      <w:i w:val="0"/>
                      <w:iCs w:val="0"/>
                      <w:color w:val="000000"/>
                      <w:sz w:val="21"/>
                      <w:szCs w:val="21"/>
                      <w:u w:val="none"/>
                    </w:rPr>
                  </w:pPr>
                </w:p>
              </w:tc>
              <w:tc>
                <w:tcPr>
                  <w:tcW w:w="720" w:type="dxa"/>
                  <w:tcBorders>
                    <w:top w:val="nil"/>
                    <w:left w:val="single" w:color="000000" w:sz="8" w:space="0"/>
                    <w:bottom w:val="single" w:color="000000" w:sz="8" w:space="0"/>
                    <w:right w:val="single" w:color="000000" w:sz="8" w:space="0"/>
                  </w:tcBorders>
                  <w:noWrap w:val="0"/>
                  <w:vAlign w:val="center"/>
                </w:tcPr>
                <w:p w14:paraId="5B2EE2D5">
                  <w:pPr>
                    <w:keepNext w:val="0"/>
                    <w:keepLines w:val="0"/>
                    <w:widowControl/>
                    <w:suppressLineNumbers w:val="0"/>
                    <w:jc w:val="center"/>
                    <w:textAlignment w:val="center"/>
                    <w:rPr>
                      <w:rFonts w:hint="eastAsia" w:ascii="Times New Roman" w:hAnsi="Times New Roman" w:eastAsia="宋体" w:cs="Times New Roman"/>
                      <w:i w:val="0"/>
                      <w:iCs w:val="0"/>
                      <w:color w:val="000000"/>
                      <w:sz w:val="21"/>
                      <w:szCs w:val="21"/>
                      <w:u w:val="none"/>
                    </w:rPr>
                  </w:pPr>
                  <w:r>
                    <w:rPr>
                      <w:rFonts w:hint="eastAsia" w:ascii="Times New Roman" w:hAnsi="Times New Roman" w:eastAsia="宋体" w:cs="Times New Roman"/>
                      <w:i w:val="0"/>
                      <w:iCs w:val="0"/>
                      <w:color w:val="000000"/>
                      <w:sz w:val="21"/>
                      <w:szCs w:val="21"/>
                      <w:u w:val="none"/>
                      <w:lang w:val="en-US" w:eastAsia="zh-CN"/>
                    </w:rPr>
                    <w:t>/</w:t>
                  </w:r>
                </w:p>
              </w:tc>
              <w:tc>
                <w:tcPr>
                  <w:tcW w:w="1138" w:type="dxa"/>
                  <w:tcBorders>
                    <w:top w:val="nil"/>
                    <w:left w:val="single" w:color="000000" w:sz="8" w:space="0"/>
                    <w:bottom w:val="single" w:color="000000" w:sz="8" w:space="0"/>
                    <w:right w:val="single" w:color="000000" w:sz="8" w:space="0"/>
                  </w:tcBorders>
                  <w:noWrap w:val="0"/>
                  <w:vAlign w:val="center"/>
                </w:tcPr>
                <w:p w14:paraId="64562FDD">
                  <w:pPr>
                    <w:keepNext w:val="0"/>
                    <w:keepLines w:val="0"/>
                    <w:widowControl/>
                    <w:suppressLineNumbers w:val="0"/>
                    <w:jc w:val="center"/>
                    <w:textAlignment w:val="center"/>
                    <w:rPr>
                      <w:rFonts w:hint="eastAsia" w:ascii="Times New Roman" w:hAnsi="Times New Roman" w:eastAsia="宋体" w:cs="Times New Roman"/>
                      <w:i w:val="0"/>
                      <w:iCs w:val="0"/>
                      <w:color w:val="000000"/>
                      <w:sz w:val="21"/>
                      <w:szCs w:val="21"/>
                      <w:u w:val="none"/>
                    </w:rPr>
                  </w:pPr>
                  <w:r>
                    <w:rPr>
                      <w:rFonts w:hint="eastAsia" w:ascii="Times New Roman" w:hAnsi="Times New Roman" w:eastAsia="宋体" w:cs="Times New Roman"/>
                      <w:i w:val="0"/>
                      <w:iCs w:val="0"/>
                      <w:color w:val="000000"/>
                      <w:sz w:val="21"/>
                      <w:szCs w:val="21"/>
                      <w:u w:val="none"/>
                      <w:lang w:val="en-US" w:eastAsia="zh-CN"/>
                    </w:rPr>
                    <w:t>/</w:t>
                  </w:r>
                </w:p>
              </w:tc>
            </w:tr>
            <w:tr w14:paraId="5444E2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997" w:type="dxa"/>
                  <w:vMerge w:val="restart"/>
                  <w:tcBorders>
                    <w:top w:val="nil"/>
                    <w:left w:val="single" w:color="000000" w:sz="8" w:space="0"/>
                    <w:right w:val="single" w:color="auto" w:sz="4" w:space="0"/>
                  </w:tcBorders>
                  <w:noWrap w:val="0"/>
                  <w:vAlign w:val="center"/>
                </w:tcPr>
                <w:p w14:paraId="00366930">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浓水</w:t>
                  </w:r>
                </w:p>
              </w:tc>
              <w:tc>
                <w:tcPr>
                  <w:tcW w:w="744" w:type="dxa"/>
                  <w:vMerge w:val="restart"/>
                  <w:tcBorders>
                    <w:top w:val="single" w:color="auto" w:sz="4" w:space="0"/>
                    <w:left w:val="single" w:color="auto" w:sz="4" w:space="0"/>
                    <w:right w:val="single" w:color="auto" w:sz="4" w:space="0"/>
                  </w:tcBorders>
                  <w:noWrap w:val="0"/>
                  <w:vAlign w:val="center"/>
                </w:tcPr>
                <w:p w14:paraId="6DB57310">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156.429</w:t>
                  </w:r>
                </w:p>
              </w:tc>
              <w:tc>
                <w:tcPr>
                  <w:tcW w:w="750" w:type="dxa"/>
                  <w:tcBorders>
                    <w:top w:val="nil"/>
                    <w:left w:val="single" w:color="auto" w:sz="4" w:space="0"/>
                    <w:bottom w:val="single" w:color="000000" w:sz="8" w:space="0"/>
                    <w:right w:val="single" w:color="000000" w:sz="8" w:space="0"/>
                  </w:tcBorders>
                  <w:noWrap w:val="0"/>
                  <w:vAlign w:val="center"/>
                </w:tcPr>
                <w:p w14:paraId="202CFEBE">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COD</w:t>
                  </w:r>
                </w:p>
              </w:tc>
              <w:tc>
                <w:tcPr>
                  <w:tcW w:w="867" w:type="dxa"/>
                  <w:tcBorders>
                    <w:top w:val="nil"/>
                    <w:left w:val="single" w:color="000000" w:sz="8" w:space="0"/>
                    <w:bottom w:val="single" w:color="000000" w:sz="8" w:space="0"/>
                    <w:right w:val="single" w:color="000000" w:sz="8" w:space="0"/>
                  </w:tcBorders>
                  <w:noWrap w:val="0"/>
                  <w:vAlign w:val="center"/>
                </w:tcPr>
                <w:p w14:paraId="2E58F3CA">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50</w:t>
                  </w:r>
                </w:p>
              </w:tc>
              <w:tc>
                <w:tcPr>
                  <w:tcW w:w="978" w:type="dxa"/>
                  <w:tcBorders>
                    <w:top w:val="nil"/>
                    <w:left w:val="single" w:color="000000" w:sz="8" w:space="0"/>
                    <w:bottom w:val="single" w:color="000000" w:sz="8" w:space="0"/>
                    <w:right w:val="single" w:color="auto" w:sz="4" w:space="0"/>
                  </w:tcBorders>
                  <w:noWrap w:val="0"/>
                  <w:vAlign w:val="center"/>
                </w:tcPr>
                <w:p w14:paraId="43C810CB">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0.0078</w:t>
                  </w:r>
                </w:p>
              </w:tc>
              <w:tc>
                <w:tcPr>
                  <w:tcW w:w="1020" w:type="dxa"/>
                  <w:vMerge w:val="restart"/>
                  <w:tcBorders>
                    <w:top w:val="single" w:color="auto" w:sz="4" w:space="0"/>
                    <w:left w:val="single" w:color="auto" w:sz="4" w:space="0"/>
                    <w:bottom w:val="single" w:color="auto" w:sz="4" w:space="0"/>
                    <w:right w:val="single" w:color="auto" w:sz="4" w:space="0"/>
                  </w:tcBorders>
                  <w:noWrap w:val="0"/>
                  <w:vAlign w:val="center"/>
                </w:tcPr>
                <w:p w14:paraId="4A07F896">
                  <w:pPr>
                    <w:jc w:val="center"/>
                    <w:rPr>
                      <w:rFonts w:hint="default" w:ascii="Times New Roman" w:hAnsi="Times New Roman" w:eastAsia="宋体" w:cs="Times New Roman"/>
                      <w:i w:val="0"/>
                      <w:iCs w:val="0"/>
                      <w:color w:val="000000"/>
                      <w:sz w:val="21"/>
                      <w:szCs w:val="21"/>
                      <w:u w:val="none"/>
                      <w:lang w:val="en-US" w:eastAsia="zh-CN"/>
                    </w:rPr>
                  </w:pPr>
                  <w:r>
                    <w:rPr>
                      <w:rFonts w:hint="eastAsia" w:ascii="Times New Roman" w:hAnsi="Times New Roman" w:eastAsia="宋体" w:cs="Times New Roman"/>
                      <w:i w:val="0"/>
                      <w:iCs w:val="0"/>
                      <w:color w:val="000000"/>
                      <w:sz w:val="21"/>
                      <w:szCs w:val="21"/>
                      <w:u w:val="none"/>
                      <w:lang w:val="en-US" w:eastAsia="zh-CN"/>
                    </w:rPr>
                    <w:t>/</w:t>
                  </w:r>
                </w:p>
              </w:tc>
              <w:tc>
                <w:tcPr>
                  <w:tcW w:w="1001" w:type="dxa"/>
                  <w:vMerge w:val="continue"/>
                  <w:tcBorders>
                    <w:top w:val="nil"/>
                    <w:left w:val="single" w:color="000000" w:sz="8" w:space="0"/>
                    <w:bottom w:val="single" w:color="000000" w:sz="8" w:space="0"/>
                    <w:right w:val="single" w:color="000000" w:sz="8" w:space="0"/>
                  </w:tcBorders>
                  <w:noWrap w:val="0"/>
                  <w:vAlign w:val="center"/>
                </w:tcPr>
                <w:p w14:paraId="1FFD5046">
                  <w:pPr>
                    <w:jc w:val="center"/>
                    <w:rPr>
                      <w:rFonts w:hint="default" w:ascii="Times New Roman" w:hAnsi="Times New Roman" w:eastAsia="宋体" w:cs="Times New Roman"/>
                      <w:i w:val="0"/>
                      <w:iCs w:val="0"/>
                      <w:color w:val="000000"/>
                      <w:sz w:val="21"/>
                      <w:szCs w:val="21"/>
                      <w:u w:val="none"/>
                    </w:rPr>
                  </w:pPr>
                </w:p>
              </w:tc>
              <w:tc>
                <w:tcPr>
                  <w:tcW w:w="720" w:type="dxa"/>
                  <w:tcBorders>
                    <w:top w:val="nil"/>
                    <w:left w:val="single" w:color="000000" w:sz="8" w:space="0"/>
                    <w:bottom w:val="single" w:color="000000" w:sz="8" w:space="0"/>
                    <w:right w:val="single" w:color="000000" w:sz="8" w:space="0"/>
                  </w:tcBorders>
                  <w:noWrap w:val="0"/>
                  <w:vAlign w:val="center"/>
                </w:tcPr>
                <w:p w14:paraId="5A5A6C44">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lang w:val="en-US" w:eastAsia="zh-CN"/>
                    </w:rPr>
                  </w:pPr>
                  <w:r>
                    <w:rPr>
                      <w:rFonts w:hint="eastAsia" w:ascii="Times New Roman" w:hAnsi="Times New Roman" w:eastAsia="宋体" w:cs="Times New Roman"/>
                      <w:i w:val="0"/>
                      <w:iCs w:val="0"/>
                      <w:color w:val="000000"/>
                      <w:sz w:val="21"/>
                      <w:szCs w:val="21"/>
                      <w:u w:val="none"/>
                      <w:lang w:val="en-US" w:eastAsia="zh-CN"/>
                    </w:rPr>
                    <w:t>/</w:t>
                  </w:r>
                </w:p>
              </w:tc>
              <w:tc>
                <w:tcPr>
                  <w:tcW w:w="1138" w:type="dxa"/>
                  <w:tcBorders>
                    <w:top w:val="nil"/>
                    <w:left w:val="single" w:color="000000" w:sz="8" w:space="0"/>
                    <w:bottom w:val="single" w:color="000000" w:sz="8" w:space="0"/>
                    <w:right w:val="single" w:color="000000" w:sz="8" w:space="0"/>
                  </w:tcBorders>
                  <w:noWrap w:val="0"/>
                  <w:vAlign w:val="center"/>
                </w:tcPr>
                <w:p w14:paraId="59900A61">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lang w:val="en-US" w:eastAsia="zh-CN"/>
                    </w:rPr>
                  </w:pPr>
                  <w:r>
                    <w:rPr>
                      <w:rFonts w:hint="eastAsia" w:ascii="Times New Roman" w:hAnsi="Times New Roman" w:eastAsia="宋体" w:cs="Times New Roman"/>
                      <w:i w:val="0"/>
                      <w:iCs w:val="0"/>
                      <w:color w:val="000000"/>
                      <w:sz w:val="21"/>
                      <w:szCs w:val="21"/>
                      <w:u w:val="none"/>
                      <w:lang w:val="en-US" w:eastAsia="zh-CN"/>
                    </w:rPr>
                    <w:t>/</w:t>
                  </w:r>
                </w:p>
              </w:tc>
            </w:tr>
            <w:tr w14:paraId="12F807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997" w:type="dxa"/>
                  <w:vMerge w:val="continue"/>
                  <w:tcBorders>
                    <w:left w:val="single" w:color="000000" w:sz="8" w:space="0"/>
                    <w:bottom w:val="single" w:color="000000" w:sz="8" w:space="0"/>
                    <w:right w:val="single" w:color="auto" w:sz="4" w:space="0"/>
                  </w:tcBorders>
                  <w:noWrap w:val="0"/>
                  <w:vAlign w:val="center"/>
                </w:tcPr>
                <w:p w14:paraId="6C67A26A">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p>
              </w:tc>
              <w:tc>
                <w:tcPr>
                  <w:tcW w:w="744" w:type="dxa"/>
                  <w:vMerge w:val="continue"/>
                  <w:tcBorders>
                    <w:left w:val="single" w:color="auto" w:sz="4" w:space="0"/>
                    <w:bottom w:val="single" w:color="auto" w:sz="4" w:space="0"/>
                    <w:right w:val="single" w:color="auto" w:sz="4" w:space="0"/>
                  </w:tcBorders>
                  <w:noWrap w:val="0"/>
                  <w:vAlign w:val="center"/>
                </w:tcPr>
                <w:p w14:paraId="0CA2BBCB">
                  <w:pPr>
                    <w:keepNext w:val="0"/>
                    <w:keepLines w:val="0"/>
                    <w:widowControl/>
                    <w:suppressLineNumbers w:val="0"/>
                    <w:jc w:val="center"/>
                    <w:textAlignment w:val="center"/>
                    <w:rPr>
                      <w:rFonts w:hint="eastAsia" w:ascii="Times New Roman" w:hAnsi="Times New Roman" w:eastAsia="宋体" w:cs="Times New Roman"/>
                      <w:i w:val="0"/>
                      <w:iCs w:val="0"/>
                      <w:color w:val="000000"/>
                      <w:kern w:val="0"/>
                      <w:sz w:val="21"/>
                      <w:szCs w:val="21"/>
                      <w:u w:val="none"/>
                      <w:lang w:val="en-US" w:eastAsia="zh-CN" w:bidi="ar"/>
                    </w:rPr>
                  </w:pPr>
                </w:p>
              </w:tc>
              <w:tc>
                <w:tcPr>
                  <w:tcW w:w="750" w:type="dxa"/>
                  <w:tcBorders>
                    <w:top w:val="nil"/>
                    <w:left w:val="single" w:color="auto" w:sz="4" w:space="0"/>
                    <w:bottom w:val="single" w:color="000000" w:sz="8" w:space="0"/>
                    <w:right w:val="single" w:color="000000" w:sz="8" w:space="0"/>
                  </w:tcBorders>
                  <w:noWrap w:val="0"/>
                  <w:vAlign w:val="center"/>
                </w:tcPr>
                <w:p w14:paraId="610B8D56">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SS</w:t>
                  </w:r>
                </w:p>
              </w:tc>
              <w:tc>
                <w:tcPr>
                  <w:tcW w:w="867" w:type="dxa"/>
                  <w:tcBorders>
                    <w:top w:val="nil"/>
                    <w:left w:val="single" w:color="000000" w:sz="8" w:space="0"/>
                    <w:bottom w:val="single" w:color="000000" w:sz="8" w:space="0"/>
                    <w:right w:val="single" w:color="000000" w:sz="8" w:space="0"/>
                  </w:tcBorders>
                  <w:noWrap w:val="0"/>
                  <w:vAlign w:val="center"/>
                </w:tcPr>
                <w:p w14:paraId="6F0DF0E3">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20</w:t>
                  </w:r>
                </w:p>
              </w:tc>
              <w:tc>
                <w:tcPr>
                  <w:tcW w:w="978" w:type="dxa"/>
                  <w:tcBorders>
                    <w:top w:val="nil"/>
                    <w:left w:val="single" w:color="000000" w:sz="8" w:space="0"/>
                    <w:bottom w:val="single" w:color="000000" w:sz="8" w:space="0"/>
                    <w:right w:val="single" w:color="auto" w:sz="4" w:space="0"/>
                  </w:tcBorders>
                  <w:noWrap w:val="0"/>
                  <w:vAlign w:val="center"/>
                </w:tcPr>
                <w:p w14:paraId="6D3CC9D0">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u w:val="none"/>
                      <w:lang w:val="en-US" w:eastAsia="zh-CN" w:bidi="ar"/>
                    </w:rPr>
                    <w:t>0.0031</w:t>
                  </w:r>
                </w:p>
              </w:tc>
              <w:tc>
                <w:tcPr>
                  <w:tcW w:w="1020" w:type="dxa"/>
                  <w:vMerge w:val="continue"/>
                  <w:tcBorders>
                    <w:top w:val="single" w:color="auto" w:sz="4" w:space="0"/>
                    <w:left w:val="single" w:color="auto" w:sz="4" w:space="0"/>
                    <w:bottom w:val="single" w:color="auto" w:sz="4" w:space="0"/>
                    <w:right w:val="single" w:color="auto" w:sz="4" w:space="0"/>
                  </w:tcBorders>
                  <w:noWrap w:val="0"/>
                  <w:vAlign w:val="center"/>
                </w:tcPr>
                <w:p w14:paraId="73347932">
                  <w:pPr>
                    <w:jc w:val="center"/>
                    <w:rPr>
                      <w:rFonts w:hint="eastAsia" w:ascii="Times New Roman" w:hAnsi="Times New Roman" w:eastAsia="宋体" w:cs="Times New Roman"/>
                      <w:i w:val="0"/>
                      <w:iCs w:val="0"/>
                      <w:color w:val="000000"/>
                      <w:sz w:val="21"/>
                      <w:szCs w:val="21"/>
                      <w:u w:val="none"/>
                      <w:lang w:val="en-US" w:eastAsia="zh-CN"/>
                    </w:rPr>
                  </w:pPr>
                </w:p>
              </w:tc>
              <w:tc>
                <w:tcPr>
                  <w:tcW w:w="1001" w:type="dxa"/>
                  <w:vMerge w:val="continue"/>
                  <w:tcBorders>
                    <w:top w:val="nil"/>
                    <w:left w:val="single" w:color="000000" w:sz="8" w:space="0"/>
                    <w:bottom w:val="single" w:color="000000" w:sz="8" w:space="0"/>
                    <w:right w:val="single" w:color="000000" w:sz="8" w:space="0"/>
                  </w:tcBorders>
                  <w:noWrap w:val="0"/>
                  <w:vAlign w:val="center"/>
                </w:tcPr>
                <w:p w14:paraId="7C5E5A52">
                  <w:pPr>
                    <w:jc w:val="center"/>
                    <w:rPr>
                      <w:rFonts w:hint="default" w:ascii="Times New Roman" w:hAnsi="Times New Roman" w:eastAsia="宋体" w:cs="Times New Roman"/>
                      <w:i w:val="0"/>
                      <w:iCs w:val="0"/>
                      <w:color w:val="000000"/>
                      <w:sz w:val="21"/>
                      <w:szCs w:val="21"/>
                      <w:u w:val="none"/>
                    </w:rPr>
                  </w:pPr>
                </w:p>
              </w:tc>
              <w:tc>
                <w:tcPr>
                  <w:tcW w:w="720" w:type="dxa"/>
                  <w:tcBorders>
                    <w:top w:val="nil"/>
                    <w:left w:val="single" w:color="000000" w:sz="8" w:space="0"/>
                    <w:bottom w:val="single" w:color="000000" w:sz="8" w:space="0"/>
                    <w:right w:val="single" w:color="000000" w:sz="8" w:space="0"/>
                  </w:tcBorders>
                  <w:noWrap w:val="0"/>
                  <w:vAlign w:val="center"/>
                </w:tcPr>
                <w:p w14:paraId="6784C62C">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lang w:val="en-US" w:eastAsia="zh-CN"/>
                    </w:rPr>
                  </w:pPr>
                  <w:r>
                    <w:rPr>
                      <w:rFonts w:hint="eastAsia" w:ascii="Times New Roman" w:hAnsi="Times New Roman" w:eastAsia="宋体" w:cs="Times New Roman"/>
                      <w:i w:val="0"/>
                      <w:iCs w:val="0"/>
                      <w:color w:val="000000"/>
                      <w:sz w:val="21"/>
                      <w:szCs w:val="21"/>
                      <w:u w:val="none"/>
                      <w:lang w:val="en-US" w:eastAsia="zh-CN"/>
                    </w:rPr>
                    <w:t>/</w:t>
                  </w:r>
                </w:p>
              </w:tc>
              <w:tc>
                <w:tcPr>
                  <w:tcW w:w="1138" w:type="dxa"/>
                  <w:tcBorders>
                    <w:top w:val="nil"/>
                    <w:left w:val="single" w:color="000000" w:sz="8" w:space="0"/>
                    <w:bottom w:val="single" w:color="000000" w:sz="8" w:space="0"/>
                    <w:right w:val="single" w:color="000000" w:sz="8" w:space="0"/>
                  </w:tcBorders>
                  <w:noWrap w:val="0"/>
                  <w:vAlign w:val="center"/>
                </w:tcPr>
                <w:p w14:paraId="24A696AA">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lang w:val="en-US" w:eastAsia="zh-CN"/>
                    </w:rPr>
                  </w:pPr>
                  <w:r>
                    <w:rPr>
                      <w:rFonts w:hint="eastAsia" w:ascii="Times New Roman" w:hAnsi="Times New Roman" w:eastAsia="宋体" w:cs="Times New Roman"/>
                      <w:i w:val="0"/>
                      <w:iCs w:val="0"/>
                      <w:color w:val="000000"/>
                      <w:sz w:val="21"/>
                      <w:szCs w:val="21"/>
                      <w:u w:val="none"/>
                      <w:lang w:val="en-US" w:eastAsia="zh-CN"/>
                    </w:rPr>
                    <w:t>/</w:t>
                  </w:r>
                </w:p>
              </w:tc>
            </w:tr>
            <w:tr w14:paraId="747326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997" w:type="dxa"/>
                  <w:vMerge w:val="restart"/>
                  <w:tcBorders>
                    <w:top w:val="nil"/>
                    <w:left w:val="single" w:color="000000" w:sz="8" w:space="0"/>
                    <w:bottom w:val="single" w:color="000000" w:sz="8" w:space="0"/>
                    <w:right w:val="single" w:color="auto" w:sz="4" w:space="0"/>
                  </w:tcBorders>
                  <w:noWrap w:val="0"/>
                  <w:vAlign w:val="center"/>
                </w:tcPr>
                <w:p w14:paraId="200387F9">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保洁废水</w:t>
                  </w:r>
                </w:p>
              </w:tc>
              <w:tc>
                <w:tcPr>
                  <w:tcW w:w="744" w:type="dxa"/>
                  <w:vMerge w:val="restart"/>
                  <w:tcBorders>
                    <w:top w:val="single" w:color="auto" w:sz="4" w:space="0"/>
                    <w:left w:val="single" w:color="auto" w:sz="4" w:space="0"/>
                    <w:bottom w:val="single" w:color="auto" w:sz="4" w:space="0"/>
                    <w:right w:val="single" w:color="auto" w:sz="4" w:space="0"/>
                  </w:tcBorders>
                  <w:noWrap w:val="0"/>
                  <w:vAlign w:val="center"/>
                </w:tcPr>
                <w:p w14:paraId="4314B592">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lang w:val="en-US"/>
                    </w:rPr>
                  </w:pPr>
                  <w:r>
                    <w:rPr>
                      <w:rFonts w:hint="eastAsia" w:ascii="Times New Roman" w:hAnsi="Times New Roman" w:eastAsia="宋体" w:cs="Times New Roman"/>
                      <w:i w:val="0"/>
                      <w:iCs w:val="0"/>
                      <w:color w:val="000000"/>
                      <w:kern w:val="0"/>
                      <w:sz w:val="21"/>
                      <w:szCs w:val="21"/>
                      <w:u w:val="none"/>
                      <w:lang w:val="en-US" w:eastAsia="zh-CN" w:bidi="ar"/>
                    </w:rPr>
                    <w:t>146</w:t>
                  </w:r>
                </w:p>
              </w:tc>
              <w:tc>
                <w:tcPr>
                  <w:tcW w:w="750" w:type="dxa"/>
                  <w:tcBorders>
                    <w:top w:val="nil"/>
                    <w:left w:val="single" w:color="auto" w:sz="4" w:space="0"/>
                    <w:bottom w:val="single" w:color="000000" w:sz="8" w:space="0"/>
                    <w:right w:val="single" w:color="000000" w:sz="8" w:space="0"/>
                  </w:tcBorders>
                  <w:noWrap w:val="0"/>
                  <w:vAlign w:val="center"/>
                </w:tcPr>
                <w:p w14:paraId="6CCDF97B">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COD</w:t>
                  </w:r>
                </w:p>
              </w:tc>
              <w:tc>
                <w:tcPr>
                  <w:tcW w:w="867" w:type="dxa"/>
                  <w:tcBorders>
                    <w:top w:val="nil"/>
                    <w:left w:val="single" w:color="000000" w:sz="8" w:space="0"/>
                    <w:bottom w:val="single" w:color="000000" w:sz="8" w:space="0"/>
                    <w:right w:val="single" w:color="000000" w:sz="8" w:space="0"/>
                  </w:tcBorders>
                  <w:noWrap w:val="0"/>
                  <w:vAlign w:val="center"/>
                </w:tcPr>
                <w:p w14:paraId="2ADB9374">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150</w:t>
                  </w:r>
                </w:p>
              </w:tc>
              <w:tc>
                <w:tcPr>
                  <w:tcW w:w="978" w:type="dxa"/>
                  <w:tcBorders>
                    <w:top w:val="nil"/>
                    <w:left w:val="single" w:color="000000" w:sz="8" w:space="0"/>
                    <w:bottom w:val="single" w:color="000000" w:sz="8" w:space="0"/>
                    <w:right w:val="single" w:color="auto" w:sz="4" w:space="0"/>
                  </w:tcBorders>
                  <w:noWrap w:val="0"/>
                  <w:vAlign w:val="center"/>
                </w:tcPr>
                <w:p w14:paraId="1B350DD6">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lang w:val="en-US"/>
                    </w:rPr>
                  </w:pPr>
                  <w:r>
                    <w:rPr>
                      <w:rFonts w:hint="eastAsia" w:ascii="Times New Roman" w:hAnsi="Times New Roman" w:eastAsia="宋体" w:cs="Times New Roman"/>
                      <w:i w:val="0"/>
                      <w:iCs w:val="0"/>
                      <w:color w:val="000000"/>
                      <w:kern w:val="0"/>
                      <w:sz w:val="21"/>
                      <w:szCs w:val="21"/>
                      <w:u w:val="none"/>
                      <w:lang w:val="en-US" w:eastAsia="zh-CN" w:bidi="ar"/>
                    </w:rPr>
                    <w:t>0.0219</w:t>
                  </w:r>
                </w:p>
              </w:tc>
              <w:tc>
                <w:tcPr>
                  <w:tcW w:w="1020" w:type="dxa"/>
                  <w:vMerge w:val="restart"/>
                  <w:tcBorders>
                    <w:top w:val="single" w:color="auto" w:sz="4" w:space="0"/>
                    <w:left w:val="single" w:color="auto" w:sz="4" w:space="0"/>
                    <w:bottom w:val="single" w:color="auto" w:sz="4" w:space="0"/>
                    <w:right w:val="single" w:color="auto" w:sz="4" w:space="0"/>
                  </w:tcBorders>
                  <w:noWrap w:val="0"/>
                  <w:vAlign w:val="center"/>
                </w:tcPr>
                <w:p w14:paraId="3F2A44E9">
                  <w:pPr>
                    <w:jc w:val="center"/>
                    <w:rPr>
                      <w:rFonts w:hint="eastAsia" w:ascii="Times New Roman" w:hAnsi="Times New Roman" w:eastAsia="宋体" w:cs="Times New Roman"/>
                      <w:i w:val="0"/>
                      <w:iCs w:val="0"/>
                      <w:color w:val="000000"/>
                      <w:sz w:val="21"/>
                      <w:szCs w:val="21"/>
                      <w:u w:val="none"/>
                      <w:lang w:val="en-US" w:eastAsia="zh-CN"/>
                    </w:rPr>
                  </w:pPr>
                  <w:r>
                    <w:rPr>
                      <w:rFonts w:hint="eastAsia" w:ascii="Times New Roman" w:hAnsi="Times New Roman" w:eastAsia="宋体" w:cs="Times New Roman"/>
                      <w:i w:val="0"/>
                      <w:iCs w:val="0"/>
                      <w:color w:val="000000"/>
                      <w:sz w:val="21"/>
                      <w:szCs w:val="21"/>
                      <w:u w:val="none"/>
                      <w:lang w:val="en-US" w:eastAsia="zh-CN"/>
                    </w:rPr>
                    <w:t>/</w:t>
                  </w:r>
                </w:p>
              </w:tc>
              <w:tc>
                <w:tcPr>
                  <w:tcW w:w="1001" w:type="dxa"/>
                  <w:vMerge w:val="continue"/>
                  <w:tcBorders>
                    <w:top w:val="nil"/>
                    <w:left w:val="single" w:color="000000" w:sz="8" w:space="0"/>
                    <w:bottom w:val="single" w:color="000000" w:sz="8" w:space="0"/>
                    <w:right w:val="single" w:color="000000" w:sz="8" w:space="0"/>
                  </w:tcBorders>
                  <w:noWrap w:val="0"/>
                  <w:vAlign w:val="center"/>
                </w:tcPr>
                <w:p w14:paraId="706F0AFD">
                  <w:pPr>
                    <w:jc w:val="center"/>
                    <w:rPr>
                      <w:rFonts w:hint="default" w:ascii="Times New Roman" w:hAnsi="Times New Roman" w:eastAsia="宋体" w:cs="Times New Roman"/>
                      <w:i w:val="0"/>
                      <w:iCs w:val="0"/>
                      <w:color w:val="000000"/>
                      <w:sz w:val="21"/>
                      <w:szCs w:val="21"/>
                      <w:u w:val="none"/>
                    </w:rPr>
                  </w:pPr>
                </w:p>
              </w:tc>
              <w:tc>
                <w:tcPr>
                  <w:tcW w:w="720" w:type="dxa"/>
                  <w:tcBorders>
                    <w:top w:val="nil"/>
                    <w:left w:val="single" w:color="000000" w:sz="8" w:space="0"/>
                    <w:bottom w:val="single" w:color="000000" w:sz="8" w:space="0"/>
                    <w:right w:val="single" w:color="000000" w:sz="8" w:space="0"/>
                  </w:tcBorders>
                  <w:noWrap w:val="0"/>
                  <w:vAlign w:val="center"/>
                </w:tcPr>
                <w:p w14:paraId="3D612998">
                  <w:pPr>
                    <w:keepNext w:val="0"/>
                    <w:keepLines w:val="0"/>
                    <w:widowControl/>
                    <w:suppressLineNumbers w:val="0"/>
                    <w:jc w:val="center"/>
                    <w:textAlignment w:val="center"/>
                    <w:rPr>
                      <w:rFonts w:hint="eastAsia" w:ascii="Times New Roman" w:hAnsi="Times New Roman" w:eastAsia="宋体" w:cs="Times New Roman"/>
                      <w:i w:val="0"/>
                      <w:iCs w:val="0"/>
                      <w:color w:val="000000"/>
                      <w:sz w:val="21"/>
                      <w:szCs w:val="21"/>
                      <w:u w:val="none"/>
                    </w:rPr>
                  </w:pPr>
                  <w:r>
                    <w:rPr>
                      <w:rFonts w:hint="eastAsia" w:ascii="Times New Roman" w:hAnsi="Times New Roman" w:eastAsia="宋体" w:cs="Times New Roman"/>
                      <w:i w:val="0"/>
                      <w:iCs w:val="0"/>
                      <w:color w:val="000000"/>
                      <w:sz w:val="21"/>
                      <w:szCs w:val="21"/>
                      <w:u w:val="none"/>
                      <w:lang w:val="en-US" w:eastAsia="zh-CN"/>
                    </w:rPr>
                    <w:t>/</w:t>
                  </w:r>
                </w:p>
              </w:tc>
              <w:tc>
                <w:tcPr>
                  <w:tcW w:w="1138" w:type="dxa"/>
                  <w:tcBorders>
                    <w:top w:val="nil"/>
                    <w:left w:val="single" w:color="000000" w:sz="8" w:space="0"/>
                    <w:bottom w:val="single" w:color="000000" w:sz="8" w:space="0"/>
                    <w:right w:val="single" w:color="000000" w:sz="8" w:space="0"/>
                  </w:tcBorders>
                  <w:noWrap w:val="0"/>
                  <w:vAlign w:val="center"/>
                </w:tcPr>
                <w:p w14:paraId="47424A3A">
                  <w:pPr>
                    <w:keepNext w:val="0"/>
                    <w:keepLines w:val="0"/>
                    <w:widowControl/>
                    <w:suppressLineNumbers w:val="0"/>
                    <w:jc w:val="center"/>
                    <w:textAlignment w:val="center"/>
                    <w:rPr>
                      <w:rFonts w:hint="eastAsia" w:ascii="Times New Roman" w:hAnsi="Times New Roman" w:eastAsia="宋体" w:cs="Times New Roman"/>
                      <w:i w:val="0"/>
                      <w:iCs w:val="0"/>
                      <w:color w:val="000000"/>
                      <w:sz w:val="21"/>
                      <w:szCs w:val="21"/>
                      <w:u w:val="none"/>
                    </w:rPr>
                  </w:pPr>
                  <w:r>
                    <w:rPr>
                      <w:rFonts w:hint="eastAsia" w:ascii="Times New Roman" w:hAnsi="Times New Roman" w:eastAsia="宋体" w:cs="Times New Roman"/>
                      <w:i w:val="0"/>
                      <w:iCs w:val="0"/>
                      <w:color w:val="000000"/>
                      <w:sz w:val="21"/>
                      <w:szCs w:val="21"/>
                      <w:u w:val="none"/>
                      <w:lang w:val="en-US" w:eastAsia="zh-CN"/>
                    </w:rPr>
                    <w:t>/</w:t>
                  </w:r>
                </w:p>
              </w:tc>
            </w:tr>
            <w:tr w14:paraId="7E21C6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997" w:type="dxa"/>
                  <w:vMerge w:val="continue"/>
                  <w:tcBorders>
                    <w:top w:val="nil"/>
                    <w:left w:val="single" w:color="000000" w:sz="8" w:space="0"/>
                    <w:bottom w:val="single" w:color="000000" w:sz="8" w:space="0"/>
                    <w:right w:val="single" w:color="auto" w:sz="4" w:space="0"/>
                  </w:tcBorders>
                  <w:noWrap w:val="0"/>
                  <w:vAlign w:val="center"/>
                </w:tcPr>
                <w:p w14:paraId="584FB2A9">
                  <w:pPr>
                    <w:jc w:val="center"/>
                    <w:rPr>
                      <w:rFonts w:hint="default" w:ascii="Times New Roman" w:hAnsi="Times New Roman" w:eastAsia="宋体" w:cs="Times New Roman"/>
                      <w:i w:val="0"/>
                      <w:iCs w:val="0"/>
                      <w:color w:val="000000"/>
                      <w:sz w:val="21"/>
                      <w:szCs w:val="21"/>
                      <w:u w:val="none"/>
                    </w:rPr>
                  </w:pPr>
                </w:p>
              </w:tc>
              <w:tc>
                <w:tcPr>
                  <w:tcW w:w="744" w:type="dxa"/>
                  <w:vMerge w:val="continue"/>
                  <w:tcBorders>
                    <w:top w:val="single" w:color="auto" w:sz="4" w:space="0"/>
                    <w:left w:val="single" w:color="auto" w:sz="4" w:space="0"/>
                    <w:bottom w:val="single" w:color="auto" w:sz="4" w:space="0"/>
                    <w:right w:val="single" w:color="auto" w:sz="4" w:space="0"/>
                  </w:tcBorders>
                  <w:noWrap w:val="0"/>
                  <w:vAlign w:val="center"/>
                </w:tcPr>
                <w:p w14:paraId="39CAA75C">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p>
              </w:tc>
              <w:tc>
                <w:tcPr>
                  <w:tcW w:w="750" w:type="dxa"/>
                  <w:tcBorders>
                    <w:top w:val="nil"/>
                    <w:left w:val="single" w:color="auto" w:sz="4" w:space="0"/>
                    <w:bottom w:val="single" w:color="000000" w:sz="8" w:space="0"/>
                    <w:right w:val="single" w:color="000000" w:sz="8" w:space="0"/>
                  </w:tcBorders>
                  <w:noWrap w:val="0"/>
                  <w:vAlign w:val="center"/>
                </w:tcPr>
                <w:p w14:paraId="78A7F560">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SS</w:t>
                  </w:r>
                </w:p>
              </w:tc>
              <w:tc>
                <w:tcPr>
                  <w:tcW w:w="867" w:type="dxa"/>
                  <w:tcBorders>
                    <w:top w:val="nil"/>
                    <w:left w:val="single" w:color="000000" w:sz="8" w:space="0"/>
                    <w:bottom w:val="single" w:color="000000" w:sz="8" w:space="0"/>
                    <w:right w:val="single" w:color="000000" w:sz="8" w:space="0"/>
                  </w:tcBorders>
                  <w:noWrap w:val="0"/>
                  <w:vAlign w:val="center"/>
                </w:tcPr>
                <w:p w14:paraId="03173831">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150</w:t>
                  </w:r>
                </w:p>
              </w:tc>
              <w:tc>
                <w:tcPr>
                  <w:tcW w:w="978" w:type="dxa"/>
                  <w:tcBorders>
                    <w:top w:val="nil"/>
                    <w:left w:val="single" w:color="000000" w:sz="8" w:space="0"/>
                    <w:bottom w:val="single" w:color="000000" w:sz="8" w:space="0"/>
                    <w:right w:val="single" w:color="auto" w:sz="4" w:space="0"/>
                  </w:tcBorders>
                  <w:noWrap w:val="0"/>
                  <w:vAlign w:val="center"/>
                </w:tcPr>
                <w:p w14:paraId="1BB6B5C7">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u w:val="none"/>
                      <w:lang w:val="en-US"/>
                    </w:rPr>
                  </w:pPr>
                  <w:r>
                    <w:rPr>
                      <w:rFonts w:hint="eastAsia" w:ascii="Times New Roman" w:hAnsi="Times New Roman" w:eastAsia="宋体" w:cs="Times New Roman"/>
                      <w:i w:val="0"/>
                      <w:iCs w:val="0"/>
                      <w:color w:val="000000"/>
                      <w:kern w:val="0"/>
                      <w:sz w:val="21"/>
                      <w:szCs w:val="21"/>
                      <w:u w:val="none"/>
                      <w:lang w:val="en-US" w:eastAsia="zh-CN" w:bidi="ar"/>
                    </w:rPr>
                    <w:t>0.0219</w:t>
                  </w:r>
                </w:p>
              </w:tc>
              <w:tc>
                <w:tcPr>
                  <w:tcW w:w="1020" w:type="dxa"/>
                  <w:vMerge w:val="continue"/>
                  <w:tcBorders>
                    <w:top w:val="single" w:color="auto" w:sz="4" w:space="0"/>
                    <w:left w:val="single" w:color="auto" w:sz="4" w:space="0"/>
                    <w:bottom w:val="single" w:color="auto" w:sz="4" w:space="0"/>
                    <w:right w:val="single" w:color="auto" w:sz="4" w:space="0"/>
                  </w:tcBorders>
                  <w:noWrap w:val="0"/>
                  <w:vAlign w:val="center"/>
                </w:tcPr>
                <w:p w14:paraId="7E3C0CCC">
                  <w:pPr>
                    <w:jc w:val="center"/>
                    <w:rPr>
                      <w:rFonts w:hint="default" w:ascii="Times New Roman" w:hAnsi="Times New Roman" w:eastAsia="宋体" w:cs="Times New Roman"/>
                      <w:i w:val="0"/>
                      <w:iCs w:val="0"/>
                      <w:color w:val="000000"/>
                      <w:sz w:val="21"/>
                      <w:szCs w:val="21"/>
                      <w:u w:val="none"/>
                    </w:rPr>
                  </w:pPr>
                </w:p>
              </w:tc>
              <w:tc>
                <w:tcPr>
                  <w:tcW w:w="1001" w:type="dxa"/>
                  <w:vMerge w:val="continue"/>
                  <w:tcBorders>
                    <w:top w:val="nil"/>
                    <w:left w:val="single" w:color="000000" w:sz="8" w:space="0"/>
                    <w:bottom w:val="single" w:color="000000" w:sz="8" w:space="0"/>
                    <w:right w:val="single" w:color="000000" w:sz="8" w:space="0"/>
                  </w:tcBorders>
                  <w:noWrap w:val="0"/>
                  <w:vAlign w:val="center"/>
                </w:tcPr>
                <w:p w14:paraId="76337CB7">
                  <w:pPr>
                    <w:jc w:val="center"/>
                    <w:rPr>
                      <w:rFonts w:hint="default" w:ascii="Times New Roman" w:hAnsi="Times New Roman" w:eastAsia="宋体" w:cs="Times New Roman"/>
                      <w:i w:val="0"/>
                      <w:iCs w:val="0"/>
                      <w:color w:val="000000"/>
                      <w:sz w:val="21"/>
                      <w:szCs w:val="21"/>
                      <w:u w:val="none"/>
                    </w:rPr>
                  </w:pPr>
                </w:p>
              </w:tc>
              <w:tc>
                <w:tcPr>
                  <w:tcW w:w="720" w:type="dxa"/>
                  <w:tcBorders>
                    <w:top w:val="nil"/>
                    <w:left w:val="single" w:color="000000" w:sz="8" w:space="0"/>
                    <w:bottom w:val="single" w:color="000000" w:sz="8" w:space="0"/>
                    <w:right w:val="single" w:color="000000" w:sz="8" w:space="0"/>
                  </w:tcBorders>
                  <w:noWrap w:val="0"/>
                  <w:vAlign w:val="center"/>
                </w:tcPr>
                <w:p w14:paraId="18738BA7">
                  <w:pPr>
                    <w:keepNext w:val="0"/>
                    <w:keepLines w:val="0"/>
                    <w:widowControl/>
                    <w:suppressLineNumbers w:val="0"/>
                    <w:jc w:val="center"/>
                    <w:textAlignment w:val="center"/>
                    <w:rPr>
                      <w:rFonts w:hint="eastAsia" w:ascii="Times New Roman" w:hAnsi="Times New Roman" w:eastAsia="宋体" w:cs="Times New Roman"/>
                      <w:i w:val="0"/>
                      <w:iCs w:val="0"/>
                      <w:color w:val="000000"/>
                      <w:sz w:val="21"/>
                      <w:szCs w:val="21"/>
                      <w:u w:val="none"/>
                    </w:rPr>
                  </w:pPr>
                  <w:r>
                    <w:rPr>
                      <w:rFonts w:hint="eastAsia" w:ascii="Times New Roman" w:hAnsi="Times New Roman" w:eastAsia="宋体" w:cs="Times New Roman"/>
                      <w:i w:val="0"/>
                      <w:iCs w:val="0"/>
                      <w:color w:val="000000"/>
                      <w:sz w:val="21"/>
                      <w:szCs w:val="21"/>
                      <w:u w:val="none"/>
                      <w:lang w:val="en-US" w:eastAsia="zh-CN"/>
                    </w:rPr>
                    <w:t>/</w:t>
                  </w:r>
                </w:p>
              </w:tc>
              <w:tc>
                <w:tcPr>
                  <w:tcW w:w="1138" w:type="dxa"/>
                  <w:tcBorders>
                    <w:top w:val="nil"/>
                    <w:left w:val="single" w:color="000000" w:sz="8" w:space="0"/>
                    <w:bottom w:val="single" w:color="000000" w:sz="8" w:space="0"/>
                    <w:right w:val="single" w:color="000000" w:sz="8" w:space="0"/>
                  </w:tcBorders>
                  <w:noWrap w:val="0"/>
                  <w:vAlign w:val="center"/>
                </w:tcPr>
                <w:p w14:paraId="08594F43">
                  <w:pPr>
                    <w:keepNext w:val="0"/>
                    <w:keepLines w:val="0"/>
                    <w:widowControl/>
                    <w:suppressLineNumbers w:val="0"/>
                    <w:jc w:val="center"/>
                    <w:textAlignment w:val="center"/>
                    <w:rPr>
                      <w:rFonts w:hint="eastAsia" w:ascii="Times New Roman" w:hAnsi="Times New Roman" w:eastAsia="宋体" w:cs="Times New Roman"/>
                      <w:i w:val="0"/>
                      <w:iCs w:val="0"/>
                      <w:color w:val="000000"/>
                      <w:sz w:val="21"/>
                      <w:szCs w:val="21"/>
                      <w:u w:val="none"/>
                    </w:rPr>
                  </w:pPr>
                  <w:r>
                    <w:rPr>
                      <w:rFonts w:hint="eastAsia" w:ascii="Times New Roman" w:hAnsi="Times New Roman" w:eastAsia="宋体" w:cs="Times New Roman"/>
                      <w:i w:val="0"/>
                      <w:iCs w:val="0"/>
                      <w:color w:val="000000"/>
                      <w:sz w:val="21"/>
                      <w:szCs w:val="21"/>
                      <w:u w:val="none"/>
                      <w:lang w:val="en-US" w:eastAsia="zh-CN"/>
                    </w:rPr>
                    <w:t>/</w:t>
                  </w:r>
                </w:p>
              </w:tc>
            </w:tr>
            <w:tr w14:paraId="177D91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997" w:type="dxa"/>
                  <w:vMerge w:val="restart"/>
                  <w:tcBorders>
                    <w:top w:val="nil"/>
                    <w:left w:val="single" w:color="000000" w:sz="8" w:space="0"/>
                    <w:right w:val="single" w:color="000000" w:sz="8" w:space="0"/>
                  </w:tcBorders>
                  <w:noWrap w:val="0"/>
                  <w:vAlign w:val="center"/>
                </w:tcPr>
                <w:p w14:paraId="37E60592">
                  <w:pPr>
                    <w:jc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综合废水</w:t>
                  </w:r>
                </w:p>
              </w:tc>
              <w:tc>
                <w:tcPr>
                  <w:tcW w:w="744" w:type="dxa"/>
                  <w:vMerge w:val="restart"/>
                  <w:tcBorders>
                    <w:top w:val="single" w:color="auto" w:sz="4" w:space="0"/>
                    <w:left w:val="single" w:color="000000" w:sz="8" w:space="0"/>
                    <w:right w:val="single" w:color="000000" w:sz="8" w:space="0"/>
                  </w:tcBorders>
                  <w:noWrap w:val="0"/>
                  <w:vAlign w:val="center"/>
                </w:tcPr>
                <w:p w14:paraId="090A92DB">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cs="Times New Roman"/>
                      <w:i w:val="0"/>
                      <w:iCs w:val="0"/>
                      <w:color w:val="000000"/>
                      <w:kern w:val="0"/>
                      <w:sz w:val="21"/>
                      <w:szCs w:val="21"/>
                      <w:u w:val="none"/>
                      <w:lang w:val="en-US" w:eastAsia="zh-CN" w:bidi="ar"/>
                    </w:rPr>
                    <w:t>19901.009</w:t>
                  </w:r>
                </w:p>
              </w:tc>
              <w:tc>
                <w:tcPr>
                  <w:tcW w:w="750" w:type="dxa"/>
                  <w:tcBorders>
                    <w:top w:val="nil"/>
                    <w:left w:val="single" w:color="000000" w:sz="8" w:space="0"/>
                    <w:bottom w:val="single" w:color="000000" w:sz="8" w:space="0"/>
                    <w:right w:val="single" w:color="000000" w:sz="8" w:space="0"/>
                  </w:tcBorders>
                  <w:noWrap w:val="0"/>
                  <w:vAlign w:val="center"/>
                </w:tcPr>
                <w:p w14:paraId="64AB3AD8">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COD</w:t>
                  </w:r>
                </w:p>
              </w:tc>
              <w:tc>
                <w:tcPr>
                  <w:tcW w:w="867" w:type="dxa"/>
                  <w:tcBorders>
                    <w:top w:val="nil"/>
                    <w:left w:val="single" w:color="000000" w:sz="8" w:space="0"/>
                    <w:bottom w:val="single" w:color="000000" w:sz="8" w:space="0"/>
                    <w:right w:val="single" w:color="000000" w:sz="8" w:space="0"/>
                  </w:tcBorders>
                  <w:noWrap w:val="0"/>
                  <w:vAlign w:val="center"/>
                </w:tcPr>
                <w:p w14:paraId="3740C0A2">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cs="Times New Roman"/>
                      <w:i w:val="0"/>
                      <w:iCs w:val="0"/>
                      <w:color w:val="000000"/>
                      <w:kern w:val="0"/>
                      <w:sz w:val="21"/>
                      <w:szCs w:val="21"/>
                      <w:highlight w:val="none"/>
                      <w:u w:val="none"/>
                      <w:lang w:val="en-US" w:eastAsia="zh-CN" w:bidi="ar"/>
                    </w:rPr>
                    <w:t>290.4</w:t>
                  </w:r>
                </w:p>
              </w:tc>
              <w:tc>
                <w:tcPr>
                  <w:tcW w:w="978" w:type="dxa"/>
                  <w:tcBorders>
                    <w:top w:val="nil"/>
                    <w:left w:val="single" w:color="000000" w:sz="8" w:space="0"/>
                    <w:bottom w:val="single" w:color="000000" w:sz="8" w:space="0"/>
                    <w:right w:val="single" w:color="000000" w:sz="8" w:space="0"/>
                  </w:tcBorders>
                  <w:noWrap w:val="0"/>
                  <w:vAlign w:val="center"/>
                </w:tcPr>
                <w:p w14:paraId="58102190">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cs="Times New Roman"/>
                      <w:i w:val="0"/>
                      <w:iCs w:val="0"/>
                      <w:color w:val="000000"/>
                      <w:kern w:val="0"/>
                      <w:sz w:val="21"/>
                      <w:szCs w:val="21"/>
                      <w:highlight w:val="none"/>
                      <w:u w:val="none"/>
                      <w:lang w:val="en-US" w:eastAsia="zh-CN" w:bidi="ar"/>
                    </w:rPr>
                    <w:t>5.7786</w:t>
                  </w:r>
                </w:p>
              </w:tc>
              <w:tc>
                <w:tcPr>
                  <w:tcW w:w="1020" w:type="dxa"/>
                  <w:vMerge w:val="restart"/>
                  <w:tcBorders>
                    <w:top w:val="single" w:color="auto" w:sz="4" w:space="0"/>
                    <w:left w:val="single" w:color="000000" w:sz="8" w:space="0"/>
                    <w:right w:val="single" w:color="000000" w:sz="8" w:space="0"/>
                  </w:tcBorders>
                  <w:noWrap w:val="0"/>
                  <w:vAlign w:val="center"/>
                </w:tcPr>
                <w:p w14:paraId="5BD0D0BF">
                  <w:pPr>
                    <w:jc w:val="center"/>
                    <w:rPr>
                      <w:rFonts w:hint="eastAsia" w:ascii="Times New Roman" w:hAnsi="Times New Roman" w:eastAsia="宋体" w:cs="Times New Roman"/>
                      <w:i w:val="0"/>
                      <w:iCs w:val="0"/>
                      <w:color w:val="000000"/>
                      <w:sz w:val="21"/>
                      <w:szCs w:val="21"/>
                      <w:u w:val="none"/>
                      <w:lang w:val="en-US" w:eastAsia="zh-CN"/>
                    </w:rPr>
                  </w:pPr>
                  <w:r>
                    <w:rPr>
                      <w:rFonts w:hint="eastAsia" w:ascii="Times New Roman" w:hAnsi="Times New Roman" w:eastAsia="宋体" w:cs="Times New Roman"/>
                      <w:i w:val="0"/>
                      <w:iCs w:val="0"/>
                      <w:color w:val="000000"/>
                      <w:sz w:val="21"/>
                      <w:szCs w:val="21"/>
                      <w:u w:val="none"/>
                      <w:lang w:val="en-US" w:eastAsia="zh-CN"/>
                    </w:rPr>
                    <w:t>/</w:t>
                  </w:r>
                </w:p>
              </w:tc>
              <w:tc>
                <w:tcPr>
                  <w:tcW w:w="1001" w:type="dxa"/>
                  <w:vMerge w:val="continue"/>
                  <w:tcBorders>
                    <w:top w:val="nil"/>
                    <w:left w:val="single" w:color="000000" w:sz="8" w:space="0"/>
                    <w:bottom w:val="single" w:color="000000" w:sz="8" w:space="0"/>
                    <w:right w:val="single" w:color="000000" w:sz="8" w:space="0"/>
                  </w:tcBorders>
                  <w:noWrap w:val="0"/>
                  <w:vAlign w:val="center"/>
                </w:tcPr>
                <w:p w14:paraId="0BDDA451">
                  <w:pPr>
                    <w:jc w:val="center"/>
                    <w:rPr>
                      <w:rFonts w:hint="default" w:ascii="Times New Roman" w:hAnsi="Times New Roman" w:eastAsia="宋体" w:cs="Times New Roman"/>
                      <w:i w:val="0"/>
                      <w:iCs w:val="0"/>
                      <w:color w:val="000000"/>
                      <w:sz w:val="21"/>
                      <w:szCs w:val="21"/>
                      <w:u w:val="none"/>
                    </w:rPr>
                  </w:pPr>
                </w:p>
              </w:tc>
              <w:tc>
                <w:tcPr>
                  <w:tcW w:w="720" w:type="dxa"/>
                  <w:tcBorders>
                    <w:top w:val="nil"/>
                    <w:left w:val="single" w:color="000000" w:sz="8" w:space="0"/>
                    <w:bottom w:val="single" w:color="000000" w:sz="8" w:space="0"/>
                    <w:right w:val="single" w:color="000000" w:sz="8" w:space="0"/>
                  </w:tcBorders>
                  <w:noWrap w:val="0"/>
                  <w:vAlign w:val="center"/>
                </w:tcPr>
                <w:p w14:paraId="431FD7AD">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highlight w:val="none"/>
                      <w:u w:val="none"/>
                      <w:lang w:val="en-US" w:eastAsia="zh-CN"/>
                    </w:rPr>
                  </w:pPr>
                  <w:r>
                    <w:rPr>
                      <w:rFonts w:hint="eastAsia" w:ascii="Times New Roman" w:hAnsi="Times New Roman" w:eastAsia="宋体" w:cs="Times New Roman"/>
                      <w:i w:val="0"/>
                      <w:iCs w:val="0"/>
                      <w:color w:val="000000"/>
                      <w:kern w:val="0"/>
                      <w:sz w:val="21"/>
                      <w:szCs w:val="21"/>
                      <w:highlight w:val="none"/>
                      <w:u w:val="none"/>
                      <w:lang w:val="en-US" w:eastAsia="zh-CN" w:bidi="ar"/>
                    </w:rPr>
                    <w:t>14</w:t>
                  </w:r>
                  <w:r>
                    <w:rPr>
                      <w:rFonts w:hint="eastAsia" w:cs="Times New Roman"/>
                      <w:i w:val="0"/>
                      <w:iCs w:val="0"/>
                      <w:color w:val="000000"/>
                      <w:kern w:val="0"/>
                      <w:sz w:val="21"/>
                      <w:szCs w:val="21"/>
                      <w:highlight w:val="none"/>
                      <w:u w:val="none"/>
                      <w:lang w:val="en-US" w:eastAsia="zh-CN" w:bidi="ar"/>
                    </w:rPr>
                    <w:t>5.2</w:t>
                  </w:r>
                </w:p>
              </w:tc>
              <w:tc>
                <w:tcPr>
                  <w:tcW w:w="1138" w:type="dxa"/>
                  <w:tcBorders>
                    <w:top w:val="nil"/>
                    <w:left w:val="single" w:color="000000" w:sz="8" w:space="0"/>
                    <w:bottom w:val="single" w:color="000000" w:sz="8" w:space="0"/>
                    <w:right w:val="single" w:color="000000" w:sz="8" w:space="0"/>
                  </w:tcBorders>
                  <w:noWrap w:val="0"/>
                  <w:vAlign w:val="center"/>
                </w:tcPr>
                <w:p w14:paraId="2A12E105">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highlight w:val="none"/>
                      <w:u w:val="none"/>
                      <w:lang w:val="en-US" w:eastAsia="zh-CN"/>
                    </w:rPr>
                  </w:pPr>
                  <w:r>
                    <w:rPr>
                      <w:rFonts w:hint="eastAsia" w:cs="Times New Roman"/>
                      <w:i w:val="0"/>
                      <w:iCs w:val="0"/>
                      <w:color w:val="000000"/>
                      <w:kern w:val="0"/>
                      <w:sz w:val="21"/>
                      <w:szCs w:val="21"/>
                      <w:highlight w:val="none"/>
                      <w:u w:val="none"/>
                      <w:lang w:val="en-US" w:eastAsia="zh-CN" w:bidi="ar"/>
                    </w:rPr>
                    <w:t>2.8893</w:t>
                  </w:r>
                </w:p>
              </w:tc>
            </w:tr>
            <w:tr w14:paraId="73F02F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997" w:type="dxa"/>
                  <w:vMerge w:val="continue"/>
                  <w:tcBorders>
                    <w:left w:val="single" w:color="000000" w:sz="8" w:space="0"/>
                    <w:right w:val="single" w:color="000000" w:sz="8" w:space="0"/>
                  </w:tcBorders>
                  <w:noWrap w:val="0"/>
                  <w:vAlign w:val="center"/>
                </w:tcPr>
                <w:p w14:paraId="2CABFFF5">
                  <w:pPr>
                    <w:jc w:val="center"/>
                    <w:rPr>
                      <w:rFonts w:hint="default" w:ascii="Times New Roman" w:hAnsi="Times New Roman" w:eastAsia="宋体" w:cs="Times New Roman"/>
                      <w:i w:val="0"/>
                      <w:iCs w:val="0"/>
                      <w:color w:val="000000"/>
                      <w:sz w:val="21"/>
                      <w:szCs w:val="21"/>
                      <w:u w:val="none"/>
                    </w:rPr>
                  </w:pPr>
                </w:p>
              </w:tc>
              <w:tc>
                <w:tcPr>
                  <w:tcW w:w="744" w:type="dxa"/>
                  <w:vMerge w:val="continue"/>
                  <w:tcBorders>
                    <w:left w:val="single" w:color="000000" w:sz="8" w:space="0"/>
                    <w:right w:val="single" w:color="000000" w:sz="8" w:space="0"/>
                  </w:tcBorders>
                  <w:noWrap w:val="0"/>
                  <w:vAlign w:val="center"/>
                </w:tcPr>
                <w:p w14:paraId="6CA03D29">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p>
              </w:tc>
              <w:tc>
                <w:tcPr>
                  <w:tcW w:w="750" w:type="dxa"/>
                  <w:tcBorders>
                    <w:top w:val="nil"/>
                    <w:left w:val="single" w:color="000000" w:sz="8" w:space="0"/>
                    <w:bottom w:val="single" w:color="000000" w:sz="8" w:space="0"/>
                    <w:right w:val="single" w:color="000000" w:sz="8" w:space="0"/>
                  </w:tcBorders>
                  <w:noWrap w:val="0"/>
                  <w:vAlign w:val="center"/>
                </w:tcPr>
                <w:p w14:paraId="72CD3EF5">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BOD</w:t>
                  </w:r>
                  <w:r>
                    <w:rPr>
                      <w:rFonts w:hint="default" w:ascii="Times New Roman" w:hAnsi="Times New Roman" w:eastAsia="宋体" w:cs="Times New Roman"/>
                      <w:i w:val="0"/>
                      <w:iCs w:val="0"/>
                      <w:color w:val="000000"/>
                      <w:kern w:val="0"/>
                      <w:sz w:val="21"/>
                      <w:szCs w:val="21"/>
                      <w:highlight w:val="none"/>
                      <w:u w:val="none"/>
                      <w:vertAlign w:val="subscript"/>
                      <w:lang w:val="en-US" w:eastAsia="zh-CN" w:bidi="ar"/>
                    </w:rPr>
                    <w:t>5</w:t>
                  </w:r>
                </w:p>
              </w:tc>
              <w:tc>
                <w:tcPr>
                  <w:tcW w:w="867" w:type="dxa"/>
                  <w:tcBorders>
                    <w:top w:val="nil"/>
                    <w:left w:val="single" w:color="000000" w:sz="8" w:space="0"/>
                    <w:bottom w:val="single" w:color="000000" w:sz="8" w:space="0"/>
                    <w:right w:val="single" w:color="000000" w:sz="8" w:space="0"/>
                  </w:tcBorders>
                  <w:noWrap w:val="0"/>
                  <w:vAlign w:val="center"/>
                </w:tcPr>
                <w:p w14:paraId="289E256A">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highlight w:val="none"/>
                      <w:u w:val="none"/>
                      <w:lang w:val="en-US" w:eastAsia="zh-CN" w:bidi="ar"/>
                    </w:rPr>
                    <w:t>115.</w:t>
                  </w:r>
                  <w:r>
                    <w:rPr>
                      <w:rFonts w:hint="eastAsia" w:cs="Times New Roman"/>
                      <w:i w:val="0"/>
                      <w:iCs w:val="0"/>
                      <w:color w:val="000000"/>
                      <w:kern w:val="0"/>
                      <w:sz w:val="21"/>
                      <w:szCs w:val="21"/>
                      <w:highlight w:val="none"/>
                      <w:u w:val="none"/>
                      <w:lang w:val="en-US" w:eastAsia="zh-CN" w:bidi="ar"/>
                    </w:rPr>
                    <w:t>5</w:t>
                  </w:r>
                </w:p>
              </w:tc>
              <w:tc>
                <w:tcPr>
                  <w:tcW w:w="978" w:type="dxa"/>
                  <w:tcBorders>
                    <w:top w:val="nil"/>
                    <w:left w:val="single" w:color="000000" w:sz="8" w:space="0"/>
                    <w:bottom w:val="single" w:color="000000" w:sz="8" w:space="0"/>
                    <w:right w:val="single" w:color="000000" w:sz="8" w:space="0"/>
                  </w:tcBorders>
                  <w:noWrap w:val="0"/>
                  <w:vAlign w:val="center"/>
                </w:tcPr>
                <w:p w14:paraId="311CEB74">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cs="Times New Roman"/>
                      <w:i w:val="0"/>
                      <w:iCs w:val="0"/>
                      <w:color w:val="000000"/>
                      <w:kern w:val="0"/>
                      <w:sz w:val="21"/>
                      <w:szCs w:val="21"/>
                      <w:highlight w:val="none"/>
                      <w:u w:val="none"/>
                      <w:lang w:val="en-US" w:eastAsia="zh-CN" w:bidi="ar"/>
                    </w:rPr>
                    <w:t>2.2995</w:t>
                  </w:r>
                </w:p>
              </w:tc>
              <w:tc>
                <w:tcPr>
                  <w:tcW w:w="1020" w:type="dxa"/>
                  <w:vMerge w:val="continue"/>
                  <w:tcBorders>
                    <w:left w:val="single" w:color="000000" w:sz="8" w:space="0"/>
                    <w:right w:val="single" w:color="000000" w:sz="8" w:space="0"/>
                  </w:tcBorders>
                  <w:noWrap w:val="0"/>
                  <w:vAlign w:val="center"/>
                </w:tcPr>
                <w:p w14:paraId="138ABBFA">
                  <w:pPr>
                    <w:jc w:val="center"/>
                    <w:rPr>
                      <w:rFonts w:hint="default" w:ascii="Times New Roman" w:hAnsi="Times New Roman" w:eastAsia="宋体" w:cs="Times New Roman"/>
                      <w:i w:val="0"/>
                      <w:iCs w:val="0"/>
                      <w:color w:val="000000"/>
                      <w:sz w:val="21"/>
                      <w:szCs w:val="21"/>
                      <w:u w:val="none"/>
                    </w:rPr>
                  </w:pPr>
                </w:p>
              </w:tc>
              <w:tc>
                <w:tcPr>
                  <w:tcW w:w="1001" w:type="dxa"/>
                  <w:vMerge w:val="continue"/>
                  <w:tcBorders>
                    <w:top w:val="nil"/>
                    <w:left w:val="single" w:color="000000" w:sz="8" w:space="0"/>
                    <w:bottom w:val="single" w:color="000000" w:sz="8" w:space="0"/>
                    <w:right w:val="single" w:color="000000" w:sz="8" w:space="0"/>
                  </w:tcBorders>
                  <w:noWrap w:val="0"/>
                  <w:vAlign w:val="center"/>
                </w:tcPr>
                <w:p w14:paraId="1EA01697">
                  <w:pPr>
                    <w:jc w:val="center"/>
                    <w:rPr>
                      <w:rFonts w:hint="default" w:ascii="Times New Roman" w:hAnsi="Times New Roman" w:eastAsia="宋体" w:cs="Times New Roman"/>
                      <w:i w:val="0"/>
                      <w:iCs w:val="0"/>
                      <w:color w:val="000000"/>
                      <w:sz w:val="21"/>
                      <w:szCs w:val="21"/>
                      <w:u w:val="none"/>
                    </w:rPr>
                  </w:pPr>
                </w:p>
              </w:tc>
              <w:tc>
                <w:tcPr>
                  <w:tcW w:w="720" w:type="dxa"/>
                  <w:tcBorders>
                    <w:top w:val="nil"/>
                    <w:left w:val="single" w:color="000000" w:sz="8" w:space="0"/>
                    <w:bottom w:val="single" w:color="000000" w:sz="8" w:space="0"/>
                    <w:right w:val="single" w:color="000000" w:sz="8" w:space="0"/>
                  </w:tcBorders>
                  <w:noWrap w:val="0"/>
                  <w:vAlign w:val="center"/>
                </w:tcPr>
                <w:p w14:paraId="7490447D">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highlight w:val="none"/>
                      <w:u w:val="none"/>
                      <w:lang w:val="en-US" w:eastAsia="zh-CN"/>
                    </w:rPr>
                  </w:pPr>
                  <w:r>
                    <w:rPr>
                      <w:rFonts w:hint="eastAsia" w:ascii="Times New Roman" w:hAnsi="Times New Roman" w:eastAsia="宋体" w:cs="Times New Roman"/>
                      <w:i w:val="0"/>
                      <w:iCs w:val="0"/>
                      <w:color w:val="000000"/>
                      <w:kern w:val="0"/>
                      <w:sz w:val="21"/>
                      <w:szCs w:val="21"/>
                      <w:highlight w:val="none"/>
                      <w:u w:val="none"/>
                      <w:lang w:val="en-US" w:eastAsia="zh-CN" w:bidi="ar"/>
                    </w:rPr>
                    <w:t>57.</w:t>
                  </w:r>
                  <w:r>
                    <w:rPr>
                      <w:rFonts w:hint="eastAsia" w:cs="Times New Roman"/>
                      <w:i w:val="0"/>
                      <w:iCs w:val="0"/>
                      <w:color w:val="000000"/>
                      <w:kern w:val="0"/>
                      <w:sz w:val="21"/>
                      <w:szCs w:val="21"/>
                      <w:highlight w:val="none"/>
                      <w:u w:val="none"/>
                      <w:lang w:val="en-US" w:eastAsia="zh-CN" w:bidi="ar"/>
                    </w:rPr>
                    <w:t>8</w:t>
                  </w:r>
                </w:p>
              </w:tc>
              <w:tc>
                <w:tcPr>
                  <w:tcW w:w="1138" w:type="dxa"/>
                  <w:tcBorders>
                    <w:top w:val="nil"/>
                    <w:left w:val="single" w:color="000000" w:sz="8" w:space="0"/>
                    <w:bottom w:val="single" w:color="000000" w:sz="8" w:space="0"/>
                    <w:right w:val="single" w:color="000000" w:sz="8" w:space="0"/>
                  </w:tcBorders>
                  <w:noWrap w:val="0"/>
                  <w:vAlign w:val="center"/>
                </w:tcPr>
                <w:p w14:paraId="4E1E624A">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highlight w:val="none"/>
                      <w:u w:val="none"/>
                      <w:lang w:val="en-US" w:eastAsia="zh-CN"/>
                    </w:rPr>
                  </w:pPr>
                  <w:r>
                    <w:rPr>
                      <w:rFonts w:hint="eastAsia" w:cs="Times New Roman"/>
                      <w:i w:val="0"/>
                      <w:iCs w:val="0"/>
                      <w:color w:val="000000"/>
                      <w:sz w:val="21"/>
                      <w:szCs w:val="21"/>
                      <w:highlight w:val="none"/>
                      <w:u w:val="none"/>
                      <w:lang w:val="en-US" w:eastAsia="zh-CN"/>
                    </w:rPr>
                    <w:t>1.1498</w:t>
                  </w:r>
                </w:p>
              </w:tc>
            </w:tr>
            <w:tr w14:paraId="50FEE2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997" w:type="dxa"/>
                  <w:vMerge w:val="continue"/>
                  <w:tcBorders>
                    <w:left w:val="single" w:color="000000" w:sz="8" w:space="0"/>
                    <w:right w:val="single" w:color="000000" w:sz="8" w:space="0"/>
                  </w:tcBorders>
                  <w:noWrap w:val="0"/>
                  <w:vAlign w:val="center"/>
                </w:tcPr>
                <w:p w14:paraId="14EF62F6">
                  <w:pPr>
                    <w:jc w:val="center"/>
                    <w:rPr>
                      <w:rFonts w:hint="default" w:ascii="Times New Roman" w:hAnsi="Times New Roman" w:eastAsia="宋体" w:cs="Times New Roman"/>
                      <w:i w:val="0"/>
                      <w:iCs w:val="0"/>
                      <w:color w:val="000000"/>
                      <w:sz w:val="21"/>
                      <w:szCs w:val="21"/>
                      <w:u w:val="none"/>
                    </w:rPr>
                  </w:pPr>
                </w:p>
              </w:tc>
              <w:tc>
                <w:tcPr>
                  <w:tcW w:w="744" w:type="dxa"/>
                  <w:vMerge w:val="continue"/>
                  <w:tcBorders>
                    <w:left w:val="single" w:color="000000" w:sz="8" w:space="0"/>
                    <w:right w:val="single" w:color="000000" w:sz="8" w:space="0"/>
                  </w:tcBorders>
                  <w:noWrap w:val="0"/>
                  <w:vAlign w:val="center"/>
                </w:tcPr>
                <w:p w14:paraId="49EBB34F">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p>
              </w:tc>
              <w:tc>
                <w:tcPr>
                  <w:tcW w:w="750" w:type="dxa"/>
                  <w:tcBorders>
                    <w:top w:val="nil"/>
                    <w:left w:val="single" w:color="000000" w:sz="8" w:space="0"/>
                    <w:bottom w:val="single" w:color="000000" w:sz="8" w:space="0"/>
                    <w:right w:val="single" w:color="000000" w:sz="8" w:space="0"/>
                  </w:tcBorders>
                  <w:noWrap w:val="0"/>
                  <w:vAlign w:val="center"/>
                </w:tcPr>
                <w:p w14:paraId="14F7ADB5">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SS</w:t>
                  </w:r>
                </w:p>
              </w:tc>
              <w:tc>
                <w:tcPr>
                  <w:tcW w:w="867" w:type="dxa"/>
                  <w:tcBorders>
                    <w:top w:val="nil"/>
                    <w:left w:val="single" w:color="000000" w:sz="8" w:space="0"/>
                    <w:bottom w:val="single" w:color="000000" w:sz="8" w:space="0"/>
                    <w:right w:val="single" w:color="000000" w:sz="8" w:space="0"/>
                  </w:tcBorders>
                  <w:noWrap w:val="0"/>
                  <w:vAlign w:val="center"/>
                </w:tcPr>
                <w:p w14:paraId="376ADAA3">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highlight w:val="none"/>
                      <w:u w:val="none"/>
                      <w:lang w:val="en-US" w:eastAsia="zh-CN" w:bidi="ar"/>
                    </w:rPr>
                    <w:t>116.</w:t>
                  </w:r>
                  <w:r>
                    <w:rPr>
                      <w:rFonts w:hint="eastAsia" w:cs="Times New Roman"/>
                      <w:i w:val="0"/>
                      <w:iCs w:val="0"/>
                      <w:color w:val="000000"/>
                      <w:kern w:val="0"/>
                      <w:sz w:val="21"/>
                      <w:szCs w:val="21"/>
                      <w:highlight w:val="none"/>
                      <w:u w:val="none"/>
                      <w:lang w:val="en-US" w:eastAsia="zh-CN" w:bidi="ar"/>
                    </w:rPr>
                    <w:t>8</w:t>
                  </w:r>
                </w:p>
              </w:tc>
              <w:tc>
                <w:tcPr>
                  <w:tcW w:w="978" w:type="dxa"/>
                  <w:tcBorders>
                    <w:top w:val="nil"/>
                    <w:left w:val="single" w:color="000000" w:sz="8" w:space="0"/>
                    <w:bottom w:val="single" w:color="000000" w:sz="8" w:space="0"/>
                    <w:right w:val="single" w:color="000000" w:sz="8" w:space="0"/>
                  </w:tcBorders>
                  <w:noWrap w:val="0"/>
                  <w:vAlign w:val="center"/>
                </w:tcPr>
                <w:p w14:paraId="70A04F52">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cs="Times New Roman"/>
                      <w:i w:val="0"/>
                      <w:iCs w:val="0"/>
                      <w:color w:val="000000"/>
                      <w:kern w:val="0"/>
                      <w:sz w:val="21"/>
                      <w:szCs w:val="21"/>
                      <w:highlight w:val="none"/>
                      <w:u w:val="none"/>
                      <w:lang w:val="en-US" w:eastAsia="zh-CN" w:bidi="ar"/>
                    </w:rPr>
                    <w:t>2.3246</w:t>
                  </w:r>
                </w:p>
              </w:tc>
              <w:tc>
                <w:tcPr>
                  <w:tcW w:w="1020" w:type="dxa"/>
                  <w:vMerge w:val="continue"/>
                  <w:tcBorders>
                    <w:left w:val="single" w:color="000000" w:sz="8" w:space="0"/>
                    <w:right w:val="single" w:color="000000" w:sz="8" w:space="0"/>
                  </w:tcBorders>
                  <w:noWrap w:val="0"/>
                  <w:vAlign w:val="center"/>
                </w:tcPr>
                <w:p w14:paraId="61478CD9">
                  <w:pPr>
                    <w:jc w:val="center"/>
                    <w:rPr>
                      <w:rFonts w:hint="default" w:ascii="Times New Roman" w:hAnsi="Times New Roman" w:eastAsia="宋体" w:cs="Times New Roman"/>
                      <w:i w:val="0"/>
                      <w:iCs w:val="0"/>
                      <w:color w:val="000000"/>
                      <w:sz w:val="21"/>
                      <w:szCs w:val="21"/>
                      <w:u w:val="none"/>
                    </w:rPr>
                  </w:pPr>
                </w:p>
              </w:tc>
              <w:tc>
                <w:tcPr>
                  <w:tcW w:w="1001" w:type="dxa"/>
                  <w:vMerge w:val="continue"/>
                  <w:tcBorders>
                    <w:top w:val="nil"/>
                    <w:left w:val="single" w:color="000000" w:sz="8" w:space="0"/>
                    <w:bottom w:val="single" w:color="000000" w:sz="8" w:space="0"/>
                    <w:right w:val="single" w:color="000000" w:sz="8" w:space="0"/>
                  </w:tcBorders>
                  <w:noWrap w:val="0"/>
                  <w:vAlign w:val="center"/>
                </w:tcPr>
                <w:p w14:paraId="06215C5D">
                  <w:pPr>
                    <w:jc w:val="center"/>
                    <w:rPr>
                      <w:rFonts w:hint="default" w:ascii="Times New Roman" w:hAnsi="Times New Roman" w:eastAsia="宋体" w:cs="Times New Roman"/>
                      <w:i w:val="0"/>
                      <w:iCs w:val="0"/>
                      <w:color w:val="000000"/>
                      <w:sz w:val="21"/>
                      <w:szCs w:val="21"/>
                      <w:u w:val="none"/>
                    </w:rPr>
                  </w:pPr>
                </w:p>
              </w:tc>
              <w:tc>
                <w:tcPr>
                  <w:tcW w:w="720" w:type="dxa"/>
                  <w:tcBorders>
                    <w:top w:val="nil"/>
                    <w:left w:val="single" w:color="000000" w:sz="8" w:space="0"/>
                    <w:bottom w:val="single" w:color="000000" w:sz="8" w:space="0"/>
                    <w:right w:val="single" w:color="000000" w:sz="8" w:space="0"/>
                  </w:tcBorders>
                  <w:noWrap w:val="0"/>
                  <w:vAlign w:val="center"/>
                </w:tcPr>
                <w:p w14:paraId="082DEABC">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highlight w:val="none"/>
                      <w:u w:val="none"/>
                      <w:lang w:val="en-US" w:eastAsia="zh-CN"/>
                    </w:rPr>
                  </w:pPr>
                  <w:r>
                    <w:rPr>
                      <w:rFonts w:hint="eastAsia" w:ascii="Times New Roman" w:hAnsi="Times New Roman" w:eastAsia="宋体" w:cs="Times New Roman"/>
                      <w:i w:val="0"/>
                      <w:iCs w:val="0"/>
                      <w:color w:val="000000"/>
                      <w:kern w:val="0"/>
                      <w:sz w:val="21"/>
                      <w:szCs w:val="21"/>
                      <w:highlight w:val="none"/>
                      <w:u w:val="none"/>
                      <w:lang w:val="en-US" w:eastAsia="zh-CN" w:bidi="ar"/>
                    </w:rPr>
                    <w:t>49.</w:t>
                  </w:r>
                  <w:r>
                    <w:rPr>
                      <w:rFonts w:hint="eastAsia" w:cs="Times New Roman"/>
                      <w:i w:val="0"/>
                      <w:iCs w:val="0"/>
                      <w:color w:val="000000"/>
                      <w:kern w:val="0"/>
                      <w:sz w:val="21"/>
                      <w:szCs w:val="21"/>
                      <w:highlight w:val="none"/>
                      <w:u w:val="none"/>
                      <w:lang w:val="en-US" w:eastAsia="zh-CN" w:bidi="ar"/>
                    </w:rPr>
                    <w:t>1</w:t>
                  </w:r>
                </w:p>
              </w:tc>
              <w:tc>
                <w:tcPr>
                  <w:tcW w:w="1138" w:type="dxa"/>
                  <w:tcBorders>
                    <w:top w:val="nil"/>
                    <w:left w:val="single" w:color="000000" w:sz="8" w:space="0"/>
                    <w:bottom w:val="single" w:color="000000" w:sz="8" w:space="0"/>
                    <w:right w:val="single" w:color="000000" w:sz="8" w:space="0"/>
                  </w:tcBorders>
                  <w:noWrap w:val="0"/>
                  <w:vAlign w:val="center"/>
                </w:tcPr>
                <w:p w14:paraId="35452522">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highlight w:val="none"/>
                      <w:u w:val="none"/>
                      <w:lang w:val="en-US" w:eastAsia="zh-CN"/>
                    </w:rPr>
                  </w:pPr>
                  <w:r>
                    <w:rPr>
                      <w:rFonts w:hint="eastAsia" w:ascii="Times New Roman" w:hAnsi="Times New Roman" w:eastAsia="宋体" w:cs="Times New Roman"/>
                      <w:i w:val="0"/>
                      <w:iCs w:val="0"/>
                      <w:color w:val="000000"/>
                      <w:sz w:val="21"/>
                      <w:szCs w:val="21"/>
                      <w:highlight w:val="none"/>
                      <w:u w:val="none"/>
                      <w:lang w:val="en-US" w:eastAsia="zh-CN"/>
                    </w:rPr>
                    <w:t>0.9</w:t>
                  </w:r>
                  <w:r>
                    <w:rPr>
                      <w:rFonts w:hint="eastAsia" w:cs="Times New Roman"/>
                      <w:i w:val="0"/>
                      <w:iCs w:val="0"/>
                      <w:color w:val="000000"/>
                      <w:sz w:val="21"/>
                      <w:szCs w:val="21"/>
                      <w:highlight w:val="none"/>
                      <w:u w:val="none"/>
                      <w:lang w:val="en-US" w:eastAsia="zh-CN"/>
                    </w:rPr>
                    <w:t>763</w:t>
                  </w:r>
                </w:p>
              </w:tc>
            </w:tr>
            <w:tr w14:paraId="5CBC11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997" w:type="dxa"/>
                  <w:vMerge w:val="continue"/>
                  <w:tcBorders>
                    <w:left w:val="single" w:color="000000" w:sz="8" w:space="0"/>
                    <w:right w:val="single" w:color="000000" w:sz="8" w:space="0"/>
                  </w:tcBorders>
                  <w:noWrap w:val="0"/>
                  <w:vAlign w:val="center"/>
                </w:tcPr>
                <w:p w14:paraId="23EB5487">
                  <w:pPr>
                    <w:jc w:val="center"/>
                    <w:rPr>
                      <w:rFonts w:hint="default" w:ascii="Times New Roman" w:hAnsi="Times New Roman" w:eastAsia="宋体" w:cs="Times New Roman"/>
                      <w:i w:val="0"/>
                      <w:iCs w:val="0"/>
                      <w:color w:val="000000"/>
                      <w:sz w:val="21"/>
                      <w:szCs w:val="21"/>
                      <w:u w:val="none"/>
                    </w:rPr>
                  </w:pPr>
                </w:p>
              </w:tc>
              <w:tc>
                <w:tcPr>
                  <w:tcW w:w="744" w:type="dxa"/>
                  <w:vMerge w:val="continue"/>
                  <w:tcBorders>
                    <w:left w:val="single" w:color="000000" w:sz="8" w:space="0"/>
                    <w:right w:val="single" w:color="000000" w:sz="8" w:space="0"/>
                  </w:tcBorders>
                  <w:noWrap w:val="0"/>
                  <w:vAlign w:val="center"/>
                </w:tcPr>
                <w:p w14:paraId="0BD54088">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p>
              </w:tc>
              <w:tc>
                <w:tcPr>
                  <w:tcW w:w="750" w:type="dxa"/>
                  <w:tcBorders>
                    <w:top w:val="nil"/>
                    <w:left w:val="single" w:color="000000" w:sz="8" w:space="0"/>
                    <w:bottom w:val="single" w:color="000000" w:sz="8" w:space="0"/>
                    <w:right w:val="single" w:color="000000" w:sz="8" w:space="0"/>
                  </w:tcBorders>
                  <w:noWrap w:val="0"/>
                  <w:vAlign w:val="center"/>
                </w:tcPr>
                <w:p w14:paraId="0790E78D">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氨氮</w:t>
                  </w:r>
                </w:p>
              </w:tc>
              <w:tc>
                <w:tcPr>
                  <w:tcW w:w="867" w:type="dxa"/>
                  <w:tcBorders>
                    <w:top w:val="nil"/>
                    <w:left w:val="single" w:color="000000" w:sz="8" w:space="0"/>
                    <w:bottom w:val="single" w:color="000000" w:sz="8" w:space="0"/>
                    <w:right w:val="single" w:color="000000" w:sz="8" w:space="0"/>
                  </w:tcBorders>
                  <w:noWrap w:val="0"/>
                  <w:vAlign w:val="center"/>
                </w:tcPr>
                <w:p w14:paraId="314063AF">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highlight w:val="none"/>
                      <w:u w:val="none"/>
                      <w:lang w:val="en-US" w:eastAsia="zh-CN" w:bidi="ar"/>
                    </w:rPr>
                    <w:t>36.</w:t>
                  </w:r>
                  <w:r>
                    <w:rPr>
                      <w:rFonts w:hint="eastAsia" w:cs="Times New Roman"/>
                      <w:i w:val="0"/>
                      <w:iCs w:val="0"/>
                      <w:color w:val="000000"/>
                      <w:kern w:val="0"/>
                      <w:sz w:val="21"/>
                      <w:szCs w:val="21"/>
                      <w:highlight w:val="none"/>
                      <w:u w:val="none"/>
                      <w:lang w:val="en-US" w:eastAsia="zh-CN" w:bidi="ar"/>
                    </w:rPr>
                    <w:t>8</w:t>
                  </w:r>
                </w:p>
              </w:tc>
              <w:tc>
                <w:tcPr>
                  <w:tcW w:w="978" w:type="dxa"/>
                  <w:tcBorders>
                    <w:top w:val="nil"/>
                    <w:left w:val="single" w:color="000000" w:sz="8" w:space="0"/>
                    <w:bottom w:val="single" w:color="000000" w:sz="8" w:space="0"/>
                    <w:right w:val="single" w:color="000000" w:sz="8" w:space="0"/>
                  </w:tcBorders>
                  <w:noWrap w:val="0"/>
                  <w:vAlign w:val="center"/>
                </w:tcPr>
                <w:p w14:paraId="0D0FFDEA">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cs="Times New Roman"/>
                      <w:i w:val="0"/>
                      <w:iCs w:val="0"/>
                      <w:color w:val="000000"/>
                      <w:kern w:val="0"/>
                      <w:sz w:val="21"/>
                      <w:szCs w:val="21"/>
                      <w:highlight w:val="none"/>
                      <w:u w:val="none"/>
                      <w:lang w:val="en-US" w:eastAsia="zh-CN" w:bidi="ar"/>
                    </w:rPr>
                    <w:t>0.7317</w:t>
                  </w:r>
                </w:p>
              </w:tc>
              <w:tc>
                <w:tcPr>
                  <w:tcW w:w="1020" w:type="dxa"/>
                  <w:vMerge w:val="continue"/>
                  <w:tcBorders>
                    <w:left w:val="single" w:color="000000" w:sz="8" w:space="0"/>
                    <w:right w:val="single" w:color="000000" w:sz="8" w:space="0"/>
                  </w:tcBorders>
                  <w:noWrap w:val="0"/>
                  <w:vAlign w:val="center"/>
                </w:tcPr>
                <w:p w14:paraId="1DB5B20B">
                  <w:pPr>
                    <w:jc w:val="center"/>
                    <w:rPr>
                      <w:rFonts w:hint="default" w:ascii="Times New Roman" w:hAnsi="Times New Roman" w:eastAsia="宋体" w:cs="Times New Roman"/>
                      <w:i w:val="0"/>
                      <w:iCs w:val="0"/>
                      <w:color w:val="000000"/>
                      <w:sz w:val="21"/>
                      <w:szCs w:val="21"/>
                      <w:u w:val="none"/>
                    </w:rPr>
                  </w:pPr>
                </w:p>
              </w:tc>
              <w:tc>
                <w:tcPr>
                  <w:tcW w:w="1001" w:type="dxa"/>
                  <w:vMerge w:val="continue"/>
                  <w:tcBorders>
                    <w:top w:val="nil"/>
                    <w:left w:val="single" w:color="000000" w:sz="8" w:space="0"/>
                    <w:bottom w:val="single" w:color="000000" w:sz="8" w:space="0"/>
                    <w:right w:val="single" w:color="000000" w:sz="8" w:space="0"/>
                  </w:tcBorders>
                  <w:noWrap w:val="0"/>
                  <w:vAlign w:val="center"/>
                </w:tcPr>
                <w:p w14:paraId="26203E4B">
                  <w:pPr>
                    <w:jc w:val="center"/>
                    <w:rPr>
                      <w:rFonts w:hint="default" w:ascii="Times New Roman" w:hAnsi="Times New Roman" w:eastAsia="宋体" w:cs="Times New Roman"/>
                      <w:i w:val="0"/>
                      <w:iCs w:val="0"/>
                      <w:color w:val="000000"/>
                      <w:sz w:val="21"/>
                      <w:szCs w:val="21"/>
                      <w:u w:val="none"/>
                    </w:rPr>
                  </w:pPr>
                </w:p>
              </w:tc>
              <w:tc>
                <w:tcPr>
                  <w:tcW w:w="720" w:type="dxa"/>
                  <w:tcBorders>
                    <w:top w:val="nil"/>
                    <w:left w:val="single" w:color="000000" w:sz="8" w:space="0"/>
                    <w:bottom w:val="single" w:color="000000" w:sz="8" w:space="0"/>
                    <w:right w:val="single" w:color="000000" w:sz="8" w:space="0"/>
                  </w:tcBorders>
                  <w:noWrap w:val="0"/>
                  <w:vAlign w:val="center"/>
                </w:tcPr>
                <w:p w14:paraId="2271B05C">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highlight w:val="none"/>
                      <w:u w:val="none"/>
                      <w:lang w:val="en-US" w:eastAsia="zh-CN"/>
                    </w:rPr>
                  </w:pPr>
                  <w:r>
                    <w:rPr>
                      <w:rFonts w:hint="eastAsia" w:ascii="Times New Roman" w:hAnsi="Times New Roman" w:eastAsia="宋体" w:cs="Times New Roman"/>
                      <w:i w:val="0"/>
                      <w:iCs w:val="0"/>
                      <w:color w:val="000000"/>
                      <w:kern w:val="0"/>
                      <w:sz w:val="21"/>
                      <w:szCs w:val="21"/>
                      <w:highlight w:val="none"/>
                      <w:u w:val="none"/>
                      <w:lang w:val="en-US" w:eastAsia="zh-CN" w:bidi="ar"/>
                    </w:rPr>
                    <w:t>29.</w:t>
                  </w:r>
                  <w:r>
                    <w:rPr>
                      <w:rFonts w:hint="eastAsia" w:cs="Times New Roman"/>
                      <w:i w:val="0"/>
                      <w:iCs w:val="0"/>
                      <w:color w:val="000000"/>
                      <w:kern w:val="0"/>
                      <w:sz w:val="21"/>
                      <w:szCs w:val="21"/>
                      <w:highlight w:val="none"/>
                      <w:u w:val="none"/>
                      <w:lang w:val="en-US" w:eastAsia="zh-CN" w:bidi="ar"/>
                    </w:rPr>
                    <w:t>4</w:t>
                  </w:r>
                </w:p>
              </w:tc>
              <w:tc>
                <w:tcPr>
                  <w:tcW w:w="1138" w:type="dxa"/>
                  <w:tcBorders>
                    <w:top w:val="nil"/>
                    <w:left w:val="single" w:color="000000" w:sz="8" w:space="0"/>
                    <w:bottom w:val="single" w:color="000000" w:sz="8" w:space="0"/>
                    <w:right w:val="single" w:color="000000" w:sz="8" w:space="0"/>
                  </w:tcBorders>
                  <w:noWrap w:val="0"/>
                  <w:vAlign w:val="center"/>
                </w:tcPr>
                <w:p w14:paraId="5D9E1629">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highlight w:val="none"/>
                      <w:u w:val="none"/>
                      <w:lang w:val="en-US" w:eastAsia="zh-CN"/>
                    </w:rPr>
                  </w:pPr>
                  <w:r>
                    <w:rPr>
                      <w:rFonts w:hint="eastAsia" w:ascii="Times New Roman" w:hAnsi="Times New Roman" w:eastAsia="宋体" w:cs="Times New Roman"/>
                      <w:i w:val="0"/>
                      <w:iCs w:val="0"/>
                      <w:color w:val="000000"/>
                      <w:sz w:val="21"/>
                      <w:szCs w:val="21"/>
                      <w:highlight w:val="none"/>
                      <w:u w:val="none"/>
                      <w:lang w:val="en-US" w:eastAsia="zh-CN"/>
                    </w:rPr>
                    <w:t>0.5</w:t>
                  </w:r>
                  <w:r>
                    <w:rPr>
                      <w:rFonts w:hint="eastAsia" w:cs="Times New Roman"/>
                      <w:i w:val="0"/>
                      <w:iCs w:val="0"/>
                      <w:color w:val="000000"/>
                      <w:sz w:val="21"/>
                      <w:szCs w:val="21"/>
                      <w:highlight w:val="none"/>
                      <w:u w:val="none"/>
                      <w:lang w:val="en-US" w:eastAsia="zh-CN"/>
                    </w:rPr>
                    <w:t>853</w:t>
                  </w:r>
                </w:p>
              </w:tc>
            </w:tr>
            <w:tr w14:paraId="6C6C60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997" w:type="dxa"/>
                  <w:vMerge w:val="continue"/>
                  <w:tcBorders>
                    <w:left w:val="single" w:color="000000" w:sz="8" w:space="0"/>
                    <w:right w:val="single" w:color="000000" w:sz="8" w:space="0"/>
                  </w:tcBorders>
                  <w:noWrap w:val="0"/>
                  <w:vAlign w:val="center"/>
                </w:tcPr>
                <w:p w14:paraId="6C825889">
                  <w:pPr>
                    <w:jc w:val="center"/>
                    <w:rPr>
                      <w:rFonts w:hint="default" w:ascii="Times New Roman" w:hAnsi="Times New Roman" w:eastAsia="宋体" w:cs="Times New Roman"/>
                      <w:i w:val="0"/>
                      <w:iCs w:val="0"/>
                      <w:color w:val="000000"/>
                      <w:sz w:val="21"/>
                      <w:szCs w:val="21"/>
                      <w:u w:val="none"/>
                    </w:rPr>
                  </w:pPr>
                </w:p>
              </w:tc>
              <w:tc>
                <w:tcPr>
                  <w:tcW w:w="744" w:type="dxa"/>
                  <w:vMerge w:val="continue"/>
                  <w:tcBorders>
                    <w:left w:val="single" w:color="000000" w:sz="8" w:space="0"/>
                    <w:right w:val="single" w:color="000000" w:sz="8" w:space="0"/>
                  </w:tcBorders>
                  <w:noWrap w:val="0"/>
                  <w:vAlign w:val="center"/>
                </w:tcPr>
                <w:p w14:paraId="16B75D63">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p>
              </w:tc>
              <w:tc>
                <w:tcPr>
                  <w:tcW w:w="750" w:type="dxa"/>
                  <w:tcBorders>
                    <w:top w:val="nil"/>
                    <w:left w:val="single" w:color="000000" w:sz="8" w:space="0"/>
                    <w:bottom w:val="single" w:color="000000" w:sz="8" w:space="0"/>
                    <w:right w:val="single" w:color="000000" w:sz="8" w:space="0"/>
                  </w:tcBorders>
                  <w:noWrap w:val="0"/>
                  <w:vAlign w:val="center"/>
                </w:tcPr>
                <w:p w14:paraId="332485B5">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TP</w:t>
                  </w:r>
                </w:p>
              </w:tc>
              <w:tc>
                <w:tcPr>
                  <w:tcW w:w="867" w:type="dxa"/>
                  <w:tcBorders>
                    <w:top w:val="nil"/>
                    <w:left w:val="single" w:color="000000" w:sz="8" w:space="0"/>
                    <w:bottom w:val="single" w:color="000000" w:sz="8" w:space="0"/>
                    <w:right w:val="single" w:color="000000" w:sz="8" w:space="0"/>
                  </w:tcBorders>
                  <w:noWrap w:val="0"/>
                  <w:vAlign w:val="center"/>
                </w:tcPr>
                <w:p w14:paraId="63CDFBB5">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highlight w:val="none"/>
                      <w:u w:val="none"/>
                      <w:lang w:val="en-US" w:eastAsia="zh-CN" w:bidi="ar"/>
                    </w:rPr>
                    <w:t>0.</w:t>
                  </w:r>
                  <w:r>
                    <w:rPr>
                      <w:rFonts w:hint="eastAsia" w:cs="Times New Roman"/>
                      <w:i w:val="0"/>
                      <w:iCs w:val="0"/>
                      <w:color w:val="000000"/>
                      <w:kern w:val="0"/>
                      <w:sz w:val="21"/>
                      <w:szCs w:val="21"/>
                      <w:highlight w:val="none"/>
                      <w:u w:val="none"/>
                      <w:lang w:val="en-US" w:eastAsia="zh-CN" w:bidi="ar"/>
                    </w:rPr>
                    <w:t>5</w:t>
                  </w:r>
                </w:p>
              </w:tc>
              <w:tc>
                <w:tcPr>
                  <w:tcW w:w="978" w:type="dxa"/>
                  <w:tcBorders>
                    <w:top w:val="nil"/>
                    <w:left w:val="single" w:color="000000" w:sz="8" w:space="0"/>
                    <w:bottom w:val="single" w:color="000000" w:sz="8" w:space="0"/>
                    <w:right w:val="single" w:color="000000" w:sz="8" w:space="0"/>
                  </w:tcBorders>
                  <w:noWrap w:val="0"/>
                  <w:vAlign w:val="center"/>
                </w:tcPr>
                <w:p w14:paraId="5A6ED698">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highlight w:val="none"/>
                      <w:u w:val="none"/>
                      <w:lang w:val="en-US" w:eastAsia="zh-CN" w:bidi="ar"/>
                    </w:rPr>
                    <w:t>0.0105</w:t>
                  </w:r>
                </w:p>
              </w:tc>
              <w:tc>
                <w:tcPr>
                  <w:tcW w:w="1020" w:type="dxa"/>
                  <w:vMerge w:val="continue"/>
                  <w:tcBorders>
                    <w:left w:val="single" w:color="000000" w:sz="8" w:space="0"/>
                    <w:right w:val="single" w:color="000000" w:sz="8" w:space="0"/>
                  </w:tcBorders>
                  <w:noWrap w:val="0"/>
                  <w:vAlign w:val="center"/>
                </w:tcPr>
                <w:p w14:paraId="3189182B">
                  <w:pPr>
                    <w:jc w:val="center"/>
                    <w:rPr>
                      <w:rFonts w:hint="default" w:ascii="Times New Roman" w:hAnsi="Times New Roman" w:eastAsia="宋体" w:cs="Times New Roman"/>
                      <w:i w:val="0"/>
                      <w:iCs w:val="0"/>
                      <w:color w:val="000000"/>
                      <w:sz w:val="21"/>
                      <w:szCs w:val="21"/>
                      <w:u w:val="none"/>
                    </w:rPr>
                  </w:pPr>
                </w:p>
              </w:tc>
              <w:tc>
                <w:tcPr>
                  <w:tcW w:w="1001" w:type="dxa"/>
                  <w:vMerge w:val="continue"/>
                  <w:tcBorders>
                    <w:top w:val="nil"/>
                    <w:left w:val="single" w:color="000000" w:sz="8" w:space="0"/>
                    <w:bottom w:val="single" w:color="000000" w:sz="8" w:space="0"/>
                    <w:right w:val="single" w:color="000000" w:sz="8" w:space="0"/>
                  </w:tcBorders>
                  <w:noWrap w:val="0"/>
                  <w:vAlign w:val="center"/>
                </w:tcPr>
                <w:p w14:paraId="4344CD31">
                  <w:pPr>
                    <w:jc w:val="center"/>
                    <w:rPr>
                      <w:rFonts w:hint="default" w:ascii="Times New Roman" w:hAnsi="Times New Roman" w:eastAsia="宋体" w:cs="Times New Roman"/>
                      <w:i w:val="0"/>
                      <w:iCs w:val="0"/>
                      <w:color w:val="000000"/>
                      <w:sz w:val="21"/>
                      <w:szCs w:val="21"/>
                      <w:u w:val="none"/>
                    </w:rPr>
                  </w:pPr>
                </w:p>
              </w:tc>
              <w:tc>
                <w:tcPr>
                  <w:tcW w:w="720" w:type="dxa"/>
                  <w:tcBorders>
                    <w:top w:val="nil"/>
                    <w:left w:val="single" w:color="000000" w:sz="8" w:space="0"/>
                    <w:bottom w:val="single" w:color="000000" w:sz="8" w:space="0"/>
                    <w:right w:val="single" w:color="000000" w:sz="8" w:space="0"/>
                  </w:tcBorders>
                  <w:noWrap w:val="0"/>
                  <w:vAlign w:val="center"/>
                </w:tcPr>
                <w:p w14:paraId="1F1E3B13">
                  <w:pPr>
                    <w:keepNext w:val="0"/>
                    <w:keepLines w:val="0"/>
                    <w:widowControl/>
                    <w:suppressLineNumbers w:val="0"/>
                    <w:jc w:val="center"/>
                    <w:textAlignment w:val="center"/>
                    <w:rPr>
                      <w:rFonts w:hint="eastAsia" w:ascii="Times New Roman" w:hAnsi="Times New Roman" w:eastAsia="宋体" w:cs="Times New Roman"/>
                      <w:i w:val="0"/>
                      <w:iCs w:val="0"/>
                      <w:color w:val="000000"/>
                      <w:sz w:val="21"/>
                      <w:szCs w:val="21"/>
                      <w:highlight w:val="none"/>
                      <w:u w:val="none"/>
                      <w:lang w:val="en-US" w:eastAsia="zh-CN"/>
                    </w:rPr>
                  </w:pPr>
                  <w:r>
                    <w:rPr>
                      <w:rFonts w:hint="eastAsia" w:ascii="Times New Roman" w:hAnsi="Times New Roman" w:eastAsia="宋体" w:cs="Times New Roman"/>
                      <w:i w:val="0"/>
                      <w:iCs w:val="0"/>
                      <w:color w:val="000000"/>
                      <w:kern w:val="0"/>
                      <w:sz w:val="21"/>
                      <w:szCs w:val="21"/>
                      <w:highlight w:val="none"/>
                      <w:u w:val="none"/>
                      <w:lang w:val="en-US" w:eastAsia="zh-CN" w:bidi="ar"/>
                    </w:rPr>
                    <w:t>0.2</w:t>
                  </w:r>
                </w:p>
              </w:tc>
              <w:tc>
                <w:tcPr>
                  <w:tcW w:w="1138" w:type="dxa"/>
                  <w:tcBorders>
                    <w:top w:val="nil"/>
                    <w:left w:val="single" w:color="000000" w:sz="8" w:space="0"/>
                    <w:bottom w:val="single" w:color="000000" w:sz="8" w:space="0"/>
                    <w:right w:val="single" w:color="000000" w:sz="8" w:space="0"/>
                  </w:tcBorders>
                  <w:noWrap w:val="0"/>
                  <w:vAlign w:val="center"/>
                </w:tcPr>
                <w:p w14:paraId="6FE80151">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highlight w:val="none"/>
                      <w:u w:val="none"/>
                      <w:lang w:val="en-US" w:eastAsia="zh-CN"/>
                    </w:rPr>
                  </w:pPr>
                  <w:r>
                    <w:rPr>
                      <w:rFonts w:hint="eastAsia" w:ascii="Times New Roman" w:hAnsi="Times New Roman" w:eastAsia="宋体" w:cs="Times New Roman"/>
                      <w:i w:val="0"/>
                      <w:iCs w:val="0"/>
                      <w:color w:val="000000"/>
                      <w:sz w:val="21"/>
                      <w:szCs w:val="21"/>
                      <w:highlight w:val="none"/>
                      <w:u w:val="none"/>
                      <w:lang w:val="en-US" w:eastAsia="zh-CN"/>
                    </w:rPr>
                    <w:t>0.00</w:t>
                  </w:r>
                  <w:r>
                    <w:rPr>
                      <w:rFonts w:hint="eastAsia" w:cs="Times New Roman"/>
                      <w:i w:val="0"/>
                      <w:iCs w:val="0"/>
                      <w:color w:val="000000"/>
                      <w:sz w:val="21"/>
                      <w:szCs w:val="21"/>
                      <w:highlight w:val="none"/>
                      <w:u w:val="none"/>
                      <w:lang w:val="en-US" w:eastAsia="zh-CN"/>
                    </w:rPr>
                    <w:t>42</w:t>
                  </w:r>
                </w:p>
              </w:tc>
            </w:tr>
            <w:tr w14:paraId="50FD62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997" w:type="dxa"/>
                  <w:vMerge w:val="continue"/>
                  <w:tcBorders>
                    <w:left w:val="single" w:color="000000" w:sz="8" w:space="0"/>
                    <w:right w:val="single" w:color="000000" w:sz="8" w:space="0"/>
                  </w:tcBorders>
                  <w:noWrap w:val="0"/>
                  <w:vAlign w:val="center"/>
                </w:tcPr>
                <w:p w14:paraId="7905EA47">
                  <w:pPr>
                    <w:jc w:val="center"/>
                    <w:rPr>
                      <w:rFonts w:hint="default" w:ascii="Times New Roman" w:hAnsi="Times New Roman" w:eastAsia="宋体" w:cs="Times New Roman"/>
                      <w:i w:val="0"/>
                      <w:iCs w:val="0"/>
                      <w:color w:val="000000"/>
                      <w:sz w:val="21"/>
                      <w:szCs w:val="21"/>
                      <w:u w:val="none"/>
                    </w:rPr>
                  </w:pPr>
                </w:p>
              </w:tc>
              <w:tc>
                <w:tcPr>
                  <w:tcW w:w="744" w:type="dxa"/>
                  <w:vMerge w:val="continue"/>
                  <w:tcBorders>
                    <w:left w:val="single" w:color="000000" w:sz="8" w:space="0"/>
                    <w:right w:val="single" w:color="000000" w:sz="8" w:space="0"/>
                  </w:tcBorders>
                  <w:noWrap w:val="0"/>
                  <w:vAlign w:val="center"/>
                </w:tcPr>
                <w:p w14:paraId="621B98A9">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p>
              </w:tc>
              <w:tc>
                <w:tcPr>
                  <w:tcW w:w="750" w:type="dxa"/>
                  <w:tcBorders>
                    <w:top w:val="nil"/>
                    <w:left w:val="single" w:color="000000" w:sz="8" w:space="0"/>
                    <w:bottom w:val="single" w:color="auto" w:sz="4" w:space="0"/>
                    <w:right w:val="single" w:color="000000" w:sz="8" w:space="0"/>
                  </w:tcBorders>
                  <w:noWrap w:val="0"/>
                  <w:vAlign w:val="center"/>
                </w:tcPr>
                <w:p w14:paraId="1AC5ECC6">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highlight w:val="none"/>
                      <w:u w:val="none"/>
                      <w:lang w:val="en-US" w:eastAsia="zh-CN" w:bidi="ar"/>
                    </w:rPr>
                    <w:t>粪大肠菌群</w:t>
                  </w:r>
                </w:p>
              </w:tc>
              <w:tc>
                <w:tcPr>
                  <w:tcW w:w="867" w:type="dxa"/>
                  <w:tcBorders>
                    <w:top w:val="nil"/>
                    <w:left w:val="single" w:color="000000" w:sz="8" w:space="0"/>
                    <w:bottom w:val="single" w:color="auto" w:sz="4" w:space="0"/>
                    <w:right w:val="single" w:color="000000" w:sz="8" w:space="0"/>
                  </w:tcBorders>
                  <w:noWrap w:val="0"/>
                  <w:vAlign w:val="center"/>
                </w:tcPr>
                <w:p w14:paraId="476D61B0">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highlight w:val="none"/>
                      <w:u w:val="none"/>
                      <w:lang w:val="en-US" w:eastAsia="zh-CN" w:bidi="ar"/>
                    </w:rPr>
                    <w:t>6400</w:t>
                  </w:r>
                </w:p>
              </w:tc>
              <w:tc>
                <w:tcPr>
                  <w:tcW w:w="978" w:type="dxa"/>
                  <w:tcBorders>
                    <w:top w:val="nil"/>
                    <w:left w:val="single" w:color="000000" w:sz="8" w:space="0"/>
                    <w:bottom w:val="single" w:color="auto" w:sz="4" w:space="0"/>
                    <w:right w:val="single" w:color="000000" w:sz="8" w:space="0"/>
                  </w:tcBorders>
                  <w:noWrap w:val="0"/>
                  <w:vAlign w:val="center"/>
                </w:tcPr>
                <w:p w14:paraId="02208EC5">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ascii="Times New Roman" w:hAnsi="Times New Roman" w:eastAsia="宋体" w:cs="Times New Roman"/>
                      <w:i w:val="0"/>
                      <w:iCs w:val="0"/>
                      <w:color w:val="000000"/>
                      <w:kern w:val="0"/>
                      <w:sz w:val="21"/>
                      <w:szCs w:val="21"/>
                      <w:highlight w:val="none"/>
                      <w:u w:val="none"/>
                      <w:lang w:val="en-US" w:eastAsia="zh-CN" w:bidi="ar"/>
                    </w:rPr>
                    <w:t>/</w:t>
                  </w:r>
                </w:p>
              </w:tc>
              <w:tc>
                <w:tcPr>
                  <w:tcW w:w="1020" w:type="dxa"/>
                  <w:vMerge w:val="continue"/>
                  <w:tcBorders>
                    <w:left w:val="single" w:color="000000" w:sz="8" w:space="0"/>
                    <w:bottom w:val="single" w:color="auto" w:sz="4" w:space="0"/>
                    <w:right w:val="single" w:color="000000" w:sz="8" w:space="0"/>
                  </w:tcBorders>
                  <w:noWrap w:val="0"/>
                  <w:vAlign w:val="center"/>
                </w:tcPr>
                <w:p w14:paraId="197C72F5">
                  <w:pPr>
                    <w:jc w:val="center"/>
                    <w:rPr>
                      <w:rFonts w:hint="default" w:ascii="Times New Roman" w:hAnsi="Times New Roman" w:eastAsia="宋体" w:cs="Times New Roman"/>
                      <w:i w:val="0"/>
                      <w:iCs w:val="0"/>
                      <w:color w:val="000000"/>
                      <w:sz w:val="21"/>
                      <w:szCs w:val="21"/>
                      <w:u w:val="none"/>
                    </w:rPr>
                  </w:pPr>
                </w:p>
              </w:tc>
              <w:tc>
                <w:tcPr>
                  <w:tcW w:w="1001" w:type="dxa"/>
                  <w:vMerge w:val="continue"/>
                  <w:tcBorders>
                    <w:top w:val="nil"/>
                    <w:left w:val="single" w:color="000000" w:sz="8" w:space="0"/>
                    <w:bottom w:val="single" w:color="auto" w:sz="4" w:space="0"/>
                    <w:right w:val="single" w:color="000000" w:sz="8" w:space="0"/>
                  </w:tcBorders>
                  <w:noWrap w:val="0"/>
                  <w:vAlign w:val="center"/>
                </w:tcPr>
                <w:p w14:paraId="2D770B8A">
                  <w:pPr>
                    <w:jc w:val="center"/>
                    <w:rPr>
                      <w:rFonts w:hint="default" w:ascii="Times New Roman" w:hAnsi="Times New Roman" w:eastAsia="宋体" w:cs="Times New Roman"/>
                      <w:i w:val="0"/>
                      <w:iCs w:val="0"/>
                      <w:color w:val="000000"/>
                      <w:sz w:val="21"/>
                      <w:szCs w:val="21"/>
                      <w:u w:val="none"/>
                    </w:rPr>
                  </w:pPr>
                </w:p>
              </w:tc>
              <w:tc>
                <w:tcPr>
                  <w:tcW w:w="720" w:type="dxa"/>
                  <w:tcBorders>
                    <w:top w:val="nil"/>
                    <w:left w:val="single" w:color="000000" w:sz="8" w:space="0"/>
                    <w:bottom w:val="single" w:color="auto" w:sz="4" w:space="0"/>
                    <w:right w:val="single" w:color="000000" w:sz="8" w:space="0"/>
                  </w:tcBorders>
                  <w:noWrap w:val="0"/>
                  <w:vAlign w:val="center"/>
                </w:tcPr>
                <w:p w14:paraId="33EBEB64">
                  <w:pPr>
                    <w:keepNext w:val="0"/>
                    <w:keepLines w:val="0"/>
                    <w:widowControl/>
                    <w:suppressLineNumbers w:val="0"/>
                    <w:jc w:val="center"/>
                    <w:textAlignment w:val="center"/>
                    <w:rPr>
                      <w:rFonts w:hint="default" w:ascii="Times New Roman" w:hAnsi="Times New Roman" w:eastAsia="宋体" w:cs="Times New Roman"/>
                      <w:i w:val="0"/>
                      <w:iCs w:val="0"/>
                      <w:color w:val="000000"/>
                      <w:sz w:val="21"/>
                      <w:szCs w:val="21"/>
                      <w:highlight w:val="none"/>
                      <w:u w:val="none"/>
                      <w:lang w:val="en-US" w:eastAsia="zh-CN"/>
                    </w:rPr>
                  </w:pPr>
                  <w:r>
                    <w:rPr>
                      <w:rFonts w:hint="eastAsia" w:ascii="Times New Roman" w:hAnsi="Times New Roman" w:eastAsia="宋体" w:cs="Times New Roman"/>
                      <w:i w:val="0"/>
                      <w:iCs w:val="0"/>
                      <w:color w:val="000000"/>
                      <w:kern w:val="0"/>
                      <w:sz w:val="21"/>
                      <w:szCs w:val="21"/>
                      <w:highlight w:val="none"/>
                      <w:u w:val="none"/>
                      <w:lang w:val="en-US" w:eastAsia="zh-CN" w:bidi="ar"/>
                    </w:rPr>
                    <w:t>1216</w:t>
                  </w:r>
                </w:p>
              </w:tc>
              <w:tc>
                <w:tcPr>
                  <w:tcW w:w="1138" w:type="dxa"/>
                  <w:tcBorders>
                    <w:top w:val="nil"/>
                    <w:left w:val="single" w:color="000000" w:sz="8" w:space="0"/>
                    <w:bottom w:val="single" w:color="auto" w:sz="4" w:space="0"/>
                    <w:right w:val="single" w:color="000000" w:sz="8" w:space="0"/>
                  </w:tcBorders>
                  <w:noWrap w:val="0"/>
                  <w:vAlign w:val="center"/>
                </w:tcPr>
                <w:p w14:paraId="7BD77664">
                  <w:pPr>
                    <w:keepNext w:val="0"/>
                    <w:keepLines w:val="0"/>
                    <w:widowControl/>
                    <w:suppressLineNumbers w:val="0"/>
                    <w:jc w:val="center"/>
                    <w:textAlignment w:val="center"/>
                    <w:rPr>
                      <w:rFonts w:hint="eastAsia" w:ascii="Times New Roman" w:hAnsi="Times New Roman" w:eastAsia="宋体" w:cs="Times New Roman"/>
                      <w:i w:val="0"/>
                      <w:iCs w:val="0"/>
                      <w:color w:val="000000"/>
                      <w:sz w:val="21"/>
                      <w:szCs w:val="21"/>
                      <w:highlight w:val="none"/>
                      <w:u w:val="none"/>
                      <w:lang w:val="en-US" w:eastAsia="zh-CN"/>
                    </w:rPr>
                  </w:pPr>
                  <w:r>
                    <w:rPr>
                      <w:rFonts w:hint="eastAsia" w:ascii="Times New Roman" w:hAnsi="Times New Roman" w:eastAsia="宋体" w:cs="Times New Roman"/>
                      <w:i w:val="0"/>
                      <w:iCs w:val="0"/>
                      <w:color w:val="000000"/>
                      <w:kern w:val="0"/>
                      <w:sz w:val="22"/>
                      <w:szCs w:val="22"/>
                      <w:highlight w:val="none"/>
                      <w:u w:val="none"/>
                      <w:lang w:val="en-US" w:eastAsia="zh-CN" w:bidi="ar"/>
                    </w:rPr>
                    <w:t>/</w:t>
                  </w:r>
                </w:p>
              </w:tc>
            </w:tr>
            <w:tr w14:paraId="56E477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997" w:type="dxa"/>
                  <w:vMerge w:val="continue"/>
                  <w:tcBorders>
                    <w:left w:val="single" w:color="000000" w:sz="8" w:space="0"/>
                    <w:bottom w:val="single" w:color="000000" w:sz="8" w:space="0"/>
                    <w:right w:val="single" w:color="000000" w:sz="8" w:space="0"/>
                  </w:tcBorders>
                  <w:noWrap w:val="0"/>
                  <w:vAlign w:val="center"/>
                </w:tcPr>
                <w:p w14:paraId="24193C73">
                  <w:pPr>
                    <w:jc w:val="center"/>
                    <w:rPr>
                      <w:rFonts w:hint="default" w:ascii="Times New Roman" w:hAnsi="Times New Roman" w:eastAsia="宋体" w:cs="Times New Roman"/>
                      <w:i w:val="0"/>
                      <w:iCs w:val="0"/>
                      <w:color w:val="000000"/>
                      <w:sz w:val="21"/>
                      <w:szCs w:val="21"/>
                      <w:u w:val="none"/>
                    </w:rPr>
                  </w:pPr>
                </w:p>
              </w:tc>
              <w:tc>
                <w:tcPr>
                  <w:tcW w:w="744" w:type="dxa"/>
                  <w:vMerge w:val="continue"/>
                  <w:tcBorders>
                    <w:top w:val="single" w:color="auto" w:sz="4" w:space="0"/>
                    <w:left w:val="single" w:color="000000" w:sz="8" w:space="0"/>
                    <w:bottom w:val="single" w:color="auto" w:sz="4" w:space="0"/>
                    <w:right w:val="single" w:color="auto" w:sz="4" w:space="0"/>
                  </w:tcBorders>
                  <w:noWrap w:val="0"/>
                  <w:vAlign w:val="center"/>
                </w:tcPr>
                <w:p w14:paraId="6212EAE4">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p>
              </w:tc>
              <w:tc>
                <w:tcPr>
                  <w:tcW w:w="750" w:type="dxa"/>
                  <w:tcBorders>
                    <w:top w:val="single" w:color="auto" w:sz="4" w:space="0"/>
                    <w:left w:val="single" w:color="auto" w:sz="4" w:space="0"/>
                    <w:bottom w:val="single" w:color="auto" w:sz="4" w:space="0"/>
                    <w:right w:val="single" w:color="auto" w:sz="4" w:space="0"/>
                  </w:tcBorders>
                  <w:noWrap w:val="0"/>
                  <w:vAlign w:val="center"/>
                </w:tcPr>
                <w:p w14:paraId="6743A426">
                  <w:pPr>
                    <w:adjustRightInd w:val="0"/>
                    <w:snapToGrid w:val="0"/>
                    <w:ind w:firstLine="0" w:firstLineChars="0"/>
                    <w:jc w:val="center"/>
                    <w:rPr>
                      <w:rFonts w:hint="default" w:ascii="Times New Roman" w:hAnsi="Times New Roman" w:eastAsia="宋体" w:cs="Times New Roman"/>
                      <w:i w:val="0"/>
                      <w:iCs w:val="0"/>
                      <w:color w:val="000000"/>
                      <w:kern w:val="0"/>
                      <w:sz w:val="21"/>
                      <w:szCs w:val="21"/>
                      <w:highlight w:val="none"/>
                      <w:u w:val="none"/>
                      <w:lang w:val="en-US" w:eastAsia="zh-CN" w:bidi="ar"/>
                    </w:rPr>
                  </w:pPr>
                  <w:r>
                    <w:rPr>
                      <w:rFonts w:hint="eastAsia" w:cs="Times New Roman"/>
                      <w:color w:val="000000"/>
                      <w:lang w:val="en-US" w:eastAsia="zh-CN"/>
                    </w:rPr>
                    <w:t>总余氯</w:t>
                  </w:r>
                </w:p>
              </w:tc>
              <w:tc>
                <w:tcPr>
                  <w:tcW w:w="867" w:type="dxa"/>
                  <w:tcBorders>
                    <w:top w:val="single" w:color="auto" w:sz="4" w:space="0"/>
                    <w:left w:val="single" w:color="auto" w:sz="4" w:space="0"/>
                    <w:bottom w:val="single" w:color="auto" w:sz="4" w:space="0"/>
                    <w:right w:val="single" w:color="auto" w:sz="4" w:space="0"/>
                  </w:tcBorders>
                  <w:noWrap w:val="0"/>
                  <w:vAlign w:val="center"/>
                </w:tcPr>
                <w:p w14:paraId="7BB1E2E4">
                  <w:pPr>
                    <w:adjustRightInd w:val="0"/>
                    <w:snapToGrid w:val="0"/>
                    <w:ind w:firstLine="0" w:firstLineChars="0"/>
                    <w:jc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cs="Times New Roman"/>
                      <w:color w:val="000000"/>
                      <w:kern w:val="0"/>
                      <w:highlight w:val="none"/>
                      <w:lang w:val="en-US" w:eastAsia="zh-CN" w:bidi="ar"/>
                    </w:rPr>
                    <w:t>/</w:t>
                  </w:r>
                </w:p>
              </w:tc>
              <w:tc>
                <w:tcPr>
                  <w:tcW w:w="978" w:type="dxa"/>
                  <w:tcBorders>
                    <w:top w:val="single" w:color="auto" w:sz="4" w:space="0"/>
                    <w:left w:val="single" w:color="auto" w:sz="4" w:space="0"/>
                    <w:bottom w:val="single" w:color="auto" w:sz="4" w:space="0"/>
                    <w:right w:val="single" w:color="auto" w:sz="4" w:space="0"/>
                  </w:tcBorders>
                  <w:noWrap w:val="0"/>
                  <w:vAlign w:val="center"/>
                </w:tcPr>
                <w:p w14:paraId="4B020290">
                  <w:pPr>
                    <w:adjustRightInd w:val="0"/>
                    <w:snapToGrid w:val="0"/>
                    <w:ind w:firstLine="0" w:firstLineChars="0"/>
                    <w:jc w:val="center"/>
                    <w:rPr>
                      <w:rFonts w:hint="default" w:ascii="Times New Roman" w:hAnsi="Times New Roman" w:eastAsia="宋体" w:cs="Times New Roman"/>
                      <w:i w:val="0"/>
                      <w:iCs w:val="0"/>
                      <w:color w:val="000000"/>
                      <w:kern w:val="0"/>
                      <w:sz w:val="21"/>
                      <w:szCs w:val="21"/>
                      <w:u w:val="none"/>
                      <w:lang w:val="en-US" w:eastAsia="zh-CN" w:bidi="ar"/>
                    </w:rPr>
                  </w:pPr>
                  <w:r>
                    <w:rPr>
                      <w:rFonts w:hint="eastAsia" w:cs="Times New Roman"/>
                      <w:color w:val="000000"/>
                      <w:highlight w:val="none"/>
                      <w:lang w:val="en-US" w:eastAsia="zh-CN"/>
                    </w:rPr>
                    <w:t>/</w:t>
                  </w:r>
                </w:p>
              </w:tc>
              <w:tc>
                <w:tcPr>
                  <w:tcW w:w="1020" w:type="dxa"/>
                  <w:vMerge w:val="continue"/>
                  <w:tcBorders>
                    <w:top w:val="single" w:color="auto" w:sz="4" w:space="0"/>
                    <w:left w:val="single" w:color="auto" w:sz="4" w:space="0"/>
                    <w:bottom w:val="single" w:color="auto" w:sz="4" w:space="0"/>
                    <w:right w:val="single" w:color="auto" w:sz="4" w:space="0"/>
                  </w:tcBorders>
                  <w:noWrap w:val="0"/>
                  <w:vAlign w:val="center"/>
                </w:tcPr>
                <w:p w14:paraId="716E1F2D">
                  <w:pPr>
                    <w:adjustRightInd w:val="0"/>
                    <w:snapToGrid w:val="0"/>
                    <w:ind w:firstLine="0" w:firstLineChars="0"/>
                    <w:jc w:val="center"/>
                    <w:rPr>
                      <w:rFonts w:hint="default" w:ascii="Times New Roman" w:hAnsi="Times New Roman" w:eastAsia="宋体" w:cs="Times New Roman"/>
                      <w:i w:val="0"/>
                      <w:iCs w:val="0"/>
                      <w:color w:val="000000"/>
                      <w:sz w:val="21"/>
                      <w:szCs w:val="21"/>
                      <w:u w:val="none"/>
                    </w:rPr>
                  </w:pPr>
                </w:p>
              </w:tc>
              <w:tc>
                <w:tcPr>
                  <w:tcW w:w="1001" w:type="dxa"/>
                  <w:vMerge w:val="continue"/>
                  <w:tcBorders>
                    <w:top w:val="single" w:color="auto" w:sz="4" w:space="0"/>
                    <w:left w:val="single" w:color="000000" w:sz="8" w:space="0"/>
                    <w:bottom w:val="single" w:color="auto" w:sz="4" w:space="0"/>
                    <w:right w:val="single" w:color="000000" w:sz="8" w:space="0"/>
                  </w:tcBorders>
                  <w:noWrap w:val="0"/>
                  <w:vAlign w:val="center"/>
                </w:tcPr>
                <w:p w14:paraId="59156622">
                  <w:pPr>
                    <w:jc w:val="center"/>
                    <w:rPr>
                      <w:rFonts w:hint="default" w:ascii="Times New Roman" w:hAnsi="Times New Roman" w:eastAsia="宋体" w:cs="Times New Roman"/>
                      <w:i w:val="0"/>
                      <w:iCs w:val="0"/>
                      <w:color w:val="000000"/>
                      <w:sz w:val="21"/>
                      <w:szCs w:val="21"/>
                      <w:u w:val="none"/>
                    </w:rPr>
                  </w:pPr>
                </w:p>
              </w:tc>
              <w:tc>
                <w:tcPr>
                  <w:tcW w:w="720" w:type="dxa"/>
                  <w:tcBorders>
                    <w:top w:val="single" w:color="auto" w:sz="4" w:space="0"/>
                    <w:left w:val="single" w:color="auto" w:sz="4" w:space="0"/>
                    <w:bottom w:val="single" w:color="auto" w:sz="4" w:space="0"/>
                    <w:right w:val="single" w:color="auto" w:sz="4" w:space="0"/>
                  </w:tcBorders>
                  <w:noWrap w:val="0"/>
                  <w:vAlign w:val="center"/>
                </w:tcPr>
                <w:p w14:paraId="66E1BE47">
                  <w:pPr>
                    <w:adjustRightInd w:val="0"/>
                    <w:snapToGrid w:val="0"/>
                    <w:ind w:firstLine="0" w:firstLineChars="0"/>
                    <w:jc w:val="center"/>
                    <w:rPr>
                      <w:rFonts w:hint="default" w:ascii="Times New Roman" w:hAnsi="Times New Roman" w:eastAsia="宋体" w:cs="Times New Roman"/>
                      <w:i w:val="0"/>
                      <w:iCs w:val="0"/>
                      <w:color w:val="000000"/>
                      <w:sz w:val="21"/>
                      <w:szCs w:val="21"/>
                      <w:highlight w:val="none"/>
                      <w:u w:val="none"/>
                      <w:lang w:val="en-US" w:eastAsia="zh-CN"/>
                    </w:rPr>
                  </w:pPr>
                  <w:r>
                    <w:rPr>
                      <w:rFonts w:hint="eastAsia" w:cs="Times New Roman"/>
                      <w:color w:val="000000"/>
                      <w:highlight w:val="none"/>
                      <w:lang w:val="en-US" w:eastAsia="zh-CN"/>
                    </w:rPr>
                    <w:t>5</w:t>
                  </w:r>
                </w:p>
              </w:tc>
              <w:tc>
                <w:tcPr>
                  <w:tcW w:w="1138" w:type="dxa"/>
                  <w:tcBorders>
                    <w:top w:val="single" w:color="auto" w:sz="4" w:space="0"/>
                    <w:left w:val="single" w:color="auto" w:sz="4" w:space="0"/>
                    <w:bottom w:val="single" w:color="auto" w:sz="4" w:space="0"/>
                    <w:right w:val="single" w:color="auto" w:sz="4" w:space="0"/>
                  </w:tcBorders>
                  <w:noWrap w:val="0"/>
                  <w:vAlign w:val="center"/>
                </w:tcPr>
                <w:p w14:paraId="640045D8">
                  <w:pPr>
                    <w:adjustRightInd w:val="0"/>
                    <w:snapToGrid w:val="0"/>
                    <w:ind w:firstLine="0" w:firstLineChars="0"/>
                    <w:jc w:val="center"/>
                    <w:rPr>
                      <w:rFonts w:hint="default" w:ascii="Times New Roman" w:hAnsi="Times New Roman" w:eastAsia="宋体" w:cs="Times New Roman"/>
                      <w:i w:val="0"/>
                      <w:iCs w:val="0"/>
                      <w:color w:val="000000"/>
                      <w:sz w:val="21"/>
                      <w:szCs w:val="21"/>
                      <w:highlight w:val="none"/>
                      <w:u w:val="none"/>
                      <w:lang w:val="en-US" w:eastAsia="zh-CN"/>
                    </w:rPr>
                  </w:pPr>
                  <w:r>
                    <w:rPr>
                      <w:rFonts w:hint="eastAsia" w:cs="Times New Roman"/>
                      <w:color w:val="000000"/>
                      <w:highlight w:val="none"/>
                      <w:lang w:val="en-US" w:eastAsia="zh-CN"/>
                    </w:rPr>
                    <w:t>0.0995</w:t>
                  </w:r>
                </w:p>
              </w:tc>
            </w:tr>
            <w:tr w14:paraId="1FF639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997" w:type="dxa"/>
                  <w:vMerge w:val="continue"/>
                  <w:tcBorders>
                    <w:left w:val="single" w:color="000000" w:sz="8" w:space="0"/>
                    <w:bottom w:val="single" w:color="000000" w:sz="8" w:space="0"/>
                    <w:right w:val="single" w:color="000000" w:sz="8" w:space="0"/>
                  </w:tcBorders>
                  <w:noWrap w:val="0"/>
                  <w:vAlign w:val="center"/>
                </w:tcPr>
                <w:p w14:paraId="50252893">
                  <w:pPr>
                    <w:jc w:val="center"/>
                    <w:rPr>
                      <w:rFonts w:hint="default" w:ascii="Times New Roman" w:hAnsi="Times New Roman" w:eastAsia="宋体" w:cs="Times New Roman"/>
                      <w:i w:val="0"/>
                      <w:iCs w:val="0"/>
                      <w:color w:val="000000"/>
                      <w:sz w:val="21"/>
                      <w:szCs w:val="21"/>
                      <w:u w:val="none"/>
                    </w:rPr>
                  </w:pPr>
                </w:p>
              </w:tc>
              <w:tc>
                <w:tcPr>
                  <w:tcW w:w="744" w:type="dxa"/>
                  <w:vMerge w:val="continue"/>
                  <w:tcBorders>
                    <w:left w:val="single" w:color="000000" w:sz="8" w:space="0"/>
                    <w:bottom w:val="single" w:color="auto" w:sz="4" w:space="0"/>
                    <w:right w:val="single" w:color="auto" w:sz="4" w:space="0"/>
                  </w:tcBorders>
                  <w:noWrap w:val="0"/>
                  <w:vAlign w:val="center"/>
                </w:tcPr>
                <w:p w14:paraId="0CEB1E8C">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p>
              </w:tc>
              <w:tc>
                <w:tcPr>
                  <w:tcW w:w="750" w:type="dxa"/>
                  <w:tcBorders>
                    <w:top w:val="single" w:color="auto" w:sz="4" w:space="0"/>
                    <w:left w:val="single" w:color="auto" w:sz="4" w:space="0"/>
                    <w:bottom w:val="single" w:color="auto" w:sz="4" w:space="0"/>
                    <w:right w:val="single" w:color="auto" w:sz="4" w:space="0"/>
                  </w:tcBorders>
                  <w:noWrap w:val="0"/>
                  <w:vAlign w:val="center"/>
                </w:tcPr>
                <w:p w14:paraId="0951218D">
                  <w:pPr>
                    <w:adjustRightInd w:val="0"/>
                    <w:snapToGrid w:val="0"/>
                    <w:ind w:firstLine="0" w:firstLineChars="0"/>
                    <w:jc w:val="center"/>
                    <w:rPr>
                      <w:rFonts w:hint="default" w:cs="Times New Roman"/>
                      <w:color w:val="000000"/>
                      <w:lang w:val="en-US" w:eastAsia="zh-CN"/>
                    </w:rPr>
                  </w:pPr>
                  <w:r>
                    <w:rPr>
                      <w:rFonts w:hint="eastAsia" w:cs="Times New Roman"/>
                      <w:color w:val="000000"/>
                      <w:lang w:val="en-US" w:eastAsia="zh-CN"/>
                    </w:rPr>
                    <w:t>PH</w:t>
                  </w:r>
                </w:p>
              </w:tc>
              <w:tc>
                <w:tcPr>
                  <w:tcW w:w="867" w:type="dxa"/>
                  <w:tcBorders>
                    <w:top w:val="single" w:color="auto" w:sz="4" w:space="0"/>
                    <w:left w:val="single" w:color="auto" w:sz="4" w:space="0"/>
                    <w:bottom w:val="single" w:color="auto" w:sz="4" w:space="0"/>
                    <w:right w:val="single" w:color="auto" w:sz="4" w:space="0"/>
                  </w:tcBorders>
                  <w:noWrap w:val="0"/>
                  <w:vAlign w:val="center"/>
                </w:tcPr>
                <w:p w14:paraId="7D293706">
                  <w:pPr>
                    <w:adjustRightInd w:val="0"/>
                    <w:snapToGrid w:val="0"/>
                    <w:ind w:firstLine="0" w:firstLineChars="0"/>
                    <w:jc w:val="center"/>
                    <w:rPr>
                      <w:rFonts w:hint="default" w:cs="Times New Roman"/>
                      <w:color w:val="000000"/>
                      <w:kern w:val="0"/>
                      <w:highlight w:val="none"/>
                      <w:lang w:val="en-US" w:eastAsia="zh-CN" w:bidi="ar"/>
                    </w:rPr>
                  </w:pPr>
                  <w:r>
                    <w:rPr>
                      <w:rFonts w:hint="eastAsia" w:cs="Times New Roman"/>
                      <w:color w:val="000000"/>
                      <w:kern w:val="0"/>
                      <w:highlight w:val="none"/>
                      <w:lang w:val="en-US" w:eastAsia="zh-CN" w:bidi="ar"/>
                    </w:rPr>
                    <w:t>5~6</w:t>
                  </w:r>
                </w:p>
              </w:tc>
              <w:tc>
                <w:tcPr>
                  <w:tcW w:w="978" w:type="dxa"/>
                  <w:tcBorders>
                    <w:top w:val="single" w:color="auto" w:sz="4" w:space="0"/>
                    <w:left w:val="single" w:color="auto" w:sz="4" w:space="0"/>
                    <w:bottom w:val="single" w:color="auto" w:sz="4" w:space="0"/>
                    <w:right w:val="single" w:color="auto" w:sz="4" w:space="0"/>
                  </w:tcBorders>
                  <w:noWrap w:val="0"/>
                  <w:vAlign w:val="center"/>
                </w:tcPr>
                <w:p w14:paraId="4DB61D8C">
                  <w:pPr>
                    <w:adjustRightInd w:val="0"/>
                    <w:snapToGrid w:val="0"/>
                    <w:ind w:firstLine="0" w:firstLineChars="0"/>
                    <w:jc w:val="center"/>
                    <w:rPr>
                      <w:rFonts w:hint="default" w:cs="Times New Roman"/>
                      <w:color w:val="000000"/>
                      <w:highlight w:val="none"/>
                      <w:lang w:val="en-US" w:eastAsia="zh-CN"/>
                    </w:rPr>
                  </w:pPr>
                  <w:r>
                    <w:rPr>
                      <w:rFonts w:hint="eastAsia" w:cs="Times New Roman"/>
                      <w:color w:val="000000"/>
                      <w:highlight w:val="none"/>
                      <w:lang w:val="en-US" w:eastAsia="zh-CN"/>
                    </w:rPr>
                    <w:t>/</w:t>
                  </w:r>
                </w:p>
              </w:tc>
              <w:tc>
                <w:tcPr>
                  <w:tcW w:w="1020" w:type="dxa"/>
                  <w:vMerge w:val="continue"/>
                  <w:tcBorders>
                    <w:top w:val="single" w:color="auto" w:sz="4" w:space="0"/>
                    <w:left w:val="single" w:color="auto" w:sz="4" w:space="0"/>
                    <w:bottom w:val="single" w:color="auto" w:sz="4" w:space="0"/>
                    <w:right w:val="single" w:color="auto" w:sz="4" w:space="0"/>
                  </w:tcBorders>
                  <w:noWrap w:val="0"/>
                  <w:vAlign w:val="center"/>
                </w:tcPr>
                <w:p w14:paraId="409A6B64">
                  <w:pPr>
                    <w:adjustRightInd w:val="0"/>
                    <w:snapToGrid w:val="0"/>
                    <w:ind w:firstLine="0" w:firstLineChars="0"/>
                    <w:jc w:val="center"/>
                    <w:rPr>
                      <w:rFonts w:hint="default" w:ascii="Times New Roman" w:hAnsi="Times New Roman" w:eastAsia="宋体" w:cs="Times New Roman"/>
                      <w:i w:val="0"/>
                      <w:iCs w:val="0"/>
                      <w:color w:val="000000"/>
                      <w:sz w:val="21"/>
                      <w:szCs w:val="21"/>
                      <w:u w:val="none"/>
                    </w:rPr>
                  </w:pPr>
                </w:p>
              </w:tc>
              <w:tc>
                <w:tcPr>
                  <w:tcW w:w="1001" w:type="dxa"/>
                  <w:vMerge w:val="continue"/>
                  <w:tcBorders>
                    <w:top w:val="single" w:color="auto" w:sz="4" w:space="0"/>
                    <w:left w:val="single" w:color="000000" w:sz="8" w:space="0"/>
                    <w:bottom w:val="single" w:color="auto" w:sz="4" w:space="0"/>
                    <w:right w:val="single" w:color="000000" w:sz="8" w:space="0"/>
                  </w:tcBorders>
                  <w:noWrap w:val="0"/>
                  <w:vAlign w:val="center"/>
                </w:tcPr>
                <w:p w14:paraId="2A4A70F9">
                  <w:pPr>
                    <w:jc w:val="center"/>
                    <w:rPr>
                      <w:rFonts w:hint="default" w:ascii="Times New Roman" w:hAnsi="Times New Roman" w:eastAsia="宋体" w:cs="Times New Roman"/>
                      <w:i w:val="0"/>
                      <w:iCs w:val="0"/>
                      <w:color w:val="000000"/>
                      <w:sz w:val="21"/>
                      <w:szCs w:val="21"/>
                      <w:u w:val="none"/>
                    </w:rPr>
                  </w:pPr>
                </w:p>
              </w:tc>
              <w:tc>
                <w:tcPr>
                  <w:tcW w:w="720" w:type="dxa"/>
                  <w:tcBorders>
                    <w:top w:val="single" w:color="auto" w:sz="4" w:space="0"/>
                    <w:left w:val="single" w:color="auto" w:sz="4" w:space="0"/>
                    <w:bottom w:val="single" w:color="auto" w:sz="4" w:space="0"/>
                    <w:right w:val="single" w:color="auto" w:sz="4" w:space="0"/>
                  </w:tcBorders>
                  <w:noWrap w:val="0"/>
                  <w:vAlign w:val="center"/>
                </w:tcPr>
                <w:p w14:paraId="39F2AC68">
                  <w:pPr>
                    <w:adjustRightInd w:val="0"/>
                    <w:snapToGrid w:val="0"/>
                    <w:ind w:firstLine="0" w:firstLineChars="0"/>
                    <w:jc w:val="center"/>
                    <w:rPr>
                      <w:rFonts w:hint="default" w:cs="Times New Roman"/>
                      <w:color w:val="000000"/>
                      <w:highlight w:val="none"/>
                      <w:lang w:val="en-US" w:eastAsia="zh-CN"/>
                    </w:rPr>
                  </w:pPr>
                  <w:r>
                    <w:rPr>
                      <w:rFonts w:hint="eastAsia" w:cs="Times New Roman"/>
                      <w:color w:val="000000"/>
                      <w:highlight w:val="none"/>
                      <w:lang w:val="en-US" w:eastAsia="zh-CN"/>
                    </w:rPr>
                    <w:t>6~9</w:t>
                  </w:r>
                </w:p>
              </w:tc>
              <w:tc>
                <w:tcPr>
                  <w:tcW w:w="1138" w:type="dxa"/>
                  <w:tcBorders>
                    <w:top w:val="single" w:color="auto" w:sz="4" w:space="0"/>
                    <w:left w:val="single" w:color="auto" w:sz="4" w:space="0"/>
                    <w:bottom w:val="single" w:color="auto" w:sz="4" w:space="0"/>
                    <w:right w:val="single" w:color="auto" w:sz="4" w:space="0"/>
                  </w:tcBorders>
                  <w:noWrap w:val="0"/>
                  <w:vAlign w:val="center"/>
                </w:tcPr>
                <w:p w14:paraId="5C79FBE9">
                  <w:pPr>
                    <w:adjustRightInd w:val="0"/>
                    <w:snapToGrid w:val="0"/>
                    <w:ind w:firstLine="0" w:firstLineChars="0"/>
                    <w:jc w:val="center"/>
                    <w:rPr>
                      <w:rFonts w:hint="default" w:cs="Times New Roman"/>
                      <w:color w:val="000000"/>
                      <w:highlight w:val="none"/>
                      <w:lang w:val="en-US" w:eastAsia="zh-CN"/>
                    </w:rPr>
                  </w:pPr>
                  <w:r>
                    <w:rPr>
                      <w:rFonts w:hint="eastAsia" w:cs="Times New Roman"/>
                      <w:color w:val="000000"/>
                      <w:highlight w:val="none"/>
                      <w:lang w:val="en-US" w:eastAsia="zh-CN"/>
                    </w:rPr>
                    <w:t>/</w:t>
                  </w:r>
                </w:p>
              </w:tc>
            </w:tr>
          </w:tbl>
          <w:p w14:paraId="3F0A9040">
            <w:pPr>
              <w:pStyle w:val="11"/>
              <w:spacing w:line="360" w:lineRule="auto"/>
              <w:ind w:left="0" w:firstLine="420" w:firstLineChars="200"/>
              <w:jc w:val="left"/>
              <w:rPr>
                <w:rFonts w:hint="default" w:ascii="Times New Roman" w:hAnsi="Times New Roman" w:cs="Times New Roman"/>
                <w:b w:val="0"/>
                <w:bCs/>
                <w:color w:val="000000"/>
                <w:lang w:val="en-US" w:eastAsia="zh-CN"/>
              </w:rPr>
            </w:pPr>
            <w:r>
              <w:rPr>
                <w:rFonts w:hint="eastAsia" w:cs="Times New Roman"/>
                <w:b w:val="0"/>
                <w:bCs/>
                <w:color w:val="000000"/>
                <w:lang w:eastAsia="zh-CN"/>
              </w:rPr>
              <w:t>注：①粪大肠菌群</w:t>
            </w:r>
            <w:r>
              <w:rPr>
                <w:rFonts w:hint="default" w:ascii="Times New Roman" w:hAnsi="Times New Roman" w:cs="Times New Roman"/>
                <w:b w:val="0"/>
                <w:bCs/>
                <w:color w:val="000000"/>
                <w:lang w:eastAsia="zh-CN"/>
              </w:rPr>
              <w:t>单位为</w:t>
            </w:r>
            <w:r>
              <w:rPr>
                <w:rFonts w:hint="eastAsia" w:ascii="Times New Roman" w:hAnsi="Times New Roman" w:cs="Times New Roman"/>
                <w:b w:val="0"/>
                <w:bCs/>
                <w:color w:val="000000"/>
                <w:lang w:val="en-US" w:eastAsia="zh-CN"/>
              </w:rPr>
              <w:t>MPN/L；</w:t>
            </w:r>
          </w:p>
          <w:p w14:paraId="0A9F89A4">
            <w:pPr>
              <w:pStyle w:val="11"/>
              <w:spacing w:line="360" w:lineRule="auto"/>
              <w:ind w:left="0" w:firstLine="420" w:firstLineChars="200"/>
              <w:jc w:val="left"/>
              <w:rPr>
                <w:rFonts w:hint="eastAsia" w:cs="Times New Roman"/>
                <w:b w:val="0"/>
                <w:bCs/>
                <w:color w:val="000000"/>
                <w:lang w:eastAsia="zh-CN"/>
              </w:rPr>
            </w:pPr>
            <w:r>
              <w:rPr>
                <w:rFonts w:hint="default" w:ascii="Times New Roman" w:hAnsi="Times New Roman" w:cs="Times New Roman"/>
                <w:b w:val="0"/>
                <w:bCs/>
                <w:color w:val="000000"/>
                <w:lang w:eastAsia="zh-CN"/>
              </w:rPr>
              <w:t>②根据</w:t>
            </w:r>
            <w:r>
              <w:rPr>
                <w:rFonts w:hint="eastAsia" w:cs="Times New Roman"/>
                <w:b w:val="0"/>
                <w:bCs/>
                <w:color w:val="000000"/>
                <w:lang w:eastAsia="zh-CN"/>
              </w:rPr>
              <w:t>《医疗机构水污染物排放标准》（GB18466-2005）</w:t>
            </w:r>
            <w:r>
              <w:rPr>
                <w:rFonts w:hint="default" w:ascii="Times New Roman" w:hAnsi="Times New Roman" w:cs="Times New Roman"/>
                <w:b w:val="0"/>
                <w:bCs/>
                <w:color w:val="000000"/>
                <w:lang w:eastAsia="zh-CN"/>
              </w:rPr>
              <w:t>（含2026年修改单）污水处理工艺中采用含氯消毒剂消毒的预处理标准：消毒接触池接触时间≥1h，接触池出口总余氯</w:t>
            </w:r>
            <w:r>
              <w:rPr>
                <w:rFonts w:hint="eastAsia" w:cs="Times New Roman"/>
                <w:b w:val="0"/>
                <w:bCs/>
                <w:color w:val="000000"/>
                <w:lang w:eastAsia="zh-CN"/>
              </w:rPr>
              <w:t>2~8mg/L。本项目采用二氧化氯消毒，本次排口总余氯浓度取平均值5mg/L。</w:t>
            </w:r>
          </w:p>
          <w:p w14:paraId="3FDC33E7">
            <w:pPr>
              <w:ind w:firstLine="420" w:firstLineChars="200"/>
              <w:rPr>
                <w:rFonts w:hint="default" w:ascii="Times New Roman" w:hAnsi="Times New Roman" w:cs="Times New Roman"/>
                <w:szCs w:val="21"/>
                <w:lang w:val="en-US" w:eastAsia="zh-CN"/>
              </w:rPr>
            </w:pPr>
            <w:r>
              <w:rPr>
                <w:rFonts w:hint="default" w:ascii="Times New Roman" w:hAnsi="Times New Roman" w:cs="Times New Roman"/>
                <w:szCs w:val="21"/>
                <w:lang w:eastAsia="zh-CN"/>
              </w:rPr>
              <w:t>③</w:t>
            </w:r>
            <w:r>
              <w:rPr>
                <w:rFonts w:hint="eastAsia" w:ascii="Times New Roman" w:hAnsi="Times New Roman" w:cs="Times New Roman"/>
                <w:szCs w:val="21"/>
                <w:lang w:eastAsia="zh-CN"/>
              </w:rPr>
              <w:t>参照《城市污水强化一级处理及其在中小城镇污水处理中的应用前景》（张彦丽、林清丽、李增足），</w:t>
            </w:r>
            <w:r>
              <w:rPr>
                <w:rFonts w:hint="eastAsia" w:cs="Times New Roman"/>
                <w:color w:val="000000"/>
                <w:lang w:val="en-US" w:eastAsia="zh-CN"/>
              </w:rPr>
              <w:t>一级强化处理+消毒对COD、BOD、SS、氨氮、总磷、粪大肠菌群的处理</w:t>
            </w:r>
            <w:r>
              <w:rPr>
                <w:rFonts w:hint="default" w:ascii="Times New Roman" w:hAnsi="Times New Roman" w:cs="Times New Roman"/>
                <w:color w:val="000000"/>
                <w:lang w:val="en-US" w:eastAsia="zh-CN"/>
              </w:rPr>
              <w:t>效率分别为50%~70%、50%~70%、85%~95%、20%~50%、60%~90%、90%~99%。</w:t>
            </w:r>
          </w:p>
          <w:p w14:paraId="7358EC0B">
            <w:pPr>
              <w:ind w:firstLine="420" w:firstLineChars="200"/>
              <w:rPr>
                <w:rFonts w:hint="default" w:ascii="Times New Roman" w:hAnsi="Times New Roman" w:eastAsia="宋体" w:cs="Times New Roman"/>
                <w:sz w:val="21"/>
                <w:szCs w:val="21"/>
                <w:lang w:val="en-US" w:eastAsia="zh-CN"/>
              </w:rPr>
            </w:pPr>
            <w:r>
              <w:rPr>
                <w:rFonts w:hint="eastAsia" w:ascii="Times New Roman" w:hAnsi="Times New Roman" w:cs="Times New Roman"/>
                <w:szCs w:val="21"/>
                <w:lang w:eastAsia="zh-CN"/>
              </w:rPr>
              <w:t>《参照</w:t>
            </w:r>
            <w:r>
              <w:rPr>
                <w:rFonts w:ascii="Times New Roman" w:hAnsi="Times New Roman" w:eastAsia="宋体" w:cs="Times New Roman"/>
                <w:sz w:val="21"/>
                <w:szCs w:val="21"/>
              </w:rPr>
              <w:t>蚌埠市第四人民医院绿地社区卫生服务中心新建项目阶段性竣工环境保护验收监测报告表</w:t>
            </w:r>
            <w:r>
              <w:rPr>
                <w:rFonts w:hint="default" w:ascii="Times New Roman" w:hAnsi="Times New Roman" w:eastAsia="宋体" w:cs="Times New Roman"/>
                <w:sz w:val="21"/>
                <w:szCs w:val="21"/>
                <w:lang w:eastAsia="zh-CN"/>
              </w:rPr>
              <w:t>》，该项目污水处理工艺为</w:t>
            </w:r>
            <w:r>
              <w:rPr>
                <w:rFonts w:hint="eastAsia" w:ascii="Times New Roman" w:hAnsi="Times New Roman" w:eastAsia="宋体" w:cs="Times New Roman"/>
                <w:sz w:val="21"/>
                <w:szCs w:val="21"/>
                <w:lang w:eastAsia="zh-CN"/>
              </w:rPr>
              <w:t>“</w:t>
            </w:r>
            <w:r>
              <w:rPr>
                <w:rFonts w:hint="default" w:ascii="Times New Roman" w:hAnsi="Times New Roman" w:cs="Times New Roman"/>
                <w:color w:val="000000"/>
                <w:lang w:val="en-US" w:eastAsia="zh-CN"/>
              </w:rPr>
              <w:t>一级强化处理+消毒</w:t>
            </w:r>
            <w:r>
              <w:rPr>
                <w:rFonts w:hint="eastAsia" w:ascii="Times New Roman" w:hAnsi="Times New Roman" w:cs="Times New Roman"/>
                <w:color w:val="000000"/>
                <w:lang w:val="en-US" w:eastAsia="zh-CN"/>
              </w:rPr>
              <w:t>”</w:t>
            </w:r>
            <w:r>
              <w:rPr>
                <w:rFonts w:hint="default" w:ascii="Times New Roman" w:hAnsi="Times New Roman" w:eastAsia="宋体" w:cs="Times New Roman"/>
                <w:sz w:val="21"/>
                <w:szCs w:val="21"/>
                <w:lang w:eastAsia="zh-CN"/>
              </w:rPr>
              <w:t>，废水种类有病房排水、医务人员排水、门</w:t>
            </w:r>
            <w:r>
              <w:rPr>
                <w:rFonts w:hint="eastAsia" w:cs="Times New Roman"/>
                <w:sz w:val="21"/>
                <w:szCs w:val="21"/>
                <w:lang w:eastAsia="zh-CN"/>
              </w:rPr>
              <w:t>急诊部</w:t>
            </w:r>
            <w:r>
              <w:rPr>
                <w:rFonts w:hint="default" w:ascii="Times New Roman" w:hAnsi="Times New Roman" w:eastAsia="宋体" w:cs="Times New Roman"/>
                <w:sz w:val="21"/>
                <w:szCs w:val="21"/>
                <w:lang w:eastAsia="zh-CN"/>
              </w:rPr>
              <w:t>排水。平均处理效率分别为</w:t>
            </w:r>
            <w:r>
              <w:rPr>
                <w:rFonts w:hint="default" w:ascii="Times New Roman" w:hAnsi="Times New Roman" w:eastAsia="宋体" w:cs="Times New Roman"/>
                <w:sz w:val="21"/>
                <w:szCs w:val="21"/>
                <w:lang w:val="en-US" w:eastAsia="zh-CN"/>
              </w:rPr>
              <w:t>COD82%、BOD</w:t>
            </w:r>
            <w:r>
              <w:rPr>
                <w:rFonts w:hint="default" w:ascii="Times New Roman" w:hAnsi="Times New Roman" w:eastAsia="宋体" w:cs="Times New Roman"/>
                <w:sz w:val="21"/>
                <w:szCs w:val="21"/>
                <w:vertAlign w:val="subscript"/>
                <w:lang w:val="en-US" w:eastAsia="zh-CN"/>
              </w:rPr>
              <w:t>5</w:t>
            </w:r>
            <w:r>
              <w:rPr>
                <w:rFonts w:hint="eastAsia" w:ascii="Times New Roman" w:hAnsi="Times New Roman" w:eastAsia="宋体" w:cs="Times New Roman"/>
                <w:sz w:val="21"/>
                <w:szCs w:val="21"/>
                <w:vertAlign w:val="subscript"/>
                <w:lang w:val="en-US" w:eastAsia="zh-CN"/>
              </w:rPr>
              <w:t xml:space="preserve"> </w:t>
            </w:r>
            <w:r>
              <w:rPr>
                <w:rFonts w:hint="default" w:ascii="Times New Roman" w:hAnsi="Times New Roman" w:eastAsia="宋体" w:cs="Times New Roman"/>
                <w:sz w:val="21"/>
                <w:szCs w:val="21"/>
                <w:lang w:val="en-US" w:eastAsia="zh-CN"/>
              </w:rPr>
              <w:t>93%、SS58%、氨氮95%、粪大肠菌群81%</w:t>
            </w:r>
            <w:r>
              <w:rPr>
                <w:rFonts w:hint="eastAsia" w:ascii="Times New Roman" w:hAnsi="Times New Roman" w:eastAsia="宋体" w:cs="Times New Roman"/>
                <w:sz w:val="21"/>
                <w:szCs w:val="21"/>
                <w:lang w:val="en-US" w:eastAsia="zh-CN"/>
              </w:rPr>
              <w:t>、粪大肠菌群进口最大浓度为6400</w:t>
            </w:r>
            <w:r>
              <w:rPr>
                <w:rFonts w:hint="eastAsia" w:ascii="Times New Roman" w:hAnsi="Times New Roman" w:cs="Times New Roman"/>
                <w:b w:val="0"/>
                <w:bCs/>
                <w:color w:val="000000"/>
                <w:lang w:val="en-US" w:eastAsia="zh-CN"/>
              </w:rPr>
              <w:t>MPN/L</w:t>
            </w:r>
            <w:r>
              <w:rPr>
                <w:rFonts w:hint="eastAsia" w:cs="Times New Roman"/>
                <w:b w:val="0"/>
                <w:bCs/>
                <w:color w:val="000000"/>
                <w:lang w:val="en-US" w:eastAsia="zh-CN"/>
              </w:rPr>
              <w:t>；</w:t>
            </w:r>
          </w:p>
          <w:p w14:paraId="77852E81">
            <w:pPr>
              <w:ind w:firstLine="420" w:firstLineChars="200"/>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参照如上数据，本项目处理效率取值为COD50%、BOD</w:t>
            </w:r>
            <w:r>
              <w:rPr>
                <w:rFonts w:hint="default" w:ascii="Times New Roman" w:hAnsi="Times New Roman" w:eastAsia="宋体" w:cs="Times New Roman"/>
                <w:sz w:val="21"/>
                <w:szCs w:val="21"/>
                <w:vertAlign w:val="subscript"/>
                <w:lang w:val="en-US" w:eastAsia="zh-CN"/>
              </w:rPr>
              <w:t>5</w:t>
            </w:r>
            <w:r>
              <w:rPr>
                <w:rFonts w:hint="default" w:ascii="Times New Roman" w:hAnsi="Times New Roman" w:eastAsia="宋体" w:cs="Times New Roman"/>
                <w:sz w:val="21"/>
                <w:szCs w:val="21"/>
                <w:lang w:val="en-US" w:eastAsia="zh-CN"/>
              </w:rPr>
              <w:t>50%、SS58%、氨氮20%、总磷60%、粪大肠菌群</w:t>
            </w:r>
            <w:r>
              <w:rPr>
                <w:rFonts w:hint="eastAsia" w:ascii="Times New Roman" w:hAnsi="Times New Roman" w:eastAsia="宋体" w:cs="Times New Roman"/>
                <w:sz w:val="21"/>
                <w:szCs w:val="21"/>
                <w:lang w:val="en-US" w:eastAsia="zh-CN"/>
              </w:rPr>
              <w:t>81</w:t>
            </w:r>
            <w:r>
              <w:rPr>
                <w:rFonts w:hint="default" w:ascii="Times New Roman" w:hAnsi="Times New Roman" w:eastAsia="宋体" w:cs="Times New Roman"/>
                <w:sz w:val="21"/>
                <w:szCs w:val="21"/>
                <w:lang w:val="en-US" w:eastAsia="zh-CN"/>
              </w:rPr>
              <w:t>%。</w:t>
            </w:r>
            <w:r>
              <w:rPr>
                <w:rFonts w:hint="eastAsia" w:ascii="Times New Roman" w:hAnsi="Times New Roman" w:eastAsia="宋体" w:cs="Times New Roman"/>
                <w:sz w:val="21"/>
                <w:szCs w:val="21"/>
                <w:lang w:val="en-US" w:eastAsia="zh-CN"/>
              </w:rPr>
              <w:t>粪大肠菌群进口取值6400</w:t>
            </w:r>
            <w:r>
              <w:rPr>
                <w:rFonts w:hint="eastAsia" w:ascii="Times New Roman" w:hAnsi="Times New Roman" w:cs="Times New Roman"/>
                <w:b w:val="0"/>
                <w:bCs/>
                <w:color w:val="000000"/>
                <w:lang w:val="en-US" w:eastAsia="zh-CN"/>
              </w:rPr>
              <w:t>MPN/L</w:t>
            </w:r>
            <w:r>
              <w:rPr>
                <w:rFonts w:hint="eastAsia" w:cs="Times New Roman"/>
                <w:b w:val="0"/>
                <w:bCs/>
                <w:color w:val="000000"/>
                <w:lang w:val="en-US" w:eastAsia="zh-CN"/>
              </w:rPr>
              <w:t>；</w:t>
            </w:r>
          </w:p>
          <w:p w14:paraId="346EE2B8">
            <w:pPr>
              <w:widowControl/>
              <w:spacing w:line="360" w:lineRule="auto"/>
              <w:ind w:firstLine="482" w:firstLineChars="200"/>
              <w:jc w:val="left"/>
              <w:rPr>
                <w:rFonts w:hint="eastAsia" w:eastAsia="新宋体"/>
                <w:b/>
                <w:bCs/>
                <w:sz w:val="24"/>
                <w:lang w:eastAsia="zh-CN"/>
              </w:rPr>
            </w:pPr>
            <w:bookmarkStart w:id="5" w:name="OLE_LINK55"/>
            <w:r>
              <w:rPr>
                <w:rFonts w:hint="eastAsia" w:eastAsia="新宋体"/>
                <w:b/>
                <w:bCs/>
                <w:sz w:val="24"/>
              </w:rPr>
              <w:t>2.2</w:t>
            </w:r>
            <w:r>
              <w:rPr>
                <w:rFonts w:hint="eastAsia" w:eastAsia="新宋体"/>
                <w:b/>
                <w:bCs/>
                <w:sz w:val="24"/>
                <w:lang w:eastAsia="zh-CN"/>
              </w:rPr>
              <w:t>废水处理措施</w:t>
            </w:r>
          </w:p>
          <w:p w14:paraId="715E7170">
            <w:pPr>
              <w:pStyle w:val="9"/>
              <w:numPr>
                <w:ilvl w:val="0"/>
                <w:numId w:val="8"/>
              </w:numPr>
              <w:spacing w:line="360" w:lineRule="auto"/>
              <w:ind w:firstLine="241" w:firstLineChars="100"/>
              <w:rPr>
                <w:rFonts w:hint="eastAsia" w:eastAsia="新宋体"/>
                <w:b/>
                <w:bCs/>
                <w:sz w:val="24"/>
                <w:lang w:eastAsia="zh-CN"/>
              </w:rPr>
            </w:pPr>
            <w:r>
              <w:rPr>
                <w:rFonts w:hint="eastAsia" w:eastAsia="新宋体"/>
                <w:b/>
                <w:bCs/>
                <w:sz w:val="24"/>
                <w:lang w:eastAsia="zh-CN"/>
              </w:rPr>
              <w:t>污水处理站概况</w:t>
            </w:r>
          </w:p>
          <w:p w14:paraId="7D58A1D0">
            <w:pPr>
              <w:pStyle w:val="9"/>
              <w:numPr>
                <w:ilvl w:val="0"/>
                <w:numId w:val="0"/>
              </w:numPr>
              <w:spacing w:line="360" w:lineRule="auto"/>
              <w:ind w:firstLine="480" w:firstLineChars="200"/>
              <w:jc w:val="left"/>
              <w:rPr>
                <w:rFonts w:hint="eastAsia" w:eastAsia="新宋体"/>
                <w:b w:val="0"/>
                <w:bCs w:val="0"/>
                <w:sz w:val="24"/>
                <w:highlight w:val="none"/>
                <w:lang w:eastAsia="zh-CN"/>
              </w:rPr>
            </w:pPr>
            <w:r>
              <w:rPr>
                <w:rFonts w:hint="eastAsia" w:eastAsia="新宋体"/>
                <w:b w:val="0"/>
                <w:bCs w:val="0"/>
                <w:sz w:val="24"/>
                <w:lang w:eastAsia="zh-CN"/>
              </w:rPr>
              <w:t>本项目拟在</w:t>
            </w:r>
            <w:r>
              <w:rPr>
                <w:rFonts w:hint="eastAsia" w:eastAsia="新宋体"/>
                <w:b w:val="0"/>
                <w:bCs w:val="0"/>
                <w:sz w:val="24"/>
                <w:lang w:val="en-US" w:eastAsia="zh-CN"/>
              </w:rPr>
              <w:t>院区西侧</w:t>
            </w:r>
            <w:r>
              <w:rPr>
                <w:rFonts w:hint="eastAsia" w:eastAsia="新宋体"/>
                <w:b w:val="0"/>
                <w:bCs w:val="0"/>
                <w:sz w:val="24"/>
                <w:highlight w:val="none"/>
                <w:lang w:eastAsia="zh-CN"/>
              </w:rPr>
              <w:t>，新建一座处理规模为</w:t>
            </w:r>
            <w:r>
              <w:rPr>
                <w:rFonts w:hint="eastAsia" w:eastAsia="新宋体"/>
                <w:b w:val="0"/>
                <w:bCs w:val="0"/>
                <w:sz w:val="24"/>
                <w:highlight w:val="none"/>
                <w:lang w:val="en-US" w:eastAsia="zh-CN"/>
              </w:rPr>
              <w:t>65</w:t>
            </w:r>
            <w:r>
              <w:rPr>
                <w:rFonts w:hint="eastAsia" w:eastAsia="新宋体"/>
                <w:b w:val="0"/>
                <w:bCs w:val="0"/>
                <w:sz w:val="24"/>
                <w:highlight w:val="none"/>
                <w:lang w:eastAsia="zh-CN"/>
              </w:rPr>
              <w:t>t/d的地埋式一体化污水处理站，采用“一级强化处理</w:t>
            </w:r>
            <w:r>
              <w:rPr>
                <w:rFonts w:hint="eastAsia" w:eastAsia="新宋体"/>
                <w:b w:val="0"/>
                <w:bCs w:val="0"/>
                <w:sz w:val="24"/>
                <w:highlight w:val="none"/>
                <w:lang w:val="en-US" w:eastAsia="zh-CN"/>
              </w:rPr>
              <w:t>+消毒</w:t>
            </w:r>
            <w:r>
              <w:rPr>
                <w:rFonts w:hint="eastAsia" w:eastAsia="新宋体"/>
                <w:b w:val="0"/>
                <w:bCs w:val="0"/>
                <w:sz w:val="24"/>
                <w:highlight w:val="none"/>
                <w:lang w:eastAsia="zh-CN"/>
              </w:rPr>
              <w:t>”工艺，其中消毒采用二氧化氯消毒。项目拟采取的污水处理工艺流程图如下图所示。</w:t>
            </w:r>
          </w:p>
          <w:p w14:paraId="0E8FE753">
            <w:pPr>
              <w:jc w:val="center"/>
              <w:rPr>
                <w:rFonts w:hint="default" w:eastAsia="宋体"/>
                <w:b/>
                <w:bCs/>
                <w:lang w:val="en-US" w:eastAsia="zh-CN"/>
              </w:rPr>
            </w:pPr>
            <w:r>
              <w:drawing>
                <wp:inline distT="0" distB="0" distL="114300" distR="114300">
                  <wp:extent cx="5210810" cy="2450465"/>
                  <wp:effectExtent l="0" t="0" r="8890" b="6985"/>
                  <wp:docPr id="1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
                          <pic:cNvPicPr>
                            <a:picLocks noChangeAspect="1"/>
                          </pic:cNvPicPr>
                        </pic:nvPicPr>
                        <pic:blipFill>
                          <a:blip r:embed="rId15"/>
                          <a:stretch>
                            <a:fillRect/>
                          </a:stretch>
                        </pic:blipFill>
                        <pic:spPr>
                          <a:xfrm>
                            <a:off x="0" y="0"/>
                            <a:ext cx="5210810" cy="2450465"/>
                          </a:xfrm>
                          <a:prstGeom prst="rect">
                            <a:avLst/>
                          </a:prstGeom>
                          <a:noFill/>
                          <a:ln>
                            <a:noFill/>
                          </a:ln>
                        </pic:spPr>
                      </pic:pic>
                    </a:graphicData>
                  </a:graphic>
                </wp:inline>
              </w:drawing>
            </w:r>
            <w:r>
              <w:rPr>
                <w:rFonts w:hint="eastAsia"/>
                <w:b/>
                <w:bCs/>
                <w:lang w:eastAsia="zh-CN"/>
              </w:rPr>
              <w:t>图</w:t>
            </w:r>
            <w:r>
              <w:rPr>
                <w:rFonts w:hint="eastAsia"/>
                <w:b/>
                <w:bCs/>
                <w:lang w:val="en-US" w:eastAsia="zh-CN"/>
              </w:rPr>
              <w:t>4-1污水处理工艺流程图</w:t>
            </w:r>
          </w:p>
          <w:p w14:paraId="75F84701">
            <w:pPr>
              <w:pStyle w:val="9"/>
              <w:numPr>
                <w:ilvl w:val="0"/>
                <w:numId w:val="0"/>
              </w:numPr>
              <w:spacing w:line="360" w:lineRule="auto"/>
              <w:ind w:firstLineChars="200"/>
              <w:jc w:val="left"/>
              <w:rPr>
                <w:rFonts w:cs="Times New Roman"/>
                <w:color w:val="000000"/>
                <w:sz w:val="24"/>
              </w:rPr>
            </w:pPr>
            <w:r>
              <w:rPr>
                <w:rFonts w:hint="eastAsia" w:ascii="宋体" w:hAnsi="宋体"/>
                <w:color w:val="000000"/>
                <w:sz w:val="24"/>
              </w:rPr>
              <w:t>①</w:t>
            </w:r>
            <w:r>
              <w:rPr>
                <w:rFonts w:cs="Times New Roman"/>
                <w:color w:val="000000"/>
                <w:sz w:val="24"/>
              </w:rPr>
              <w:t>机械格栅</w:t>
            </w:r>
          </w:p>
          <w:p w14:paraId="74A6776F">
            <w:pPr>
              <w:spacing w:line="360" w:lineRule="auto"/>
              <w:ind w:firstLine="480"/>
              <w:jc w:val="both"/>
              <w:rPr>
                <w:rFonts w:cs="Times New Roman"/>
                <w:color w:val="000000"/>
                <w:sz w:val="24"/>
              </w:rPr>
            </w:pPr>
            <w:r>
              <w:rPr>
                <w:rFonts w:cs="Times New Roman"/>
                <w:color w:val="000000"/>
                <w:sz w:val="24"/>
              </w:rPr>
              <w:t>废水经管网收集后进入格栅井，格栅井内设置格栅。医院污水经过格栅去除水中漂浮物和大块的污染物，然后进入后续工艺进行，确保后续污水处理设施及机泵设备的正常运行。污水经机械格栅处理后接入调节池。</w:t>
            </w:r>
          </w:p>
          <w:p w14:paraId="64343B35">
            <w:pPr>
              <w:spacing w:line="360" w:lineRule="auto"/>
              <w:ind w:firstLine="480"/>
              <w:jc w:val="both"/>
              <w:rPr>
                <w:rFonts w:cs="Times New Roman"/>
                <w:color w:val="000000"/>
                <w:sz w:val="24"/>
              </w:rPr>
            </w:pPr>
            <w:r>
              <w:rPr>
                <w:rFonts w:hint="eastAsia" w:ascii="宋体" w:hAnsi="宋体"/>
                <w:color w:val="000000"/>
                <w:sz w:val="24"/>
              </w:rPr>
              <w:t>②</w:t>
            </w:r>
            <w:r>
              <w:rPr>
                <w:rFonts w:cs="Times New Roman"/>
                <w:color w:val="000000"/>
                <w:sz w:val="24"/>
              </w:rPr>
              <w:t>调节池</w:t>
            </w:r>
          </w:p>
          <w:p w14:paraId="3EFB51A5">
            <w:pPr>
              <w:pStyle w:val="28"/>
              <w:rPr>
                <w:color w:val="000000"/>
              </w:rPr>
            </w:pPr>
            <w:r>
              <w:rPr>
                <w:color w:val="000000"/>
              </w:rPr>
              <w:t>为了使管渠和构筑物正常工作，不受废水高峰流量或浓度变化的影响，需在废水处理设施之前设置调节池污水经过机械格栅后，进入调节池，在池中进行水质、水量调节，保证污水水质、水量稳定。</w:t>
            </w:r>
          </w:p>
          <w:p w14:paraId="6C53CE36">
            <w:pPr>
              <w:pStyle w:val="28"/>
              <w:rPr>
                <w:color w:val="000000"/>
              </w:rPr>
            </w:pPr>
            <w:r>
              <w:rPr>
                <w:rFonts w:hint="eastAsia" w:ascii="宋体" w:hAnsi="宋体" w:cs="宋体"/>
                <w:color w:val="000000"/>
              </w:rPr>
              <w:t>③</w:t>
            </w:r>
            <w:r>
              <w:rPr>
                <w:color w:val="000000"/>
              </w:rPr>
              <w:t>混凝沉淀池</w:t>
            </w:r>
          </w:p>
          <w:p w14:paraId="41F9A432">
            <w:pPr>
              <w:pStyle w:val="28"/>
              <w:rPr>
                <w:color w:val="000000"/>
              </w:rPr>
            </w:pPr>
            <w:r>
              <w:rPr>
                <w:color w:val="000000"/>
              </w:rPr>
              <w:t>通过向水中投加一些药剂（通常称为混凝剂及助凝剂），使水中难以沉淀的颗粒能互相聚合而形成胶体，然后与水体中的杂质结合形成更大的絮凝体。絮凝体具有强大吸附力，不仅能吸附悬浮物，还能吸附部分细菌和溶解性物质。絮凝体通过吸附，体积增大而下沉。废水处理的混凝剂有无机金属盐类和有机高分子聚合物两大类，前者主要有铁系和铝系等高价金属盐，可分为普通铁、铝盐和碱化聚合盐；后者则分为人工合成的和天然的两类。混凝澄清法的主要设备有完成混凝剂与原水混合反应过程的混合槽和反应池，以及完成水与絮凝体分离的沉降池等。</w:t>
            </w:r>
          </w:p>
          <w:p w14:paraId="4816F223">
            <w:pPr>
              <w:pStyle w:val="28"/>
              <w:rPr>
                <w:color w:val="000000"/>
              </w:rPr>
            </w:pPr>
            <w:r>
              <w:rPr>
                <w:rFonts w:hint="eastAsia" w:ascii="宋体" w:hAnsi="宋体" w:cs="宋体"/>
                <w:color w:val="000000"/>
              </w:rPr>
              <w:t>④</w:t>
            </w:r>
            <w:r>
              <w:rPr>
                <w:color w:val="000000"/>
              </w:rPr>
              <w:t>二氧化氯消毒池</w:t>
            </w:r>
          </w:p>
          <w:p w14:paraId="346DCD71">
            <w:pPr>
              <w:pStyle w:val="28"/>
              <w:rPr>
                <w:color w:val="000000"/>
              </w:rPr>
            </w:pPr>
            <w:r>
              <w:rPr>
                <w:color w:val="000000"/>
              </w:rPr>
              <w:t>医疗废水中含有细菌等，尾端设置消毒池。由消毒加药装置投加杀菌消毒剂对中水进行消毒处理，保证中水的水质出水细菌达标，消毒剂采用二氧化氯发生器消毒。</w:t>
            </w:r>
          </w:p>
          <w:p w14:paraId="06136960">
            <w:pPr>
              <w:widowControl/>
              <w:numPr>
                <w:ilvl w:val="0"/>
                <w:numId w:val="8"/>
              </w:numPr>
              <w:spacing w:line="360" w:lineRule="auto"/>
              <w:ind w:firstLine="241" w:firstLineChars="100"/>
              <w:jc w:val="left"/>
              <w:rPr>
                <w:rFonts w:hint="eastAsia" w:eastAsia="新宋体"/>
                <w:b/>
                <w:bCs/>
                <w:sz w:val="24"/>
                <w:lang w:eastAsia="zh-CN"/>
              </w:rPr>
            </w:pPr>
            <w:r>
              <w:rPr>
                <w:rFonts w:hint="eastAsia" w:eastAsia="新宋体"/>
                <w:b/>
                <w:bCs/>
                <w:sz w:val="24"/>
                <w:lang w:eastAsia="zh-CN"/>
              </w:rPr>
              <w:t>污水治理措施可行性分析</w:t>
            </w:r>
          </w:p>
          <w:p w14:paraId="1B1C54F4">
            <w:pPr>
              <w:pStyle w:val="9"/>
              <w:numPr>
                <w:ilvl w:val="0"/>
                <w:numId w:val="0"/>
              </w:numPr>
              <w:spacing w:line="360" w:lineRule="auto"/>
              <w:ind w:firstLine="480" w:firstLineChars="200"/>
              <w:rPr>
                <w:rFonts w:hint="eastAsia"/>
                <w:sz w:val="24"/>
                <w:szCs w:val="24"/>
                <w:lang w:eastAsia="zh-CN"/>
              </w:rPr>
            </w:pPr>
            <w:r>
              <w:rPr>
                <w:rFonts w:hint="eastAsia"/>
                <w:sz w:val="24"/>
                <w:szCs w:val="24"/>
                <w:lang w:eastAsia="zh-CN"/>
              </w:rPr>
              <w:t>①污水处理站设计规模合理性分析</w:t>
            </w:r>
          </w:p>
          <w:p w14:paraId="28FC9843">
            <w:pPr>
              <w:pStyle w:val="9"/>
              <w:numPr>
                <w:ilvl w:val="0"/>
                <w:numId w:val="0"/>
              </w:numPr>
              <w:spacing w:line="360" w:lineRule="auto"/>
              <w:ind w:firstLine="480" w:firstLineChars="200"/>
              <w:rPr>
                <w:rFonts w:hint="eastAsia"/>
                <w:sz w:val="24"/>
                <w:szCs w:val="24"/>
                <w:highlight w:val="none"/>
                <w:lang w:eastAsia="zh-CN"/>
              </w:rPr>
            </w:pPr>
            <w:r>
              <w:rPr>
                <w:rFonts w:hint="eastAsia"/>
                <w:sz w:val="24"/>
                <w:szCs w:val="24"/>
                <w:lang w:eastAsia="zh-CN"/>
              </w:rPr>
              <w:t>按照《医院污水处理工程技术规范</w:t>
            </w:r>
            <w:r>
              <w:rPr>
                <w:rFonts w:hint="eastAsia"/>
                <w:color w:val="auto"/>
                <w:sz w:val="24"/>
                <w:szCs w:val="24"/>
                <w:lang w:eastAsia="zh-CN"/>
              </w:rPr>
              <w:t>》（HJ2029-2013）中“4.2.4 医院污水处理工程设计水量应在实测或测算的基础上留有设计裕量，设计裕量宜取实测值或</w:t>
            </w:r>
            <w:r>
              <w:rPr>
                <w:rFonts w:hint="eastAsia"/>
                <w:color w:val="auto"/>
                <w:sz w:val="24"/>
                <w:szCs w:val="24"/>
                <w:highlight w:val="none"/>
                <w:lang w:eastAsia="zh-CN"/>
              </w:rPr>
              <w:t>测算值的10%~20%”，项目废水合计产生量为</w:t>
            </w:r>
            <w:r>
              <w:rPr>
                <w:rFonts w:hint="eastAsia"/>
                <w:color w:val="auto"/>
                <w:sz w:val="24"/>
                <w:szCs w:val="24"/>
                <w:highlight w:val="none"/>
                <w:lang w:val="en-US" w:eastAsia="zh-CN"/>
              </w:rPr>
              <w:t>54.524</w:t>
            </w:r>
            <w:r>
              <w:rPr>
                <w:rFonts w:hint="eastAsia"/>
                <w:color w:val="auto"/>
                <w:sz w:val="24"/>
                <w:szCs w:val="24"/>
                <w:highlight w:val="none"/>
                <w:lang w:eastAsia="zh-CN"/>
              </w:rPr>
              <w:t>t/d，计算得到污水处理站污水处理设计量应不低于</w:t>
            </w:r>
            <w:r>
              <w:rPr>
                <w:rFonts w:hint="eastAsia"/>
                <w:color w:val="auto"/>
                <w:sz w:val="24"/>
                <w:szCs w:val="24"/>
                <w:highlight w:val="none"/>
                <w:lang w:val="en-US" w:eastAsia="zh-CN"/>
              </w:rPr>
              <w:t>60</w:t>
            </w:r>
            <w:r>
              <w:rPr>
                <w:rFonts w:hint="eastAsia"/>
                <w:color w:val="auto"/>
                <w:sz w:val="24"/>
                <w:szCs w:val="24"/>
                <w:highlight w:val="none"/>
                <w:lang w:eastAsia="zh-CN"/>
              </w:rPr>
              <w:t>t/d。污水处理站</w:t>
            </w:r>
            <w:r>
              <w:rPr>
                <w:rFonts w:hint="eastAsia"/>
                <w:color w:val="auto"/>
                <w:sz w:val="24"/>
                <w:szCs w:val="24"/>
                <w:highlight w:val="none"/>
                <w:lang w:val="en-US" w:eastAsia="zh-CN"/>
              </w:rPr>
              <w:t>拟</w:t>
            </w:r>
            <w:r>
              <w:rPr>
                <w:rFonts w:hint="eastAsia"/>
                <w:color w:val="auto"/>
                <w:sz w:val="24"/>
                <w:szCs w:val="24"/>
                <w:highlight w:val="none"/>
                <w:lang w:eastAsia="zh-CN"/>
              </w:rPr>
              <w:t>设计规模</w:t>
            </w:r>
            <w:r>
              <w:rPr>
                <w:rFonts w:hint="eastAsia"/>
                <w:sz w:val="24"/>
                <w:szCs w:val="24"/>
                <w:highlight w:val="none"/>
                <w:lang w:eastAsia="zh-CN"/>
              </w:rPr>
              <w:t>为</w:t>
            </w:r>
            <w:r>
              <w:rPr>
                <w:rFonts w:hint="eastAsia"/>
                <w:sz w:val="24"/>
                <w:szCs w:val="24"/>
                <w:highlight w:val="none"/>
                <w:lang w:val="en-US" w:eastAsia="zh-CN"/>
              </w:rPr>
              <w:t>65</w:t>
            </w:r>
            <w:r>
              <w:rPr>
                <w:rFonts w:hint="eastAsia"/>
                <w:sz w:val="24"/>
                <w:szCs w:val="24"/>
                <w:highlight w:val="none"/>
                <w:lang w:eastAsia="zh-CN"/>
              </w:rPr>
              <w:t xml:space="preserve"> t/d，</w:t>
            </w:r>
            <w:r>
              <w:rPr>
                <w:rFonts w:hint="eastAsia" w:ascii="Times New Roman" w:hAnsi="Times New Roman" w:eastAsia="宋体" w:cs="Times New Roman"/>
                <w:i w:val="0"/>
                <w:iCs w:val="0"/>
                <w:caps w:val="0"/>
                <w:color w:val="auto"/>
                <w:spacing w:val="0"/>
                <w:sz w:val="24"/>
                <w:szCs w:val="24"/>
                <w:highlight w:val="none"/>
                <w:shd w:val="clear" w:color="auto" w:fill="FFFFFF"/>
                <w:lang w:val="en-US" w:eastAsia="zh-CN"/>
              </w:rPr>
              <w:t>来满足</w:t>
            </w:r>
            <w:r>
              <w:rPr>
                <w:rFonts w:hint="eastAsia" w:ascii="Times New Roman" w:hAnsi="Times New Roman" w:eastAsia="宋体" w:cs="Times New Roman"/>
                <w:i w:val="0"/>
                <w:iCs w:val="0"/>
                <w:caps w:val="0"/>
                <w:color w:val="auto"/>
                <w:spacing w:val="0"/>
                <w:sz w:val="24"/>
                <w:szCs w:val="24"/>
                <w:highlight w:val="none"/>
                <w:shd w:val="clear" w:color="auto" w:fill="FFFFFF"/>
                <w:lang w:eastAsia="zh-CN"/>
              </w:rPr>
              <w:t>医院项目</w:t>
            </w:r>
            <w:r>
              <w:rPr>
                <w:rFonts w:ascii="Times New Roman" w:hAnsi="Times New Roman" w:eastAsia="Segoe UI" w:cs="Times New Roman"/>
                <w:i w:val="0"/>
                <w:iCs w:val="0"/>
                <w:caps w:val="0"/>
                <w:color w:val="auto"/>
                <w:spacing w:val="0"/>
                <w:sz w:val="24"/>
                <w:szCs w:val="24"/>
                <w:highlight w:val="none"/>
                <w:shd w:val="clear" w:color="auto" w:fill="FFFFFF"/>
              </w:rPr>
              <w:t>废水处理需求</w:t>
            </w:r>
            <w:r>
              <w:rPr>
                <w:rFonts w:hint="eastAsia"/>
                <w:sz w:val="24"/>
                <w:szCs w:val="24"/>
                <w:highlight w:val="none"/>
                <w:lang w:eastAsia="zh-CN"/>
              </w:rPr>
              <w:t>。</w:t>
            </w:r>
          </w:p>
          <w:p w14:paraId="4B9D4468">
            <w:pPr>
              <w:pStyle w:val="9"/>
              <w:numPr>
                <w:ilvl w:val="0"/>
                <w:numId w:val="0"/>
              </w:numPr>
              <w:spacing w:line="360" w:lineRule="auto"/>
              <w:ind w:firstLine="480" w:firstLineChars="200"/>
              <w:rPr>
                <w:rFonts w:hint="eastAsia"/>
                <w:sz w:val="24"/>
                <w:szCs w:val="24"/>
                <w:highlight w:val="none"/>
                <w:lang w:eastAsia="zh-CN"/>
              </w:rPr>
            </w:pPr>
            <w:r>
              <w:rPr>
                <w:rFonts w:hint="eastAsia"/>
                <w:sz w:val="24"/>
                <w:szCs w:val="24"/>
                <w:highlight w:val="none"/>
                <w:lang w:eastAsia="zh-CN"/>
              </w:rPr>
              <w:t>②污水处理工艺可行性分析</w:t>
            </w:r>
          </w:p>
          <w:p w14:paraId="65470BEE">
            <w:pPr>
              <w:pStyle w:val="9"/>
              <w:numPr>
                <w:ilvl w:val="0"/>
                <w:numId w:val="0"/>
              </w:numPr>
              <w:spacing w:line="360" w:lineRule="auto"/>
              <w:ind w:firstLine="480" w:firstLineChars="200"/>
              <w:rPr>
                <w:rFonts w:hint="eastAsia"/>
                <w:sz w:val="24"/>
                <w:szCs w:val="24"/>
                <w:lang w:eastAsia="zh-CN"/>
              </w:rPr>
            </w:pPr>
            <w:r>
              <w:rPr>
                <w:rFonts w:hint="eastAsia"/>
                <w:sz w:val="24"/>
                <w:szCs w:val="24"/>
                <w:lang w:eastAsia="zh-CN"/>
              </w:rPr>
              <w:t>根据《医院污水处理工程技术规范》（HJ2029-2013），特殊性质污水应经预处理后进入医院污水处理系统，若处理出水排入终端已建有正常运行的二级污水处理厂的城市污水管网时，可采用一级强化处理+消毒工艺。因此本项目污水处理工艺可行。《医院污水处理工程技术规范》（HJ2029-2013）中推荐的一级强化处理+消毒工艺流程如下图所示。</w:t>
            </w:r>
          </w:p>
          <w:p w14:paraId="7457C686">
            <w:pPr>
              <w:pStyle w:val="9"/>
              <w:numPr>
                <w:ilvl w:val="0"/>
                <w:numId w:val="0"/>
              </w:numPr>
              <w:spacing w:line="360" w:lineRule="auto"/>
              <w:ind w:firstLine="360" w:firstLineChars="200"/>
              <w:rPr>
                <w:rFonts w:hint="eastAsia"/>
                <w:sz w:val="24"/>
                <w:szCs w:val="24"/>
                <w:lang w:eastAsia="zh-CN"/>
              </w:rPr>
            </w:pPr>
            <w:r>
              <w:rPr>
                <w:rFonts w:cs="Times New Roman"/>
                <w:color w:val="000000"/>
              </w:rPr>
              <w:drawing>
                <wp:inline distT="0" distB="0" distL="114300" distR="114300">
                  <wp:extent cx="5270500" cy="806450"/>
                  <wp:effectExtent l="0" t="0" r="0" b="12700"/>
                  <wp:docPr id="66"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图片 31"/>
                          <pic:cNvPicPr>
                            <a:picLocks noChangeAspect="1"/>
                          </pic:cNvPicPr>
                        </pic:nvPicPr>
                        <pic:blipFill>
                          <a:blip r:embed="rId16">
                            <a:clrChange>
                              <a:clrFrom>
                                <a:srgbClr val="FFFFFF"/>
                              </a:clrFrom>
                              <a:clrTo>
                                <a:srgbClr val="FFFFFF">
                                  <a:alpha val="0"/>
                                </a:srgbClr>
                              </a:clrTo>
                            </a:clrChange>
                            <a:lum bright="-17999" contrast="30000"/>
                          </a:blip>
                          <a:stretch>
                            <a:fillRect/>
                          </a:stretch>
                        </pic:blipFill>
                        <pic:spPr>
                          <a:xfrm>
                            <a:off x="0" y="0"/>
                            <a:ext cx="5270500" cy="806450"/>
                          </a:xfrm>
                          <a:prstGeom prst="rect">
                            <a:avLst/>
                          </a:prstGeom>
                          <a:noFill/>
                          <a:ln>
                            <a:noFill/>
                          </a:ln>
                        </pic:spPr>
                      </pic:pic>
                    </a:graphicData>
                  </a:graphic>
                </wp:inline>
              </w:drawing>
            </w:r>
          </w:p>
          <w:p w14:paraId="619CDDAF">
            <w:pPr>
              <w:widowControl/>
              <w:spacing w:line="360" w:lineRule="auto"/>
              <w:ind w:firstLine="0" w:firstLineChars="0"/>
              <w:jc w:val="center"/>
              <w:rPr>
                <w:rFonts w:hint="eastAsia" w:eastAsia="新宋体"/>
                <w:b/>
                <w:bCs/>
                <w:sz w:val="21"/>
                <w:szCs w:val="21"/>
              </w:rPr>
            </w:pPr>
            <w:r>
              <w:rPr>
                <w:rFonts w:hint="eastAsia" w:eastAsia="新宋体"/>
                <w:b/>
                <w:bCs/>
                <w:sz w:val="21"/>
                <w:szCs w:val="21"/>
              </w:rPr>
              <w:t>图4-2典型一级强化处理+消毒工艺流程图</w:t>
            </w:r>
          </w:p>
          <w:p w14:paraId="6C7CF0E7">
            <w:pPr>
              <w:widowControl/>
              <w:spacing w:line="360" w:lineRule="auto"/>
              <w:ind w:firstLine="480" w:firstLineChars="200"/>
              <w:jc w:val="left"/>
              <w:rPr>
                <w:rFonts w:hint="eastAsia" w:eastAsia="新宋体"/>
                <w:b w:val="0"/>
                <w:bCs w:val="0"/>
                <w:sz w:val="24"/>
              </w:rPr>
            </w:pPr>
            <w:r>
              <w:rPr>
                <w:rFonts w:hint="eastAsia" w:eastAsia="新宋体"/>
                <w:b w:val="0"/>
                <w:bCs w:val="0"/>
                <w:sz w:val="24"/>
              </w:rPr>
              <w:t>同时根据《排污许可证申请与核发技术规范 医疗机构》（HJ 1105—2020）中医疗机构污水治理可行技术，项目污水处理站采用的处理工艺为“一级强化处理+消毒（二氧化氯）工艺”属于技术规范中推荐的可行技术，见下表。</w:t>
            </w:r>
          </w:p>
          <w:p w14:paraId="09B45C46">
            <w:pPr>
              <w:pStyle w:val="9"/>
              <w:jc w:val="center"/>
              <w:rPr>
                <w:rFonts w:hint="eastAsia"/>
                <w:b/>
                <w:bCs/>
                <w:sz w:val="21"/>
                <w:szCs w:val="21"/>
              </w:rPr>
            </w:pPr>
            <w:r>
              <w:rPr>
                <w:rFonts w:hint="eastAsia"/>
                <w:b/>
                <w:bCs/>
                <w:sz w:val="21"/>
                <w:szCs w:val="21"/>
              </w:rPr>
              <w:t>表4-</w:t>
            </w:r>
            <w:r>
              <w:rPr>
                <w:rFonts w:hint="eastAsia"/>
                <w:b/>
                <w:bCs/>
                <w:sz w:val="21"/>
                <w:szCs w:val="21"/>
                <w:lang w:val="en-US" w:eastAsia="zh-CN"/>
              </w:rPr>
              <w:t>6</w:t>
            </w:r>
            <w:r>
              <w:rPr>
                <w:rFonts w:hint="eastAsia"/>
                <w:b/>
                <w:bCs/>
                <w:sz w:val="21"/>
                <w:szCs w:val="21"/>
              </w:rPr>
              <w:t xml:space="preserve">  医疗机构排污单位污水治理可行技术参照表</w:t>
            </w:r>
          </w:p>
          <w:tbl>
            <w:tblPr>
              <w:tblStyle w:val="14"/>
              <w:tblW w:w="495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93"/>
              <w:gridCol w:w="2137"/>
              <w:gridCol w:w="1113"/>
              <w:gridCol w:w="3780"/>
            </w:tblGrid>
            <w:tr w14:paraId="4DE3E1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114" w:type="dxa"/>
                  <w:tcBorders>
                    <w:top w:val="single" w:color="auto" w:sz="4" w:space="0"/>
                    <w:left w:val="single" w:color="auto" w:sz="4" w:space="0"/>
                    <w:bottom w:val="single" w:color="auto" w:sz="4" w:space="0"/>
                    <w:right w:val="single" w:color="auto" w:sz="4" w:space="0"/>
                  </w:tcBorders>
                  <w:noWrap w:val="0"/>
                  <w:vAlign w:val="center"/>
                </w:tcPr>
                <w:p w14:paraId="164B752D">
                  <w:pPr>
                    <w:snapToGrid w:val="0"/>
                    <w:ind w:firstLine="0" w:firstLineChars="0"/>
                    <w:jc w:val="center"/>
                    <w:rPr>
                      <w:rFonts w:cs="Times New Roman"/>
                      <w:b/>
                      <w:color w:val="000000"/>
                    </w:rPr>
                  </w:pPr>
                  <w:r>
                    <w:rPr>
                      <w:rFonts w:cs="Times New Roman"/>
                      <w:b/>
                      <w:color w:val="000000"/>
                    </w:rPr>
                    <w:t>污水类别</w:t>
                  </w:r>
                </w:p>
              </w:tc>
              <w:tc>
                <w:tcPr>
                  <w:tcW w:w="2184" w:type="dxa"/>
                  <w:tcBorders>
                    <w:top w:val="single" w:color="auto" w:sz="4" w:space="0"/>
                    <w:left w:val="single" w:color="auto" w:sz="4" w:space="0"/>
                    <w:bottom w:val="single" w:color="auto" w:sz="4" w:space="0"/>
                    <w:right w:val="single" w:color="auto" w:sz="4" w:space="0"/>
                  </w:tcBorders>
                  <w:noWrap w:val="0"/>
                  <w:vAlign w:val="center"/>
                </w:tcPr>
                <w:p w14:paraId="32B53ED3">
                  <w:pPr>
                    <w:snapToGrid w:val="0"/>
                    <w:ind w:firstLine="0" w:firstLineChars="0"/>
                    <w:rPr>
                      <w:rFonts w:cs="Times New Roman"/>
                      <w:b/>
                      <w:color w:val="000000"/>
                    </w:rPr>
                  </w:pPr>
                  <w:r>
                    <w:rPr>
                      <w:rFonts w:cs="Times New Roman"/>
                      <w:b/>
                      <w:color w:val="000000"/>
                    </w:rPr>
                    <w:t>污染物种类</w:t>
                  </w:r>
                </w:p>
              </w:tc>
              <w:tc>
                <w:tcPr>
                  <w:tcW w:w="1134" w:type="dxa"/>
                  <w:tcBorders>
                    <w:top w:val="single" w:color="auto" w:sz="4" w:space="0"/>
                    <w:left w:val="single" w:color="auto" w:sz="4" w:space="0"/>
                    <w:bottom w:val="single" w:color="auto" w:sz="4" w:space="0"/>
                    <w:right w:val="single" w:color="auto" w:sz="4" w:space="0"/>
                  </w:tcBorders>
                  <w:noWrap w:val="0"/>
                  <w:vAlign w:val="center"/>
                </w:tcPr>
                <w:p w14:paraId="39005189">
                  <w:pPr>
                    <w:snapToGrid w:val="0"/>
                    <w:ind w:firstLine="0" w:firstLineChars="0"/>
                    <w:rPr>
                      <w:rFonts w:cs="Times New Roman"/>
                      <w:b/>
                      <w:color w:val="000000"/>
                    </w:rPr>
                  </w:pPr>
                  <w:r>
                    <w:rPr>
                      <w:rFonts w:cs="Times New Roman"/>
                      <w:b/>
                      <w:color w:val="000000"/>
                    </w:rPr>
                    <w:t>排放去向</w:t>
                  </w:r>
                </w:p>
              </w:tc>
              <w:tc>
                <w:tcPr>
                  <w:tcW w:w="3867" w:type="dxa"/>
                  <w:tcBorders>
                    <w:top w:val="single" w:color="auto" w:sz="4" w:space="0"/>
                    <w:left w:val="single" w:color="auto" w:sz="4" w:space="0"/>
                    <w:bottom w:val="single" w:color="auto" w:sz="4" w:space="0"/>
                    <w:right w:val="single" w:color="auto" w:sz="4" w:space="0"/>
                  </w:tcBorders>
                  <w:noWrap w:val="0"/>
                  <w:vAlign w:val="center"/>
                </w:tcPr>
                <w:p w14:paraId="71EC074F">
                  <w:pPr>
                    <w:snapToGrid w:val="0"/>
                    <w:ind w:firstLine="0" w:firstLineChars="0"/>
                    <w:rPr>
                      <w:rFonts w:cs="Times New Roman"/>
                      <w:b/>
                      <w:color w:val="000000"/>
                    </w:rPr>
                  </w:pPr>
                  <w:r>
                    <w:rPr>
                      <w:rFonts w:cs="Times New Roman"/>
                      <w:b/>
                      <w:color w:val="000000"/>
                    </w:rPr>
                    <w:t>可行技术</w:t>
                  </w:r>
                </w:p>
              </w:tc>
            </w:tr>
            <w:tr w14:paraId="1CABA4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114" w:type="dxa"/>
                  <w:tcBorders>
                    <w:top w:val="single" w:color="auto" w:sz="4" w:space="0"/>
                    <w:left w:val="single" w:color="auto" w:sz="4" w:space="0"/>
                    <w:bottom w:val="single" w:color="auto" w:sz="4" w:space="0"/>
                    <w:right w:val="single" w:color="auto" w:sz="4" w:space="0"/>
                  </w:tcBorders>
                  <w:noWrap w:val="0"/>
                  <w:vAlign w:val="center"/>
                </w:tcPr>
                <w:p w14:paraId="32D3F161">
                  <w:pPr>
                    <w:snapToGrid w:val="0"/>
                    <w:ind w:firstLine="0" w:firstLineChars="0"/>
                    <w:jc w:val="center"/>
                    <w:rPr>
                      <w:rFonts w:cs="Times New Roman"/>
                      <w:color w:val="000000"/>
                    </w:rPr>
                  </w:pPr>
                  <w:r>
                    <w:rPr>
                      <w:rFonts w:cs="Times New Roman"/>
                      <w:color w:val="000000"/>
                    </w:rPr>
                    <w:t>医疗污水</w:t>
                  </w:r>
                </w:p>
              </w:tc>
              <w:tc>
                <w:tcPr>
                  <w:tcW w:w="2184" w:type="dxa"/>
                  <w:tcBorders>
                    <w:top w:val="single" w:color="auto" w:sz="4" w:space="0"/>
                    <w:left w:val="single" w:color="auto" w:sz="4" w:space="0"/>
                    <w:bottom w:val="single" w:color="auto" w:sz="4" w:space="0"/>
                    <w:right w:val="single" w:color="auto" w:sz="4" w:space="0"/>
                  </w:tcBorders>
                  <w:noWrap w:val="0"/>
                  <w:vAlign w:val="center"/>
                </w:tcPr>
                <w:p w14:paraId="7BCCC7A6">
                  <w:pPr>
                    <w:snapToGrid w:val="0"/>
                    <w:ind w:firstLine="0" w:firstLineChars="0"/>
                    <w:jc w:val="both"/>
                    <w:rPr>
                      <w:rFonts w:cs="Times New Roman"/>
                      <w:color w:val="000000"/>
                    </w:rPr>
                  </w:pPr>
                  <w:r>
                    <w:rPr>
                      <w:rFonts w:cs="Times New Roman"/>
                      <w:color w:val="000000"/>
                    </w:rPr>
                    <w:t>粪大肠菌群数、肠道致病菌、肠道病毒、化学需氧量、氨氮、pH 值、悬浮物、五日生化需氧量、动植物油、石油类、阴离子表面活性剂、挥发酚、色度、总氰化物、总余氯</w:t>
                  </w:r>
                </w:p>
              </w:tc>
              <w:tc>
                <w:tcPr>
                  <w:tcW w:w="1134" w:type="dxa"/>
                  <w:tcBorders>
                    <w:top w:val="single" w:color="auto" w:sz="4" w:space="0"/>
                    <w:left w:val="single" w:color="auto" w:sz="4" w:space="0"/>
                    <w:bottom w:val="single" w:color="auto" w:sz="4" w:space="0"/>
                    <w:right w:val="single" w:color="auto" w:sz="4" w:space="0"/>
                  </w:tcBorders>
                  <w:noWrap w:val="0"/>
                  <w:vAlign w:val="center"/>
                </w:tcPr>
                <w:p w14:paraId="097E1E34">
                  <w:pPr>
                    <w:snapToGrid w:val="0"/>
                    <w:ind w:firstLine="0" w:firstLineChars="0"/>
                    <w:jc w:val="center"/>
                    <w:rPr>
                      <w:rFonts w:cs="Times New Roman"/>
                      <w:color w:val="000000"/>
                    </w:rPr>
                  </w:pPr>
                  <w:r>
                    <w:rPr>
                      <w:rFonts w:cs="Times New Roman"/>
                      <w:color w:val="000000"/>
                    </w:rPr>
                    <w:t>排入城镇污水处理厂</w:t>
                  </w:r>
                </w:p>
              </w:tc>
              <w:tc>
                <w:tcPr>
                  <w:tcW w:w="3867" w:type="dxa"/>
                  <w:tcBorders>
                    <w:top w:val="single" w:color="auto" w:sz="4" w:space="0"/>
                    <w:left w:val="single" w:color="auto" w:sz="4" w:space="0"/>
                    <w:bottom w:val="single" w:color="auto" w:sz="4" w:space="0"/>
                    <w:right w:val="single" w:color="auto" w:sz="4" w:space="0"/>
                  </w:tcBorders>
                  <w:noWrap w:val="0"/>
                  <w:vAlign w:val="center"/>
                </w:tcPr>
                <w:p w14:paraId="755A0FD9">
                  <w:pPr>
                    <w:snapToGrid w:val="0"/>
                    <w:ind w:firstLine="0" w:firstLineChars="0"/>
                    <w:jc w:val="both"/>
                    <w:rPr>
                      <w:rFonts w:cs="Times New Roman"/>
                      <w:color w:val="000000"/>
                    </w:rPr>
                  </w:pPr>
                  <w:r>
                    <w:rPr>
                      <w:rFonts w:cs="Times New Roman"/>
                      <w:color w:val="000000"/>
                    </w:rPr>
                    <w:t>一级处理/一级强化处理+消毒工艺。</w:t>
                  </w:r>
                </w:p>
                <w:p w14:paraId="0FB38433">
                  <w:pPr>
                    <w:snapToGrid w:val="0"/>
                    <w:ind w:firstLine="0" w:firstLineChars="0"/>
                    <w:jc w:val="both"/>
                    <w:rPr>
                      <w:rFonts w:cs="Times New Roman"/>
                      <w:color w:val="000000"/>
                    </w:rPr>
                  </w:pPr>
                  <w:r>
                    <w:rPr>
                      <w:rFonts w:cs="Times New Roman"/>
                      <w:color w:val="000000"/>
                    </w:rPr>
                    <w:t>一级处理包括：筛滤法；沉淀法；气浮法；预曝气法。</w:t>
                  </w:r>
                </w:p>
                <w:p w14:paraId="7AC20D26">
                  <w:pPr>
                    <w:snapToGrid w:val="0"/>
                    <w:ind w:firstLine="0" w:firstLineChars="0"/>
                    <w:jc w:val="both"/>
                    <w:rPr>
                      <w:rFonts w:cs="Times New Roman"/>
                      <w:color w:val="000000"/>
                    </w:rPr>
                  </w:pPr>
                  <w:r>
                    <w:rPr>
                      <w:rFonts w:cs="Times New Roman"/>
                      <w:color w:val="000000"/>
                    </w:rPr>
                    <w:t>一级强化处理包括：化学混凝处理、机械过滤或不完全生物处理。</w:t>
                  </w:r>
                </w:p>
                <w:p w14:paraId="59D119D8">
                  <w:pPr>
                    <w:snapToGrid w:val="0"/>
                    <w:ind w:firstLine="0" w:firstLineChars="0"/>
                    <w:jc w:val="both"/>
                    <w:rPr>
                      <w:rFonts w:cs="Times New Roman"/>
                      <w:color w:val="000000"/>
                    </w:rPr>
                  </w:pPr>
                  <w:r>
                    <w:rPr>
                      <w:rFonts w:cs="Times New Roman"/>
                      <w:color w:val="000000"/>
                    </w:rPr>
                    <w:t>消毒工艺：加氯消毒，臭氧法消毒，次氯酸钠法、二氧化氯法消毒、紫外线消毒等。</w:t>
                  </w:r>
                </w:p>
              </w:tc>
            </w:tr>
          </w:tbl>
          <w:p w14:paraId="097E6CA8">
            <w:pPr>
              <w:spacing w:line="360" w:lineRule="auto"/>
              <w:ind w:firstLine="482"/>
              <w:jc w:val="both"/>
              <w:rPr>
                <w:rFonts w:cs="Times New Roman"/>
                <w:b/>
                <w:bCs/>
                <w:color w:val="000000"/>
                <w:sz w:val="24"/>
              </w:rPr>
            </w:pPr>
            <w:r>
              <w:rPr>
                <w:rFonts w:hint="eastAsia" w:ascii="宋体" w:hAnsi="宋体"/>
                <w:b/>
                <w:bCs/>
                <w:color w:val="000000"/>
                <w:sz w:val="24"/>
              </w:rPr>
              <w:t>③</w:t>
            </w:r>
            <w:r>
              <w:rPr>
                <w:rFonts w:cs="Times New Roman"/>
                <w:b/>
                <w:bCs/>
                <w:color w:val="000000"/>
                <w:sz w:val="24"/>
              </w:rPr>
              <w:t>污水处理站设计指标合理性分析</w:t>
            </w:r>
          </w:p>
          <w:p w14:paraId="587B52F4">
            <w:pPr>
              <w:spacing w:line="360" w:lineRule="auto"/>
              <w:ind w:firstLine="480"/>
              <w:jc w:val="both"/>
              <w:rPr>
                <w:rFonts w:cs="Times New Roman"/>
                <w:color w:val="000000"/>
                <w:sz w:val="24"/>
              </w:rPr>
            </w:pPr>
            <w:r>
              <w:rPr>
                <w:rFonts w:cs="Times New Roman"/>
                <w:color w:val="000000"/>
                <w:sz w:val="24"/>
              </w:rPr>
              <w:t>项目污水处理站设计规模为</w:t>
            </w:r>
            <w:r>
              <w:rPr>
                <w:rFonts w:hint="eastAsia" w:cs="Times New Roman"/>
                <w:color w:val="000000"/>
                <w:sz w:val="24"/>
                <w:lang w:val="en-US" w:eastAsia="zh-CN"/>
              </w:rPr>
              <w:t>65t</w:t>
            </w:r>
            <w:r>
              <w:rPr>
                <w:rFonts w:cs="Times New Roman"/>
                <w:color w:val="000000"/>
                <w:sz w:val="24"/>
              </w:rPr>
              <w:t>/d，相关设计指标与《医院污水处理工程技术规范》（HJ2029-2013）符合性分析详见下表。</w:t>
            </w:r>
          </w:p>
          <w:p w14:paraId="78B72442">
            <w:pPr>
              <w:snapToGrid w:val="0"/>
              <w:ind w:firstLine="0" w:firstLineChars="0"/>
              <w:jc w:val="center"/>
              <w:rPr>
                <w:rFonts w:cs="Times New Roman"/>
                <w:b/>
                <w:bCs/>
                <w:color w:val="000000"/>
              </w:rPr>
            </w:pPr>
            <w:r>
              <w:rPr>
                <w:rFonts w:cs="Times New Roman"/>
                <w:b/>
                <w:bCs/>
                <w:color w:val="000000"/>
              </w:rPr>
              <w:t>表4-</w:t>
            </w:r>
            <w:r>
              <w:rPr>
                <w:rFonts w:hint="eastAsia" w:cs="Times New Roman"/>
                <w:b/>
                <w:bCs/>
                <w:color w:val="000000"/>
                <w:lang w:val="en-US" w:eastAsia="zh-CN"/>
              </w:rPr>
              <w:t>7</w:t>
            </w:r>
            <w:r>
              <w:rPr>
                <w:rFonts w:cs="Times New Roman"/>
                <w:b/>
                <w:bCs/>
                <w:color w:val="000000"/>
              </w:rPr>
              <w:t xml:space="preserve"> 相关设计指标与《医院污水处理工程技术规范》对比一览表</w:t>
            </w:r>
          </w:p>
          <w:tbl>
            <w:tblPr>
              <w:tblStyle w:val="14"/>
              <w:tblW w:w="495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56"/>
              <w:gridCol w:w="3430"/>
              <w:gridCol w:w="2547"/>
              <w:gridCol w:w="990"/>
            </w:tblGrid>
            <w:tr w14:paraId="31C1DD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79" w:type="dxa"/>
                  <w:tcBorders>
                    <w:top w:val="single" w:color="auto" w:sz="4" w:space="0"/>
                    <w:left w:val="single" w:color="auto" w:sz="4" w:space="0"/>
                    <w:bottom w:val="single" w:color="auto" w:sz="4" w:space="0"/>
                    <w:right w:val="single" w:color="auto" w:sz="4" w:space="0"/>
                  </w:tcBorders>
                  <w:noWrap w:val="0"/>
                  <w:vAlign w:val="center"/>
                </w:tcPr>
                <w:p w14:paraId="5C6FD8FC">
                  <w:pPr>
                    <w:snapToGrid w:val="0"/>
                    <w:ind w:firstLine="0" w:firstLineChars="0"/>
                    <w:jc w:val="center"/>
                    <w:rPr>
                      <w:rFonts w:cs="Times New Roman"/>
                      <w:color w:val="000000"/>
                    </w:rPr>
                  </w:pPr>
                  <w:r>
                    <w:rPr>
                      <w:rFonts w:cs="Times New Roman"/>
                      <w:color w:val="000000"/>
                    </w:rPr>
                    <w:t>处理工艺</w:t>
                  </w:r>
                </w:p>
              </w:tc>
              <w:tc>
                <w:tcPr>
                  <w:tcW w:w="3508" w:type="dxa"/>
                  <w:tcBorders>
                    <w:top w:val="single" w:color="auto" w:sz="4" w:space="0"/>
                    <w:left w:val="single" w:color="auto" w:sz="4" w:space="0"/>
                    <w:bottom w:val="single" w:color="auto" w:sz="4" w:space="0"/>
                    <w:right w:val="single" w:color="auto" w:sz="4" w:space="0"/>
                  </w:tcBorders>
                  <w:noWrap w:val="0"/>
                  <w:vAlign w:val="center"/>
                </w:tcPr>
                <w:p w14:paraId="09299016">
                  <w:pPr>
                    <w:snapToGrid w:val="0"/>
                    <w:ind w:firstLine="0" w:firstLineChars="0"/>
                    <w:jc w:val="center"/>
                    <w:rPr>
                      <w:rFonts w:cs="Times New Roman"/>
                      <w:color w:val="000000"/>
                    </w:rPr>
                  </w:pPr>
                  <w:r>
                    <w:rPr>
                      <w:rFonts w:cs="Times New Roman"/>
                      <w:color w:val="000000"/>
                    </w:rPr>
                    <w:t>医院污水处理工程技术规范</w:t>
                  </w:r>
                </w:p>
              </w:tc>
              <w:tc>
                <w:tcPr>
                  <w:tcW w:w="2604" w:type="dxa"/>
                  <w:tcBorders>
                    <w:top w:val="single" w:color="auto" w:sz="4" w:space="0"/>
                    <w:left w:val="single" w:color="auto" w:sz="4" w:space="0"/>
                    <w:bottom w:val="single" w:color="auto" w:sz="4" w:space="0"/>
                    <w:right w:val="single" w:color="auto" w:sz="4" w:space="0"/>
                  </w:tcBorders>
                  <w:noWrap w:val="0"/>
                  <w:vAlign w:val="center"/>
                </w:tcPr>
                <w:p w14:paraId="1AE34565">
                  <w:pPr>
                    <w:snapToGrid w:val="0"/>
                    <w:ind w:firstLine="0" w:firstLineChars="0"/>
                    <w:jc w:val="center"/>
                    <w:rPr>
                      <w:rFonts w:cs="Times New Roman"/>
                      <w:color w:val="000000"/>
                    </w:rPr>
                  </w:pPr>
                  <w:r>
                    <w:rPr>
                      <w:rFonts w:cs="Times New Roman"/>
                      <w:color w:val="000000"/>
                    </w:rPr>
                    <w:t>本次设计容积</w:t>
                  </w:r>
                </w:p>
              </w:tc>
              <w:tc>
                <w:tcPr>
                  <w:tcW w:w="1008" w:type="dxa"/>
                  <w:tcBorders>
                    <w:top w:val="single" w:color="auto" w:sz="4" w:space="0"/>
                    <w:left w:val="single" w:color="auto" w:sz="4" w:space="0"/>
                    <w:bottom w:val="single" w:color="auto" w:sz="4" w:space="0"/>
                    <w:right w:val="single" w:color="auto" w:sz="4" w:space="0"/>
                  </w:tcBorders>
                  <w:noWrap w:val="0"/>
                  <w:vAlign w:val="center"/>
                </w:tcPr>
                <w:p w14:paraId="28389052">
                  <w:pPr>
                    <w:snapToGrid w:val="0"/>
                    <w:ind w:firstLine="0" w:firstLineChars="0"/>
                    <w:jc w:val="center"/>
                    <w:rPr>
                      <w:rFonts w:cs="Times New Roman"/>
                      <w:color w:val="000000"/>
                    </w:rPr>
                  </w:pPr>
                  <w:r>
                    <w:rPr>
                      <w:rFonts w:cs="Times New Roman"/>
                      <w:color w:val="000000"/>
                    </w:rPr>
                    <w:t>符合性</w:t>
                  </w:r>
                </w:p>
              </w:tc>
            </w:tr>
            <w:tr w14:paraId="08EEDA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79" w:type="dxa"/>
                  <w:tcBorders>
                    <w:top w:val="single" w:color="auto" w:sz="4" w:space="0"/>
                    <w:left w:val="single" w:color="auto" w:sz="4" w:space="0"/>
                    <w:bottom w:val="single" w:color="auto" w:sz="4" w:space="0"/>
                    <w:right w:val="single" w:color="auto" w:sz="4" w:space="0"/>
                  </w:tcBorders>
                  <w:noWrap w:val="0"/>
                  <w:vAlign w:val="center"/>
                </w:tcPr>
                <w:p w14:paraId="5FACEFB9">
                  <w:pPr>
                    <w:snapToGrid w:val="0"/>
                    <w:ind w:firstLine="0" w:firstLineChars="0"/>
                    <w:jc w:val="center"/>
                    <w:rPr>
                      <w:rFonts w:cs="Times New Roman"/>
                      <w:color w:val="000000"/>
                    </w:rPr>
                  </w:pPr>
                  <w:r>
                    <w:rPr>
                      <w:rFonts w:cs="Times New Roman"/>
                      <w:color w:val="000000"/>
                    </w:rPr>
                    <w:t>预处理</w:t>
                  </w:r>
                </w:p>
              </w:tc>
              <w:tc>
                <w:tcPr>
                  <w:tcW w:w="3508" w:type="dxa"/>
                  <w:tcBorders>
                    <w:top w:val="single" w:color="auto" w:sz="4" w:space="0"/>
                    <w:left w:val="single" w:color="auto" w:sz="4" w:space="0"/>
                    <w:bottom w:val="single" w:color="auto" w:sz="4" w:space="0"/>
                    <w:right w:val="single" w:color="auto" w:sz="4" w:space="0"/>
                  </w:tcBorders>
                  <w:noWrap w:val="0"/>
                  <w:vAlign w:val="center"/>
                </w:tcPr>
                <w:p w14:paraId="4FB06DF7">
                  <w:pPr>
                    <w:snapToGrid w:val="0"/>
                    <w:ind w:firstLine="0" w:firstLineChars="0"/>
                    <w:jc w:val="center"/>
                    <w:rPr>
                      <w:rFonts w:cs="Times New Roman"/>
                      <w:color w:val="000000"/>
                    </w:rPr>
                  </w:pPr>
                  <w:r>
                    <w:rPr>
                      <w:rFonts w:cs="Times New Roman"/>
                      <w:color w:val="000000"/>
                    </w:rPr>
                    <w:t>特殊性质污水应分类收集，足量后单独预处理，再排入医院污水处理系统。酸性废水宜采取中和。</w:t>
                  </w:r>
                </w:p>
              </w:tc>
              <w:tc>
                <w:tcPr>
                  <w:tcW w:w="2604" w:type="dxa"/>
                  <w:tcBorders>
                    <w:top w:val="single" w:color="auto" w:sz="4" w:space="0"/>
                    <w:left w:val="single" w:color="auto" w:sz="4" w:space="0"/>
                    <w:bottom w:val="single" w:color="auto" w:sz="4" w:space="0"/>
                    <w:right w:val="single" w:color="auto" w:sz="4" w:space="0"/>
                  </w:tcBorders>
                  <w:noWrap w:val="0"/>
                  <w:vAlign w:val="center"/>
                </w:tcPr>
                <w:p w14:paraId="640AACFA">
                  <w:pPr>
                    <w:snapToGrid w:val="0"/>
                    <w:ind w:firstLine="0" w:firstLineChars="0"/>
                    <w:jc w:val="center"/>
                    <w:rPr>
                      <w:rFonts w:hint="eastAsia" w:eastAsia="宋体" w:cs="Times New Roman"/>
                      <w:color w:val="000000"/>
                      <w:lang w:val="en-US" w:eastAsia="zh-CN"/>
                    </w:rPr>
                  </w:pPr>
                  <w:r>
                    <w:rPr>
                      <w:rFonts w:cs="Times New Roman"/>
                      <w:color w:val="000000"/>
                    </w:rPr>
                    <w:t>项目</w:t>
                  </w:r>
                  <w:r>
                    <w:rPr>
                      <w:rFonts w:hint="eastAsia" w:cs="Times New Roman"/>
                      <w:color w:val="000000"/>
                      <w:lang w:eastAsia="zh-CN"/>
                    </w:rPr>
                    <w:t>无特殊性质污水</w:t>
                  </w:r>
                </w:p>
              </w:tc>
              <w:tc>
                <w:tcPr>
                  <w:tcW w:w="1008" w:type="dxa"/>
                  <w:tcBorders>
                    <w:top w:val="single" w:color="auto" w:sz="4" w:space="0"/>
                    <w:left w:val="single" w:color="auto" w:sz="4" w:space="0"/>
                    <w:bottom w:val="single" w:color="auto" w:sz="4" w:space="0"/>
                    <w:right w:val="single" w:color="auto" w:sz="4" w:space="0"/>
                  </w:tcBorders>
                  <w:noWrap w:val="0"/>
                  <w:vAlign w:val="center"/>
                </w:tcPr>
                <w:p w14:paraId="147CC578">
                  <w:pPr>
                    <w:snapToGrid w:val="0"/>
                    <w:ind w:firstLine="0" w:firstLineChars="0"/>
                    <w:jc w:val="center"/>
                    <w:rPr>
                      <w:rFonts w:cs="Times New Roman"/>
                      <w:color w:val="000000"/>
                    </w:rPr>
                  </w:pPr>
                  <w:r>
                    <w:rPr>
                      <w:rFonts w:cs="Times New Roman"/>
                      <w:color w:val="000000"/>
                    </w:rPr>
                    <w:t>符合</w:t>
                  </w:r>
                </w:p>
              </w:tc>
            </w:tr>
            <w:tr w14:paraId="258E67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79" w:type="dxa"/>
                  <w:tcBorders>
                    <w:top w:val="single" w:color="auto" w:sz="4" w:space="0"/>
                    <w:left w:val="single" w:color="auto" w:sz="4" w:space="0"/>
                    <w:bottom w:val="single" w:color="auto" w:sz="4" w:space="0"/>
                    <w:right w:val="single" w:color="auto" w:sz="4" w:space="0"/>
                  </w:tcBorders>
                  <w:noWrap w:val="0"/>
                  <w:vAlign w:val="center"/>
                </w:tcPr>
                <w:p w14:paraId="0399BFBF">
                  <w:pPr>
                    <w:snapToGrid w:val="0"/>
                    <w:ind w:firstLine="0" w:firstLineChars="0"/>
                    <w:jc w:val="center"/>
                    <w:rPr>
                      <w:rFonts w:cs="Times New Roman"/>
                      <w:color w:val="000000"/>
                    </w:rPr>
                  </w:pPr>
                  <w:r>
                    <w:rPr>
                      <w:rFonts w:cs="Times New Roman"/>
                      <w:color w:val="000000"/>
                    </w:rPr>
                    <w:t>调节池</w:t>
                  </w:r>
                </w:p>
              </w:tc>
              <w:tc>
                <w:tcPr>
                  <w:tcW w:w="3508" w:type="dxa"/>
                  <w:tcBorders>
                    <w:top w:val="single" w:color="auto" w:sz="4" w:space="0"/>
                    <w:left w:val="single" w:color="auto" w:sz="4" w:space="0"/>
                    <w:bottom w:val="single" w:color="auto" w:sz="4" w:space="0"/>
                    <w:right w:val="single" w:color="auto" w:sz="4" w:space="0"/>
                  </w:tcBorders>
                  <w:noWrap w:val="0"/>
                  <w:vAlign w:val="center"/>
                </w:tcPr>
                <w:p w14:paraId="7674968B">
                  <w:pPr>
                    <w:snapToGrid w:val="0"/>
                    <w:ind w:firstLine="0" w:firstLineChars="0"/>
                    <w:jc w:val="center"/>
                    <w:rPr>
                      <w:rFonts w:cs="Times New Roman"/>
                      <w:color w:val="000000"/>
                    </w:rPr>
                  </w:pPr>
                  <w:r>
                    <w:rPr>
                      <w:rFonts w:cs="Times New Roman"/>
                      <w:color w:val="000000"/>
                    </w:rPr>
                    <w:t>其有效容积按照日处理水量的6~8 h计算，间歇运行时，其有效容积按工艺运行周期计算</w:t>
                  </w:r>
                </w:p>
              </w:tc>
              <w:tc>
                <w:tcPr>
                  <w:tcW w:w="2604" w:type="dxa"/>
                  <w:tcBorders>
                    <w:top w:val="single" w:color="auto" w:sz="4" w:space="0"/>
                    <w:left w:val="single" w:color="auto" w:sz="4" w:space="0"/>
                    <w:bottom w:val="single" w:color="auto" w:sz="4" w:space="0"/>
                    <w:right w:val="single" w:color="auto" w:sz="4" w:space="0"/>
                  </w:tcBorders>
                  <w:noWrap w:val="0"/>
                  <w:vAlign w:val="center"/>
                </w:tcPr>
                <w:p w14:paraId="30321EE5">
                  <w:pPr>
                    <w:snapToGrid w:val="0"/>
                    <w:ind w:firstLine="0" w:firstLineChars="0"/>
                    <w:jc w:val="center"/>
                    <w:rPr>
                      <w:rFonts w:cs="Times New Roman"/>
                      <w:color w:val="000000"/>
                    </w:rPr>
                  </w:pPr>
                  <w:r>
                    <w:rPr>
                      <w:rFonts w:cs="Times New Roman"/>
                      <w:color w:val="000000"/>
                    </w:rPr>
                    <w:t>设计调节池有效容量为</w:t>
                  </w:r>
                  <w:r>
                    <w:rPr>
                      <w:rFonts w:hint="eastAsia" w:cs="Times New Roman"/>
                      <w:color w:val="000000"/>
                      <w:lang w:val="en-US" w:eastAsia="zh-CN"/>
                    </w:rPr>
                    <w:t>25</w:t>
                  </w:r>
                  <w:r>
                    <w:rPr>
                      <w:rFonts w:cs="Times New Roman"/>
                      <w:color w:val="000000"/>
                    </w:rPr>
                    <w:t>m</w:t>
                  </w:r>
                  <w:r>
                    <w:rPr>
                      <w:rFonts w:cs="Times New Roman"/>
                      <w:color w:val="000000"/>
                      <w:vertAlign w:val="superscript"/>
                    </w:rPr>
                    <w:t>3</w:t>
                  </w:r>
                  <w:r>
                    <w:rPr>
                      <w:rFonts w:cs="Times New Roman"/>
                      <w:color w:val="000000"/>
                    </w:rPr>
                    <w:t>，可满足</w:t>
                  </w:r>
                  <w:r>
                    <w:rPr>
                      <w:rFonts w:hint="eastAsia" w:cs="Times New Roman"/>
                      <w:color w:val="000000"/>
                      <w:lang w:val="en-US" w:eastAsia="zh-CN"/>
                    </w:rPr>
                    <w:t>6~8h</w:t>
                  </w:r>
                  <w:r>
                    <w:rPr>
                      <w:rFonts w:cs="Times New Roman"/>
                      <w:color w:val="000000"/>
                    </w:rPr>
                    <w:t>调节量</w:t>
                  </w:r>
                </w:p>
              </w:tc>
              <w:tc>
                <w:tcPr>
                  <w:tcW w:w="1008" w:type="dxa"/>
                  <w:tcBorders>
                    <w:top w:val="single" w:color="auto" w:sz="4" w:space="0"/>
                    <w:left w:val="single" w:color="auto" w:sz="4" w:space="0"/>
                    <w:bottom w:val="single" w:color="auto" w:sz="4" w:space="0"/>
                    <w:right w:val="single" w:color="auto" w:sz="4" w:space="0"/>
                  </w:tcBorders>
                  <w:noWrap w:val="0"/>
                  <w:vAlign w:val="center"/>
                </w:tcPr>
                <w:p w14:paraId="7C56D50B">
                  <w:pPr>
                    <w:snapToGrid w:val="0"/>
                    <w:ind w:firstLine="0" w:firstLineChars="0"/>
                    <w:jc w:val="center"/>
                    <w:rPr>
                      <w:rFonts w:cs="Times New Roman"/>
                      <w:color w:val="000000"/>
                    </w:rPr>
                  </w:pPr>
                  <w:r>
                    <w:rPr>
                      <w:rFonts w:cs="Times New Roman"/>
                      <w:color w:val="000000"/>
                    </w:rPr>
                    <w:t>符合</w:t>
                  </w:r>
                </w:p>
              </w:tc>
            </w:tr>
            <w:tr w14:paraId="3F2E40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79" w:type="dxa"/>
                  <w:tcBorders>
                    <w:top w:val="single" w:color="auto" w:sz="4" w:space="0"/>
                    <w:left w:val="single" w:color="auto" w:sz="4" w:space="0"/>
                    <w:bottom w:val="single" w:color="auto" w:sz="4" w:space="0"/>
                    <w:right w:val="single" w:color="auto" w:sz="4" w:space="0"/>
                  </w:tcBorders>
                  <w:noWrap w:val="0"/>
                  <w:vAlign w:val="center"/>
                </w:tcPr>
                <w:p w14:paraId="7F9ECDA1">
                  <w:pPr>
                    <w:snapToGrid w:val="0"/>
                    <w:ind w:firstLine="0" w:firstLineChars="0"/>
                    <w:jc w:val="center"/>
                    <w:rPr>
                      <w:rFonts w:cs="Times New Roman"/>
                      <w:color w:val="000000"/>
                    </w:rPr>
                  </w:pPr>
                  <w:r>
                    <w:rPr>
                      <w:rFonts w:cs="Times New Roman"/>
                      <w:color w:val="000000"/>
                    </w:rPr>
                    <w:t>混凝沉淀</w:t>
                  </w:r>
                </w:p>
              </w:tc>
              <w:tc>
                <w:tcPr>
                  <w:tcW w:w="3508" w:type="dxa"/>
                  <w:tcBorders>
                    <w:top w:val="single" w:color="auto" w:sz="4" w:space="0"/>
                    <w:left w:val="single" w:color="auto" w:sz="4" w:space="0"/>
                    <w:bottom w:val="single" w:color="auto" w:sz="4" w:space="0"/>
                    <w:right w:val="single" w:color="auto" w:sz="4" w:space="0"/>
                  </w:tcBorders>
                  <w:noWrap w:val="0"/>
                  <w:vAlign w:val="center"/>
                </w:tcPr>
                <w:p w14:paraId="7662F59D">
                  <w:pPr>
                    <w:snapToGrid w:val="0"/>
                    <w:ind w:firstLine="0" w:firstLineChars="0"/>
                    <w:jc w:val="center"/>
                    <w:rPr>
                      <w:rFonts w:cs="Times New Roman"/>
                      <w:color w:val="000000"/>
                    </w:rPr>
                  </w:pPr>
                  <w:r>
                    <w:rPr>
                      <w:rFonts w:cs="Times New Roman"/>
                      <w:color w:val="000000"/>
                    </w:rPr>
                    <w:t>医院污水的一级强化处理宜采用混凝沉淀工艺。混凝剂一般采用PAM、PAC、PFS等。混凝池宜采用机械搅拌。当沉淀池采用钢结构设备时，应采取切实有效的防腐措施；</w:t>
                  </w:r>
                </w:p>
              </w:tc>
              <w:tc>
                <w:tcPr>
                  <w:tcW w:w="2604" w:type="dxa"/>
                  <w:tcBorders>
                    <w:top w:val="single" w:color="auto" w:sz="4" w:space="0"/>
                    <w:left w:val="single" w:color="auto" w:sz="4" w:space="0"/>
                    <w:bottom w:val="single" w:color="auto" w:sz="4" w:space="0"/>
                    <w:right w:val="single" w:color="auto" w:sz="4" w:space="0"/>
                  </w:tcBorders>
                  <w:noWrap w:val="0"/>
                  <w:vAlign w:val="center"/>
                </w:tcPr>
                <w:p w14:paraId="7A062749">
                  <w:pPr>
                    <w:snapToGrid w:val="0"/>
                    <w:ind w:firstLine="0" w:firstLineChars="0"/>
                    <w:jc w:val="center"/>
                    <w:rPr>
                      <w:rFonts w:cs="Times New Roman"/>
                      <w:color w:val="000000"/>
                    </w:rPr>
                  </w:pPr>
                  <w:r>
                    <w:rPr>
                      <w:rFonts w:cs="Times New Roman"/>
                      <w:color w:val="000000"/>
                    </w:rPr>
                    <w:t>项目污水处理站为地下式，采取防渗措施，混凝池采用机械搅拌，并添加混凝剂</w:t>
                  </w:r>
                </w:p>
              </w:tc>
              <w:tc>
                <w:tcPr>
                  <w:tcW w:w="1008" w:type="dxa"/>
                  <w:tcBorders>
                    <w:top w:val="single" w:color="auto" w:sz="4" w:space="0"/>
                    <w:left w:val="single" w:color="auto" w:sz="4" w:space="0"/>
                    <w:bottom w:val="single" w:color="auto" w:sz="4" w:space="0"/>
                    <w:right w:val="single" w:color="auto" w:sz="4" w:space="0"/>
                  </w:tcBorders>
                  <w:noWrap w:val="0"/>
                  <w:vAlign w:val="center"/>
                </w:tcPr>
                <w:p w14:paraId="563A6B77">
                  <w:pPr>
                    <w:snapToGrid w:val="0"/>
                    <w:ind w:firstLine="0" w:firstLineChars="0"/>
                    <w:jc w:val="center"/>
                    <w:rPr>
                      <w:rFonts w:cs="Times New Roman"/>
                      <w:color w:val="000000"/>
                    </w:rPr>
                  </w:pPr>
                  <w:r>
                    <w:rPr>
                      <w:rFonts w:cs="Times New Roman"/>
                      <w:color w:val="000000"/>
                    </w:rPr>
                    <w:t>符合</w:t>
                  </w:r>
                </w:p>
              </w:tc>
            </w:tr>
            <w:tr w14:paraId="4BB520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79" w:type="dxa"/>
                  <w:tcBorders>
                    <w:top w:val="single" w:color="auto" w:sz="4" w:space="0"/>
                    <w:left w:val="single" w:color="auto" w:sz="4" w:space="0"/>
                    <w:bottom w:val="single" w:color="auto" w:sz="4" w:space="0"/>
                    <w:right w:val="single" w:color="auto" w:sz="4" w:space="0"/>
                  </w:tcBorders>
                  <w:noWrap w:val="0"/>
                  <w:vAlign w:val="center"/>
                </w:tcPr>
                <w:p w14:paraId="055E8EE1">
                  <w:pPr>
                    <w:snapToGrid w:val="0"/>
                    <w:ind w:firstLine="0" w:firstLineChars="0"/>
                    <w:jc w:val="center"/>
                    <w:rPr>
                      <w:rFonts w:cs="Times New Roman"/>
                      <w:color w:val="000000"/>
                    </w:rPr>
                  </w:pPr>
                  <w:r>
                    <w:rPr>
                      <w:rFonts w:cs="Times New Roman"/>
                      <w:color w:val="000000"/>
                    </w:rPr>
                    <w:t>接触消毒池</w:t>
                  </w:r>
                </w:p>
              </w:tc>
              <w:tc>
                <w:tcPr>
                  <w:tcW w:w="3508" w:type="dxa"/>
                  <w:tcBorders>
                    <w:top w:val="single" w:color="auto" w:sz="4" w:space="0"/>
                    <w:left w:val="single" w:color="auto" w:sz="4" w:space="0"/>
                    <w:bottom w:val="single" w:color="auto" w:sz="4" w:space="0"/>
                    <w:right w:val="single" w:color="auto" w:sz="4" w:space="0"/>
                  </w:tcBorders>
                  <w:noWrap w:val="0"/>
                  <w:vAlign w:val="center"/>
                </w:tcPr>
                <w:p w14:paraId="28A1FF50">
                  <w:pPr>
                    <w:snapToGrid w:val="0"/>
                    <w:ind w:firstLine="0" w:firstLineChars="0"/>
                    <w:jc w:val="center"/>
                    <w:rPr>
                      <w:rFonts w:hint="eastAsia" w:cs="Times New Roman"/>
                      <w:color w:val="000000"/>
                      <w:lang w:val="en-US" w:eastAsia="zh-CN"/>
                    </w:rPr>
                  </w:pPr>
                  <w:r>
                    <w:rPr>
                      <w:rFonts w:hint="eastAsia" w:ascii="宋体" w:hAnsi="宋体"/>
                      <w:color w:val="000000"/>
                    </w:rPr>
                    <w:t>①</w:t>
                  </w:r>
                  <w:r>
                    <w:rPr>
                      <w:rFonts w:cs="Times New Roman"/>
                      <w:color w:val="000000"/>
                    </w:rPr>
                    <w:t>非传染病医院污水接触</w:t>
                  </w:r>
                  <w:r>
                    <w:rPr>
                      <w:rFonts w:hint="eastAsia" w:cs="Times New Roman"/>
                      <w:color w:val="000000"/>
                      <w:lang w:eastAsia="zh-CN"/>
                    </w:rPr>
                    <w:t>消毒时间不宜小于</w:t>
                  </w:r>
                  <w:r>
                    <w:rPr>
                      <w:rFonts w:hint="eastAsia" w:cs="Times New Roman"/>
                      <w:color w:val="000000"/>
                      <w:lang w:val="en-US" w:eastAsia="zh-CN"/>
                    </w:rPr>
                    <w:t>1h。</w:t>
                  </w:r>
                </w:p>
                <w:p w14:paraId="50E3F4F1">
                  <w:pPr>
                    <w:snapToGrid w:val="0"/>
                    <w:ind w:firstLine="0" w:firstLineChars="0"/>
                    <w:jc w:val="center"/>
                    <w:rPr>
                      <w:rFonts w:cs="Times New Roman"/>
                      <w:color w:val="000000"/>
                    </w:rPr>
                  </w:pPr>
                  <w:r>
                    <w:rPr>
                      <w:rFonts w:hint="eastAsia" w:ascii="宋体" w:hAnsi="宋体"/>
                      <w:color w:val="000000"/>
                    </w:rPr>
                    <w:t>②</w:t>
                  </w:r>
                  <w:r>
                    <w:rPr>
                      <w:rFonts w:cs="Times New Roman"/>
                      <w:color w:val="000000"/>
                    </w:rPr>
                    <w:t>加药设备至少2 套，1 用1备</w:t>
                  </w:r>
                </w:p>
              </w:tc>
              <w:tc>
                <w:tcPr>
                  <w:tcW w:w="2604" w:type="dxa"/>
                  <w:tcBorders>
                    <w:top w:val="single" w:color="auto" w:sz="4" w:space="0"/>
                    <w:left w:val="single" w:color="auto" w:sz="4" w:space="0"/>
                    <w:bottom w:val="single" w:color="auto" w:sz="4" w:space="0"/>
                    <w:right w:val="single" w:color="auto" w:sz="4" w:space="0"/>
                  </w:tcBorders>
                  <w:noWrap w:val="0"/>
                  <w:vAlign w:val="center"/>
                </w:tcPr>
                <w:p w14:paraId="74DF63CE">
                  <w:pPr>
                    <w:snapToGrid w:val="0"/>
                    <w:ind w:firstLine="0" w:firstLineChars="0"/>
                    <w:jc w:val="center"/>
                    <w:rPr>
                      <w:rFonts w:hint="eastAsia" w:eastAsia="宋体" w:cs="Times New Roman"/>
                      <w:color w:val="000000"/>
                      <w:lang w:eastAsia="zh-CN"/>
                    </w:rPr>
                  </w:pPr>
                  <w:r>
                    <w:rPr>
                      <w:rFonts w:hint="eastAsia" w:ascii="宋体" w:hAnsi="宋体"/>
                      <w:color w:val="000000"/>
                    </w:rPr>
                    <w:t>①</w:t>
                  </w:r>
                  <w:r>
                    <w:rPr>
                      <w:rFonts w:hint="eastAsia" w:cs="Times New Roman"/>
                      <w:color w:val="000000"/>
                      <w:lang w:eastAsia="zh-CN"/>
                    </w:rPr>
                    <w:t>接触消毒时间不小于</w:t>
                  </w:r>
                  <w:r>
                    <w:rPr>
                      <w:rFonts w:hint="eastAsia" w:cs="Times New Roman"/>
                      <w:color w:val="000000"/>
                      <w:lang w:val="en-US" w:eastAsia="zh-CN"/>
                    </w:rPr>
                    <w:t>1h。</w:t>
                  </w:r>
                  <w:r>
                    <w:rPr>
                      <w:rFonts w:cs="Times New Roman"/>
                      <w:color w:val="000000"/>
                    </w:rPr>
                    <w:t>污水站二氧化氯发生器2套，1用1备</w:t>
                  </w:r>
                  <w:r>
                    <w:rPr>
                      <w:rFonts w:hint="eastAsia" w:cs="Times New Roman"/>
                      <w:color w:val="000000"/>
                      <w:lang w:eastAsia="zh-CN"/>
                    </w:rPr>
                    <w:t>。</w:t>
                  </w:r>
                </w:p>
              </w:tc>
              <w:tc>
                <w:tcPr>
                  <w:tcW w:w="1008" w:type="dxa"/>
                  <w:tcBorders>
                    <w:top w:val="single" w:color="auto" w:sz="4" w:space="0"/>
                    <w:left w:val="single" w:color="auto" w:sz="4" w:space="0"/>
                    <w:bottom w:val="single" w:color="auto" w:sz="4" w:space="0"/>
                    <w:right w:val="single" w:color="auto" w:sz="4" w:space="0"/>
                  </w:tcBorders>
                  <w:noWrap w:val="0"/>
                  <w:vAlign w:val="center"/>
                </w:tcPr>
                <w:p w14:paraId="2CB8A635">
                  <w:pPr>
                    <w:snapToGrid w:val="0"/>
                    <w:ind w:firstLine="0" w:firstLineChars="0"/>
                    <w:jc w:val="center"/>
                    <w:rPr>
                      <w:rFonts w:cs="Times New Roman"/>
                      <w:color w:val="000000"/>
                    </w:rPr>
                  </w:pPr>
                  <w:r>
                    <w:rPr>
                      <w:rFonts w:cs="Times New Roman"/>
                      <w:color w:val="000000"/>
                    </w:rPr>
                    <w:t>符合</w:t>
                  </w:r>
                </w:p>
              </w:tc>
            </w:tr>
          </w:tbl>
          <w:p w14:paraId="51DFC6F5">
            <w:pPr>
              <w:pStyle w:val="20"/>
              <w:spacing w:line="360" w:lineRule="auto"/>
              <w:ind w:firstLine="482"/>
              <w:rPr>
                <w:rFonts w:ascii="Times New Roman" w:hAnsi="Times New Roman"/>
                <w:b/>
              </w:rPr>
            </w:pPr>
            <w:r>
              <w:rPr>
                <w:rFonts w:ascii="Times New Roman" w:hAnsi="Times New Roman"/>
                <w:b/>
              </w:rPr>
              <w:t>2.3</w:t>
            </w:r>
            <w:r>
              <w:rPr>
                <w:rFonts w:hint="eastAsia"/>
                <w:b/>
                <w:lang w:val="en-US" w:eastAsia="zh-CN"/>
              </w:rPr>
              <w:t>.</w:t>
            </w:r>
            <w:r>
              <w:rPr>
                <w:rFonts w:ascii="Times New Roman" w:hAnsi="Times New Roman"/>
                <w:b/>
              </w:rPr>
              <w:t>废水排放可行性分析</w:t>
            </w:r>
          </w:p>
          <w:p w14:paraId="5697A558">
            <w:pPr>
              <w:pStyle w:val="9"/>
              <w:spacing w:line="360" w:lineRule="auto"/>
              <w:ind w:firstLine="480" w:firstLineChars="200"/>
              <w:rPr>
                <w:rFonts w:hint="default" w:eastAsia="宋体"/>
                <w:sz w:val="24"/>
                <w:szCs w:val="24"/>
                <w:lang w:val="en-US" w:eastAsia="zh-CN"/>
              </w:rPr>
            </w:pPr>
            <w:r>
              <w:rPr>
                <w:rFonts w:hint="default" w:eastAsia="宋体"/>
                <w:sz w:val="24"/>
                <w:szCs w:val="24"/>
                <w:lang w:val="en-US" w:eastAsia="zh-CN"/>
              </w:rPr>
              <w:t>（1）废水排放方式</w:t>
            </w:r>
          </w:p>
          <w:p w14:paraId="740CFCA8">
            <w:pPr>
              <w:pStyle w:val="9"/>
              <w:spacing w:line="360" w:lineRule="auto"/>
              <w:ind w:firstLine="480" w:firstLineChars="200"/>
              <w:rPr>
                <w:rFonts w:hint="default" w:eastAsia="宋体"/>
                <w:sz w:val="24"/>
                <w:szCs w:val="24"/>
                <w:lang w:val="en-US" w:eastAsia="zh-CN"/>
              </w:rPr>
            </w:pPr>
            <w:r>
              <w:rPr>
                <w:rFonts w:hint="default" w:eastAsia="宋体"/>
                <w:sz w:val="24"/>
                <w:szCs w:val="24"/>
                <w:lang w:val="en-US" w:eastAsia="zh-CN"/>
              </w:rPr>
              <w:t>污水处理站达标尾水接管至污水管网，纳入</w:t>
            </w:r>
            <w:r>
              <w:rPr>
                <w:rFonts w:hint="eastAsia" w:eastAsia="宋体"/>
                <w:sz w:val="24"/>
                <w:szCs w:val="24"/>
                <w:lang w:val="en-US" w:eastAsia="zh-CN"/>
              </w:rPr>
              <w:t>潘集区芦集镇再生水厂</w:t>
            </w:r>
            <w:r>
              <w:rPr>
                <w:rFonts w:hint="default" w:eastAsia="宋体"/>
                <w:sz w:val="24"/>
                <w:szCs w:val="24"/>
                <w:lang w:val="en-US" w:eastAsia="zh-CN"/>
              </w:rPr>
              <w:t>处理达到《城镇污水处理厂污染物排放标准》（GB18918-2002）一级A标准的要求后排入</w:t>
            </w:r>
            <w:r>
              <w:rPr>
                <w:rFonts w:hint="eastAsia"/>
                <w:sz w:val="24"/>
                <w:szCs w:val="24"/>
                <w:lang w:val="en-US" w:eastAsia="zh-CN"/>
              </w:rPr>
              <w:t>泥河</w:t>
            </w:r>
            <w:r>
              <w:rPr>
                <w:rFonts w:hint="default" w:eastAsia="宋体"/>
                <w:sz w:val="24"/>
                <w:szCs w:val="24"/>
                <w:lang w:val="en-US" w:eastAsia="zh-CN"/>
              </w:rPr>
              <w:t>。</w:t>
            </w:r>
          </w:p>
          <w:p w14:paraId="45C0A077">
            <w:pPr>
              <w:pStyle w:val="9"/>
              <w:spacing w:line="360" w:lineRule="auto"/>
              <w:ind w:firstLine="480" w:firstLineChars="200"/>
              <w:rPr>
                <w:rFonts w:hint="default" w:eastAsia="宋体"/>
                <w:sz w:val="24"/>
                <w:szCs w:val="24"/>
                <w:lang w:val="en-US" w:eastAsia="zh-CN"/>
              </w:rPr>
            </w:pPr>
            <w:r>
              <w:rPr>
                <w:rFonts w:hint="default" w:eastAsia="宋体"/>
                <w:sz w:val="24"/>
                <w:szCs w:val="24"/>
                <w:lang w:val="en-US" w:eastAsia="zh-CN"/>
              </w:rPr>
              <w:t>（2）</w:t>
            </w:r>
            <w:r>
              <w:rPr>
                <w:rFonts w:hint="eastAsia"/>
                <w:sz w:val="24"/>
                <w:szCs w:val="24"/>
                <w:lang w:val="en-US" w:eastAsia="zh-CN"/>
              </w:rPr>
              <w:t>接管</w:t>
            </w:r>
            <w:r>
              <w:rPr>
                <w:rFonts w:hint="default" w:eastAsia="宋体"/>
                <w:sz w:val="24"/>
                <w:szCs w:val="24"/>
                <w:lang w:val="en-US" w:eastAsia="zh-CN"/>
              </w:rPr>
              <w:t>可行性分析</w:t>
            </w:r>
          </w:p>
          <w:p w14:paraId="7E44CBA1">
            <w:pPr>
              <w:pStyle w:val="9"/>
              <w:spacing w:line="360" w:lineRule="auto"/>
              <w:ind w:firstLine="480" w:firstLineChars="200"/>
              <w:rPr>
                <w:rFonts w:hint="default" w:eastAsia="宋体"/>
                <w:sz w:val="24"/>
                <w:szCs w:val="24"/>
                <w:lang w:val="en-US" w:eastAsia="zh-CN"/>
              </w:rPr>
            </w:pPr>
            <w:r>
              <w:rPr>
                <w:rFonts w:hint="default" w:eastAsia="宋体"/>
                <w:sz w:val="24"/>
                <w:szCs w:val="24"/>
                <w:lang w:val="en-US" w:eastAsia="zh-CN"/>
              </w:rPr>
              <w:t>①</w:t>
            </w:r>
            <w:r>
              <w:rPr>
                <w:rFonts w:hint="eastAsia"/>
                <w:sz w:val="24"/>
                <w:szCs w:val="24"/>
                <w:lang w:val="en-US" w:eastAsia="zh-CN"/>
              </w:rPr>
              <w:t>污水处理厂概况</w:t>
            </w:r>
          </w:p>
          <w:p w14:paraId="1007CD70">
            <w:pPr>
              <w:pStyle w:val="9"/>
              <w:spacing w:line="360" w:lineRule="auto"/>
              <w:ind w:firstLine="480" w:firstLineChars="200"/>
              <w:jc w:val="left"/>
              <w:rPr>
                <w:rFonts w:hint="eastAsia"/>
                <w:b w:val="0"/>
                <w:bCs w:val="0"/>
                <w:sz w:val="24"/>
                <w:szCs w:val="24"/>
              </w:rPr>
            </w:pPr>
            <w:r>
              <w:rPr>
                <w:rFonts w:hint="eastAsia"/>
                <w:b w:val="0"/>
                <w:bCs w:val="0"/>
                <w:sz w:val="24"/>
                <w:szCs w:val="24"/>
              </w:rPr>
              <w:t>潘集区芦集镇再生水厂位于淮南市潘集区芦集镇境内，原为潘三矿生活污水处理厂，</w:t>
            </w:r>
            <w:r>
              <w:rPr>
                <w:rFonts w:hint="eastAsia"/>
                <w:b w:val="0"/>
                <w:bCs w:val="0"/>
                <w:sz w:val="24"/>
                <w:szCs w:val="24"/>
                <w:lang w:val="en-US" w:eastAsia="zh-CN"/>
              </w:rPr>
              <w:t>原</w:t>
            </w:r>
            <w:r>
              <w:rPr>
                <w:rFonts w:hint="eastAsia"/>
                <w:b w:val="0"/>
                <w:bCs w:val="0"/>
                <w:sz w:val="24"/>
                <w:szCs w:val="24"/>
              </w:rPr>
              <w:t>处理规模3500-4000m³/d。2024年完成改扩建后，处理规模提升至6500m³/d，服务范围覆盖芦集镇及潘三矿区域。</w:t>
            </w:r>
          </w:p>
          <w:p w14:paraId="7C72020B">
            <w:pPr>
              <w:pStyle w:val="9"/>
              <w:spacing w:line="360" w:lineRule="auto"/>
              <w:ind w:firstLine="480" w:firstLineChars="200"/>
              <w:jc w:val="left"/>
              <w:rPr>
                <w:rFonts w:hint="eastAsia"/>
                <w:b w:val="0"/>
                <w:bCs w:val="0"/>
                <w:sz w:val="24"/>
                <w:szCs w:val="24"/>
              </w:rPr>
            </w:pPr>
            <w:r>
              <w:rPr>
                <w:rFonts w:hint="eastAsia"/>
                <w:b w:val="0"/>
                <w:bCs w:val="0"/>
                <w:sz w:val="24"/>
                <w:szCs w:val="24"/>
              </w:rPr>
              <w:t>污水处理工艺：水厂原处理工艺为“格栅→调节池→初沉池→生物接触氧化池→生物滤膜→二沉池→砂滤池→接触消毒池”。改扩建</w:t>
            </w:r>
            <w:r>
              <w:rPr>
                <w:rFonts w:hint="eastAsia"/>
                <w:b w:val="0"/>
                <w:bCs w:val="0"/>
                <w:sz w:val="24"/>
                <w:szCs w:val="24"/>
                <w:lang w:val="en-US" w:eastAsia="zh-CN"/>
              </w:rPr>
              <w:t>后</w:t>
            </w:r>
            <w:r>
              <w:rPr>
                <w:rFonts w:hint="eastAsia"/>
                <w:b w:val="0"/>
                <w:bCs w:val="0"/>
                <w:sz w:val="24"/>
                <w:szCs w:val="24"/>
              </w:rPr>
              <w:t>将主体生化工艺改造为改良型ABFT工艺（曝气生物流化床工艺），具体措施包括：改造原有生物接触氧化池，增加池容及生物量，增加反硝化脱氮功能；新建强化沉淀池；更换滤池滤料及配套管阀；新增污泥浓缩脱水系统。</w:t>
            </w:r>
          </w:p>
          <w:p w14:paraId="6050EAC2">
            <w:pPr>
              <w:pStyle w:val="9"/>
              <w:spacing w:line="360" w:lineRule="auto"/>
              <w:ind w:firstLine="480" w:firstLineChars="200"/>
              <w:jc w:val="left"/>
              <w:rPr>
                <w:rFonts w:hint="eastAsia"/>
                <w:b w:val="0"/>
                <w:bCs w:val="0"/>
                <w:sz w:val="24"/>
                <w:szCs w:val="24"/>
              </w:rPr>
            </w:pPr>
            <w:r>
              <w:rPr>
                <w:rFonts w:hint="eastAsia"/>
                <w:b w:val="0"/>
                <w:bCs w:val="0"/>
                <w:sz w:val="24"/>
                <w:szCs w:val="24"/>
              </w:rPr>
              <w:t>改扩建后，水厂4000m³/d达标排放，2500m³/d经中水回用管网回用于潘三电厂冷却塔循环水池。</w:t>
            </w:r>
          </w:p>
          <w:p w14:paraId="7DFBA42F">
            <w:pPr>
              <w:pStyle w:val="9"/>
              <w:spacing w:line="360" w:lineRule="auto"/>
              <w:ind w:firstLine="480" w:firstLineChars="200"/>
              <w:jc w:val="left"/>
              <w:rPr>
                <w:rFonts w:hint="default" w:ascii="Times New Roman" w:hAnsi="Times New Roman" w:cs="Times New Roman"/>
                <w:color w:val="000000"/>
                <w:sz w:val="24"/>
                <w:szCs w:val="24"/>
                <w:lang w:eastAsia="zh-CN"/>
              </w:rPr>
            </w:pPr>
            <w:r>
              <w:rPr>
                <w:rFonts w:hint="default" w:ascii="Times New Roman" w:hAnsi="Times New Roman" w:cs="Times New Roman"/>
                <w:color w:val="000000"/>
                <w:sz w:val="24"/>
                <w:szCs w:val="24"/>
              </w:rPr>
              <w:t>②</w:t>
            </w:r>
            <w:r>
              <w:rPr>
                <w:rFonts w:hint="default" w:ascii="Times New Roman" w:hAnsi="Times New Roman" w:cs="Times New Roman"/>
                <w:color w:val="000000"/>
                <w:sz w:val="24"/>
                <w:szCs w:val="24"/>
                <w:lang w:eastAsia="zh-CN"/>
              </w:rPr>
              <w:t>接管可行性分析</w:t>
            </w:r>
          </w:p>
          <w:p w14:paraId="6CF9CF52">
            <w:pPr>
              <w:pStyle w:val="9"/>
              <w:spacing w:line="360" w:lineRule="auto"/>
              <w:ind w:firstLine="480" w:firstLineChars="200"/>
              <w:jc w:val="both"/>
              <w:rPr>
                <w:rFonts w:hint="default" w:ascii="Times New Roman" w:hAnsi="Times New Roman" w:cs="Times New Roman"/>
                <w:color w:val="000000"/>
                <w:sz w:val="24"/>
                <w:szCs w:val="24"/>
                <w:lang w:val="en-US" w:eastAsia="zh-CN"/>
              </w:rPr>
            </w:pPr>
            <w:r>
              <w:rPr>
                <w:rFonts w:hint="default" w:ascii="Times New Roman" w:hAnsi="Times New Roman" w:cs="Times New Roman"/>
                <w:color w:val="000000"/>
                <w:sz w:val="24"/>
                <w:szCs w:val="24"/>
                <w:lang w:val="en-US" w:eastAsia="zh-CN"/>
              </w:rPr>
              <w:t>A</w:t>
            </w:r>
            <w:r>
              <w:rPr>
                <w:rFonts w:hint="default" w:ascii="Times New Roman" w:hAnsi="Times New Roman" w:cs="Times New Roman"/>
                <w:color w:val="000000"/>
                <w:sz w:val="24"/>
                <w:szCs w:val="24"/>
              </w:rPr>
              <w:t>接管水质可行性：本项目废水为</w:t>
            </w:r>
            <w:r>
              <w:rPr>
                <w:rFonts w:hint="default" w:ascii="Times New Roman" w:hAnsi="Times New Roman" w:cs="Times New Roman"/>
                <w:color w:val="000000"/>
                <w:sz w:val="24"/>
                <w:szCs w:val="24"/>
                <w:lang w:eastAsia="zh-CN"/>
              </w:rPr>
              <w:t>生活污水、</w:t>
            </w:r>
            <w:r>
              <w:rPr>
                <w:rFonts w:hint="eastAsia" w:ascii="Times New Roman" w:hAnsi="Times New Roman" w:cs="Times New Roman"/>
                <w:color w:val="000000"/>
                <w:sz w:val="24"/>
                <w:szCs w:val="24"/>
                <w:lang w:val="en-US" w:eastAsia="zh-CN"/>
              </w:rPr>
              <w:t>普通</w:t>
            </w:r>
            <w:r>
              <w:rPr>
                <w:rFonts w:hint="default" w:ascii="Times New Roman" w:hAnsi="Times New Roman" w:cs="Times New Roman"/>
                <w:color w:val="000000"/>
                <w:sz w:val="24"/>
                <w:szCs w:val="24"/>
                <w:lang w:eastAsia="zh-CN"/>
              </w:rPr>
              <w:t>门诊废水</w:t>
            </w:r>
            <w:r>
              <w:rPr>
                <w:rFonts w:hint="eastAsia" w:ascii="Times New Roman" w:hAnsi="Times New Roman" w:cs="Times New Roman"/>
                <w:color w:val="000000"/>
                <w:sz w:val="24"/>
                <w:szCs w:val="24"/>
                <w:lang w:eastAsia="zh-CN"/>
              </w:rPr>
              <w:t>、</w:t>
            </w:r>
            <w:r>
              <w:rPr>
                <w:rFonts w:hint="eastAsia" w:ascii="Times New Roman" w:hAnsi="Times New Roman" w:cs="Times New Roman"/>
                <w:color w:val="000000"/>
                <w:sz w:val="24"/>
                <w:szCs w:val="24"/>
                <w:lang w:val="en-US" w:eastAsia="zh-CN"/>
              </w:rPr>
              <w:t>口腔科废水、</w:t>
            </w:r>
            <w:r>
              <w:rPr>
                <w:rFonts w:hint="default" w:ascii="Times New Roman" w:hAnsi="Times New Roman" w:cs="Times New Roman"/>
                <w:color w:val="000000"/>
                <w:sz w:val="24"/>
                <w:szCs w:val="24"/>
                <w:lang w:eastAsia="zh-CN"/>
              </w:rPr>
              <w:t>病房废水、检验废水</w:t>
            </w:r>
            <w:r>
              <w:rPr>
                <w:rFonts w:hint="eastAsia" w:ascii="Times New Roman" w:hAnsi="Times New Roman" w:cs="Times New Roman"/>
                <w:color w:val="000000"/>
                <w:sz w:val="24"/>
                <w:szCs w:val="24"/>
                <w:lang w:eastAsia="zh-CN"/>
              </w:rPr>
              <w:t>、</w:t>
            </w:r>
            <w:r>
              <w:rPr>
                <w:rFonts w:hint="eastAsia" w:ascii="Times New Roman" w:hAnsi="Times New Roman" w:cs="Times New Roman"/>
                <w:color w:val="000000"/>
                <w:sz w:val="24"/>
                <w:szCs w:val="24"/>
                <w:lang w:val="en-US" w:eastAsia="zh-CN"/>
              </w:rPr>
              <w:t>手术室废水、浓水</w:t>
            </w:r>
            <w:r>
              <w:rPr>
                <w:rFonts w:hint="default" w:ascii="Times New Roman" w:hAnsi="Times New Roman" w:cs="Times New Roman"/>
                <w:color w:val="000000"/>
                <w:sz w:val="24"/>
                <w:szCs w:val="24"/>
                <w:lang w:eastAsia="zh-CN"/>
              </w:rPr>
              <w:t>和保洁废水</w:t>
            </w:r>
            <w:r>
              <w:rPr>
                <w:rFonts w:hint="default" w:ascii="Times New Roman" w:hAnsi="Times New Roman" w:cs="Times New Roman"/>
                <w:color w:val="000000"/>
                <w:sz w:val="24"/>
                <w:szCs w:val="24"/>
              </w:rPr>
              <w:t>，主要污染物为pH、COD、BOD</w:t>
            </w:r>
            <w:r>
              <w:rPr>
                <w:rFonts w:hint="default" w:ascii="Times New Roman" w:hAnsi="Times New Roman" w:cs="Times New Roman"/>
                <w:color w:val="000000"/>
                <w:sz w:val="24"/>
                <w:szCs w:val="24"/>
                <w:vertAlign w:val="subscript"/>
              </w:rPr>
              <w:t>5</w:t>
            </w:r>
            <w:r>
              <w:rPr>
                <w:rFonts w:hint="default" w:ascii="Times New Roman" w:hAnsi="Times New Roman" w:cs="Times New Roman"/>
                <w:color w:val="000000"/>
                <w:sz w:val="24"/>
                <w:szCs w:val="24"/>
              </w:rPr>
              <w:t>、SS、NH</w:t>
            </w:r>
            <w:r>
              <w:rPr>
                <w:rFonts w:hint="default" w:ascii="Times New Roman" w:hAnsi="Times New Roman" w:cs="Times New Roman"/>
                <w:color w:val="000000"/>
                <w:sz w:val="24"/>
                <w:szCs w:val="24"/>
                <w:vertAlign w:val="subscript"/>
              </w:rPr>
              <w:t>3</w:t>
            </w:r>
            <w:r>
              <w:rPr>
                <w:rFonts w:hint="default" w:ascii="Times New Roman" w:hAnsi="Times New Roman" w:cs="Times New Roman"/>
                <w:color w:val="000000"/>
                <w:sz w:val="24"/>
                <w:szCs w:val="24"/>
              </w:rPr>
              <w:t>-N、TP</w:t>
            </w:r>
            <w:r>
              <w:rPr>
                <w:rFonts w:hint="default" w:ascii="Times New Roman" w:hAnsi="Times New Roman" w:cs="Times New Roman"/>
                <w:color w:val="000000"/>
                <w:sz w:val="24"/>
                <w:szCs w:val="24"/>
                <w:lang w:eastAsia="zh-CN"/>
              </w:rPr>
              <w:t>、</w:t>
            </w:r>
            <w:r>
              <w:rPr>
                <w:rFonts w:hint="default" w:ascii="Times New Roman" w:hAnsi="Times New Roman" w:eastAsia="宋体" w:cs="Times New Roman"/>
                <w:b w:val="0"/>
                <w:bCs/>
                <w:color w:val="auto"/>
                <w:sz w:val="24"/>
                <w:szCs w:val="24"/>
                <w:lang w:val="en-US" w:eastAsia="zh-CN"/>
              </w:rPr>
              <w:t>粪大肠菌群</w:t>
            </w:r>
            <w:r>
              <w:rPr>
                <w:rFonts w:hint="default" w:ascii="Times New Roman" w:hAnsi="Times New Roman" w:cs="Times New Roman"/>
                <w:color w:val="000000"/>
                <w:sz w:val="24"/>
                <w:szCs w:val="24"/>
              </w:rPr>
              <w:t>等，</w:t>
            </w:r>
            <w:r>
              <w:rPr>
                <w:rFonts w:ascii="Times New Roman" w:hAnsi="Times New Roman" w:eastAsia="Segoe UI" w:cs="Times New Roman"/>
                <w:i w:val="0"/>
                <w:iCs w:val="0"/>
                <w:caps w:val="0"/>
                <w:color w:val="0F1115"/>
                <w:spacing w:val="0"/>
                <w:sz w:val="24"/>
                <w:szCs w:val="24"/>
                <w:shd w:val="clear" w:color="auto" w:fill="FFFFFF"/>
              </w:rPr>
              <w:t>项目废水经院区污水处理站处理达标后，出水水质满足《医疗机构水污染物排放标准》（GB 18466-2005）表2中预处理标准限值要求，接管市政管网污水满足潘集区芦集镇再生水厂的接管要求，不会对再生水厂处理工艺造成影响，水质接管可行。</w:t>
            </w:r>
          </w:p>
          <w:p w14:paraId="51835FE9">
            <w:pPr>
              <w:pStyle w:val="9"/>
              <w:spacing w:line="360" w:lineRule="auto"/>
              <w:ind w:firstLine="480" w:firstLineChars="200"/>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lang w:val="en-US" w:eastAsia="zh-CN"/>
              </w:rPr>
              <w:t>B</w:t>
            </w:r>
            <w:r>
              <w:rPr>
                <w:rFonts w:hint="default" w:ascii="Times New Roman" w:hAnsi="Times New Roman" w:cs="Times New Roman"/>
                <w:color w:val="000000"/>
                <w:sz w:val="24"/>
                <w:szCs w:val="24"/>
                <w:lang w:eastAsia="zh-CN"/>
              </w:rPr>
              <w:t>潘集区芦集镇再生水厂</w:t>
            </w:r>
            <w:r>
              <w:rPr>
                <w:rFonts w:hint="default" w:ascii="Times New Roman" w:hAnsi="Times New Roman" w:cs="Times New Roman"/>
                <w:color w:val="000000"/>
                <w:sz w:val="24"/>
                <w:szCs w:val="24"/>
              </w:rPr>
              <w:t>接管水量可行性：本项目排放废水量</w:t>
            </w:r>
            <w:r>
              <w:rPr>
                <w:rFonts w:hint="eastAsia" w:cs="Times New Roman"/>
                <w:color w:val="000000"/>
                <w:sz w:val="24"/>
                <w:szCs w:val="24"/>
                <w:lang w:val="en-US" w:eastAsia="zh-CN"/>
              </w:rPr>
              <w:t>54.524t/d</w:t>
            </w:r>
            <w:r>
              <w:rPr>
                <w:rFonts w:hint="default" w:ascii="Times New Roman" w:hAnsi="Times New Roman" w:cs="Times New Roman"/>
                <w:color w:val="000000"/>
                <w:sz w:val="24"/>
                <w:szCs w:val="24"/>
              </w:rPr>
              <w:t>，潘集区芦集镇再生水厂设计日污水处理量为6500t/d。本项目废水排放量占再生水厂设计规模比例极低，剩余处理能力可满足本项目废水处理需求，水量接管可行</w:t>
            </w:r>
            <w:r>
              <w:rPr>
                <w:rFonts w:hint="eastAsia" w:cs="Times New Roman"/>
                <w:color w:val="000000"/>
                <w:sz w:val="24"/>
                <w:szCs w:val="24"/>
                <w:lang w:eastAsia="zh-CN"/>
              </w:rPr>
              <w:t>。</w:t>
            </w:r>
          </w:p>
          <w:p w14:paraId="17505EA1">
            <w:pPr>
              <w:pStyle w:val="9"/>
              <w:spacing w:line="360" w:lineRule="auto"/>
              <w:ind w:firstLine="480" w:firstLineChars="200"/>
              <w:jc w:val="both"/>
              <w:rPr>
                <w:rFonts w:hint="default" w:ascii="Times New Roman" w:hAnsi="Times New Roman" w:cs="Times New Roman"/>
                <w:color w:val="000000"/>
                <w:sz w:val="24"/>
                <w:szCs w:val="24"/>
              </w:rPr>
            </w:pPr>
            <w:r>
              <w:rPr>
                <w:rFonts w:hint="default" w:ascii="Times New Roman" w:hAnsi="Times New Roman" w:cs="Times New Roman"/>
                <w:color w:val="000000"/>
                <w:sz w:val="24"/>
                <w:szCs w:val="24"/>
              </w:rPr>
              <w:t>③雨污水管网和污水处理厂建设进度：目前，潘集区芦集镇再生水厂改扩建工程已完工并正式投入运营。本项目所在区域雨污水管网已铺设到位，本项目废水可经院区污水总排口接入芦集镇再生水厂收水管网，接管可行。</w:t>
            </w:r>
          </w:p>
          <w:p w14:paraId="0A1FB360">
            <w:pPr>
              <w:widowControl/>
              <w:spacing w:line="360" w:lineRule="auto"/>
              <w:ind w:firstLine="482" w:firstLineChars="200"/>
              <w:jc w:val="left"/>
              <w:rPr>
                <w:rFonts w:hint="eastAsia" w:eastAsia="新宋体"/>
                <w:b/>
                <w:bCs/>
                <w:sz w:val="24"/>
              </w:rPr>
            </w:pPr>
            <w:r>
              <w:rPr>
                <w:rFonts w:hint="eastAsia" w:eastAsia="新宋体"/>
                <w:b/>
                <w:bCs/>
                <w:sz w:val="24"/>
              </w:rPr>
              <w:t>2.</w:t>
            </w:r>
            <w:r>
              <w:rPr>
                <w:rFonts w:hint="eastAsia" w:eastAsia="新宋体"/>
                <w:b/>
                <w:bCs/>
                <w:sz w:val="24"/>
                <w:lang w:val="en-US" w:eastAsia="zh-CN"/>
              </w:rPr>
              <w:t>4</w:t>
            </w:r>
            <w:r>
              <w:rPr>
                <w:rFonts w:hint="eastAsia" w:eastAsia="新宋体"/>
                <w:b/>
                <w:bCs/>
                <w:sz w:val="24"/>
              </w:rPr>
              <w:t>自行监测方案</w:t>
            </w:r>
          </w:p>
          <w:p w14:paraId="57522B27">
            <w:pPr>
              <w:widowControl/>
              <w:spacing w:line="360" w:lineRule="auto"/>
              <w:ind w:firstLine="480" w:firstLineChars="200"/>
              <w:jc w:val="left"/>
              <w:rPr>
                <w:rFonts w:hint="eastAsia" w:eastAsia="新宋体"/>
                <w:b w:val="0"/>
                <w:bCs w:val="0"/>
                <w:sz w:val="24"/>
                <w:lang w:eastAsia="zh-CN"/>
              </w:rPr>
            </w:pPr>
            <w:r>
              <w:rPr>
                <w:rFonts w:hint="eastAsia" w:eastAsia="新宋体"/>
                <w:b w:val="0"/>
                <w:bCs w:val="0"/>
                <w:sz w:val="24"/>
              </w:rPr>
              <w:t>本项目废水监测计划按照《排污许可证申请与核发技术规范 医疗机构》</w:t>
            </w:r>
            <w:r>
              <w:rPr>
                <w:rFonts w:hint="eastAsia" w:eastAsia="新宋体"/>
                <w:b w:val="0"/>
                <w:bCs w:val="0"/>
                <w:sz w:val="24"/>
                <w:lang w:eastAsia="zh-CN"/>
              </w:rPr>
              <w:t>（</w:t>
            </w:r>
            <w:r>
              <w:rPr>
                <w:rFonts w:hint="eastAsia" w:eastAsia="新宋体"/>
                <w:b w:val="0"/>
                <w:bCs w:val="0"/>
                <w:sz w:val="24"/>
              </w:rPr>
              <w:t>HJ1105-2020</w:t>
            </w:r>
            <w:r>
              <w:rPr>
                <w:rFonts w:hint="eastAsia" w:eastAsia="新宋体"/>
                <w:b w:val="0"/>
                <w:bCs w:val="0"/>
                <w:sz w:val="24"/>
                <w:lang w:eastAsia="zh-CN"/>
              </w:rPr>
              <w:t>）</w:t>
            </w:r>
            <w:r>
              <w:rPr>
                <w:rFonts w:hint="eastAsia" w:eastAsia="新宋体"/>
                <w:b w:val="0"/>
                <w:bCs w:val="0"/>
                <w:sz w:val="24"/>
              </w:rPr>
              <w:t>中自行监测计划制定，详见</w:t>
            </w:r>
            <w:r>
              <w:rPr>
                <w:rFonts w:hint="eastAsia" w:eastAsia="新宋体"/>
                <w:b w:val="0"/>
                <w:bCs w:val="0"/>
                <w:sz w:val="24"/>
                <w:lang w:eastAsia="zh-CN"/>
              </w:rPr>
              <w:t>下表：</w:t>
            </w:r>
          </w:p>
          <w:p w14:paraId="53745576">
            <w:pPr>
              <w:pStyle w:val="9"/>
              <w:jc w:val="center"/>
              <w:rPr>
                <w:rFonts w:hint="eastAsia" w:eastAsia="新宋体"/>
                <w:b/>
                <w:bCs/>
                <w:sz w:val="21"/>
                <w:szCs w:val="21"/>
                <w:vertAlign w:val="baseline"/>
                <w:lang w:val="en-US" w:eastAsia="zh-CN"/>
              </w:rPr>
            </w:pPr>
            <w:r>
              <w:rPr>
                <w:rFonts w:hint="eastAsia" w:eastAsia="新宋体"/>
                <w:b/>
                <w:bCs/>
                <w:sz w:val="21"/>
                <w:szCs w:val="21"/>
                <w:lang w:eastAsia="zh-CN"/>
              </w:rPr>
              <w:t>表</w:t>
            </w:r>
            <w:r>
              <w:rPr>
                <w:rFonts w:hint="eastAsia" w:eastAsia="新宋体"/>
                <w:b/>
                <w:bCs/>
                <w:sz w:val="21"/>
                <w:szCs w:val="21"/>
                <w:lang w:val="en-US" w:eastAsia="zh-CN"/>
              </w:rPr>
              <w:t>4-8废水监测计划一览表</w:t>
            </w:r>
          </w:p>
          <w:tbl>
            <w:tblPr>
              <w:tblStyle w:val="15"/>
              <w:tblW w:w="495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3"/>
              <w:gridCol w:w="1500"/>
              <w:gridCol w:w="3669"/>
              <w:gridCol w:w="2031"/>
            </w:tblGrid>
            <w:tr w14:paraId="086B60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23" w:type="dxa"/>
                  <w:noWrap w:val="0"/>
                  <w:vAlign w:val="center"/>
                </w:tcPr>
                <w:p w14:paraId="64C05D0B">
                  <w:pPr>
                    <w:pStyle w:val="9"/>
                    <w:jc w:val="center"/>
                    <w:rPr>
                      <w:rFonts w:hint="eastAsia" w:eastAsia="新宋体"/>
                      <w:b w:val="0"/>
                      <w:bCs w:val="0"/>
                      <w:sz w:val="21"/>
                      <w:szCs w:val="21"/>
                      <w:vertAlign w:val="baseline"/>
                      <w:lang w:val="en-US" w:eastAsia="zh-CN"/>
                    </w:rPr>
                  </w:pPr>
                  <w:r>
                    <w:rPr>
                      <w:rFonts w:hint="eastAsia" w:eastAsia="新宋体"/>
                      <w:b w:val="0"/>
                      <w:bCs w:val="0"/>
                      <w:sz w:val="21"/>
                      <w:szCs w:val="21"/>
                      <w:vertAlign w:val="baseline"/>
                      <w:lang w:val="en-US" w:eastAsia="zh-CN"/>
                    </w:rPr>
                    <w:t>类别</w:t>
                  </w:r>
                </w:p>
              </w:tc>
              <w:tc>
                <w:tcPr>
                  <w:tcW w:w="1500" w:type="dxa"/>
                  <w:noWrap w:val="0"/>
                  <w:vAlign w:val="center"/>
                </w:tcPr>
                <w:p w14:paraId="77245403">
                  <w:pPr>
                    <w:pStyle w:val="9"/>
                    <w:jc w:val="center"/>
                    <w:rPr>
                      <w:rFonts w:hint="eastAsia" w:eastAsia="新宋体"/>
                      <w:b w:val="0"/>
                      <w:bCs w:val="0"/>
                      <w:sz w:val="21"/>
                      <w:szCs w:val="21"/>
                      <w:vertAlign w:val="baseline"/>
                      <w:lang w:val="en-US" w:eastAsia="zh-CN"/>
                    </w:rPr>
                  </w:pPr>
                  <w:r>
                    <w:rPr>
                      <w:rFonts w:hint="eastAsia" w:eastAsia="新宋体"/>
                      <w:b w:val="0"/>
                      <w:bCs w:val="0"/>
                      <w:sz w:val="21"/>
                      <w:szCs w:val="21"/>
                      <w:vertAlign w:val="baseline"/>
                      <w:lang w:val="en-US" w:eastAsia="zh-CN"/>
                    </w:rPr>
                    <w:t>监测点位</w:t>
                  </w:r>
                </w:p>
              </w:tc>
              <w:tc>
                <w:tcPr>
                  <w:tcW w:w="3669" w:type="dxa"/>
                  <w:noWrap w:val="0"/>
                  <w:vAlign w:val="center"/>
                </w:tcPr>
                <w:p w14:paraId="534503B1">
                  <w:pPr>
                    <w:pStyle w:val="9"/>
                    <w:jc w:val="center"/>
                    <w:rPr>
                      <w:rFonts w:hint="eastAsia" w:eastAsia="新宋体"/>
                      <w:b w:val="0"/>
                      <w:bCs w:val="0"/>
                      <w:sz w:val="21"/>
                      <w:szCs w:val="21"/>
                      <w:vertAlign w:val="baseline"/>
                      <w:lang w:val="en-US" w:eastAsia="zh-CN"/>
                    </w:rPr>
                  </w:pPr>
                  <w:r>
                    <w:rPr>
                      <w:rFonts w:hint="eastAsia" w:eastAsia="新宋体"/>
                      <w:b w:val="0"/>
                      <w:bCs w:val="0"/>
                      <w:sz w:val="21"/>
                      <w:szCs w:val="21"/>
                      <w:vertAlign w:val="baseline"/>
                      <w:lang w:val="en-US" w:eastAsia="zh-CN"/>
                    </w:rPr>
                    <w:t>监测指标</w:t>
                  </w:r>
                </w:p>
              </w:tc>
              <w:tc>
                <w:tcPr>
                  <w:tcW w:w="2031" w:type="dxa"/>
                  <w:noWrap w:val="0"/>
                  <w:vAlign w:val="center"/>
                </w:tcPr>
                <w:p w14:paraId="74DB7BC1">
                  <w:pPr>
                    <w:pStyle w:val="9"/>
                    <w:jc w:val="center"/>
                    <w:rPr>
                      <w:rFonts w:hint="eastAsia" w:eastAsia="新宋体"/>
                      <w:b w:val="0"/>
                      <w:bCs w:val="0"/>
                      <w:sz w:val="21"/>
                      <w:szCs w:val="21"/>
                      <w:vertAlign w:val="baseline"/>
                      <w:lang w:val="en-US" w:eastAsia="zh-CN"/>
                    </w:rPr>
                  </w:pPr>
                  <w:r>
                    <w:rPr>
                      <w:rFonts w:hint="eastAsia" w:eastAsia="新宋体"/>
                      <w:b w:val="0"/>
                      <w:bCs w:val="0"/>
                      <w:sz w:val="21"/>
                      <w:szCs w:val="21"/>
                      <w:vertAlign w:val="baseline"/>
                      <w:lang w:val="en-US" w:eastAsia="zh-CN"/>
                    </w:rPr>
                    <w:t>监测频次</w:t>
                  </w:r>
                </w:p>
              </w:tc>
            </w:tr>
            <w:tr w14:paraId="683ED2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23" w:type="dxa"/>
                  <w:vMerge w:val="restart"/>
                  <w:noWrap w:val="0"/>
                  <w:vAlign w:val="center"/>
                </w:tcPr>
                <w:p w14:paraId="77BAC5EA">
                  <w:pPr>
                    <w:pStyle w:val="9"/>
                    <w:jc w:val="center"/>
                    <w:rPr>
                      <w:rFonts w:hint="eastAsia" w:eastAsia="新宋体"/>
                      <w:b w:val="0"/>
                      <w:bCs w:val="0"/>
                      <w:sz w:val="21"/>
                      <w:szCs w:val="21"/>
                      <w:vertAlign w:val="baseline"/>
                      <w:lang w:val="en-US" w:eastAsia="zh-CN"/>
                    </w:rPr>
                  </w:pPr>
                  <w:r>
                    <w:rPr>
                      <w:rFonts w:hint="eastAsia" w:eastAsia="新宋体"/>
                      <w:b w:val="0"/>
                      <w:bCs w:val="0"/>
                      <w:sz w:val="21"/>
                      <w:szCs w:val="21"/>
                      <w:vertAlign w:val="baseline"/>
                      <w:lang w:val="en-US" w:eastAsia="zh-CN"/>
                    </w:rPr>
                    <w:t>废水</w:t>
                  </w:r>
                </w:p>
              </w:tc>
              <w:tc>
                <w:tcPr>
                  <w:tcW w:w="1500" w:type="dxa"/>
                  <w:vMerge w:val="restart"/>
                  <w:noWrap w:val="0"/>
                  <w:vAlign w:val="center"/>
                </w:tcPr>
                <w:p w14:paraId="39589917">
                  <w:pPr>
                    <w:pStyle w:val="9"/>
                    <w:jc w:val="center"/>
                    <w:rPr>
                      <w:rFonts w:hint="eastAsia" w:eastAsia="新宋体"/>
                      <w:b w:val="0"/>
                      <w:bCs w:val="0"/>
                      <w:sz w:val="21"/>
                      <w:szCs w:val="21"/>
                      <w:vertAlign w:val="baseline"/>
                      <w:lang w:val="en-US" w:eastAsia="zh-CN"/>
                    </w:rPr>
                  </w:pPr>
                  <w:r>
                    <w:rPr>
                      <w:rFonts w:hint="eastAsia" w:eastAsia="新宋体"/>
                      <w:b w:val="0"/>
                      <w:bCs w:val="0"/>
                      <w:sz w:val="21"/>
                      <w:szCs w:val="21"/>
                      <w:vertAlign w:val="baseline"/>
                      <w:lang w:val="en-US" w:eastAsia="zh-CN"/>
                    </w:rPr>
                    <w:t>废水总排口</w:t>
                  </w:r>
                </w:p>
              </w:tc>
              <w:tc>
                <w:tcPr>
                  <w:tcW w:w="3669" w:type="dxa"/>
                  <w:noWrap w:val="0"/>
                  <w:vAlign w:val="center"/>
                </w:tcPr>
                <w:p w14:paraId="32814663">
                  <w:pPr>
                    <w:pStyle w:val="9"/>
                    <w:jc w:val="center"/>
                    <w:rPr>
                      <w:rFonts w:hint="default" w:eastAsia="新宋体"/>
                      <w:b w:val="0"/>
                      <w:bCs w:val="0"/>
                      <w:sz w:val="21"/>
                      <w:szCs w:val="21"/>
                      <w:vertAlign w:val="baseline"/>
                      <w:lang w:val="en-US" w:eastAsia="zh-CN"/>
                    </w:rPr>
                  </w:pPr>
                  <w:r>
                    <w:rPr>
                      <w:rFonts w:hint="eastAsia" w:eastAsia="新宋体"/>
                      <w:b w:val="0"/>
                      <w:bCs w:val="0"/>
                      <w:sz w:val="21"/>
                      <w:szCs w:val="21"/>
                      <w:vertAlign w:val="baseline"/>
                      <w:lang w:val="en-US" w:eastAsia="zh-CN"/>
                    </w:rPr>
                    <w:t>PH、COD、氨氮、总余氯、流量</w:t>
                  </w:r>
                </w:p>
              </w:tc>
              <w:tc>
                <w:tcPr>
                  <w:tcW w:w="2031" w:type="dxa"/>
                  <w:noWrap w:val="0"/>
                  <w:vAlign w:val="center"/>
                </w:tcPr>
                <w:p w14:paraId="446F2966">
                  <w:pPr>
                    <w:pStyle w:val="9"/>
                    <w:jc w:val="center"/>
                    <w:rPr>
                      <w:rFonts w:hint="default" w:eastAsia="新宋体"/>
                      <w:b w:val="0"/>
                      <w:bCs w:val="0"/>
                      <w:sz w:val="21"/>
                      <w:szCs w:val="21"/>
                      <w:vertAlign w:val="baseline"/>
                      <w:lang w:val="en-US" w:eastAsia="zh-CN"/>
                    </w:rPr>
                  </w:pPr>
                  <w:r>
                    <w:rPr>
                      <w:rFonts w:hint="eastAsia" w:eastAsia="新宋体"/>
                      <w:b w:val="0"/>
                      <w:bCs w:val="0"/>
                      <w:sz w:val="21"/>
                      <w:szCs w:val="21"/>
                      <w:vertAlign w:val="baseline"/>
                      <w:lang w:val="en-US" w:eastAsia="zh-CN"/>
                    </w:rPr>
                    <w:t>在线监测</w:t>
                  </w:r>
                </w:p>
              </w:tc>
            </w:tr>
            <w:tr w14:paraId="3D7348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23" w:type="dxa"/>
                  <w:vMerge w:val="continue"/>
                  <w:noWrap w:val="0"/>
                  <w:vAlign w:val="center"/>
                </w:tcPr>
                <w:p w14:paraId="34EC93E6">
                  <w:pPr>
                    <w:pStyle w:val="9"/>
                    <w:jc w:val="center"/>
                    <w:rPr>
                      <w:rFonts w:hint="eastAsia" w:eastAsia="新宋体"/>
                      <w:b w:val="0"/>
                      <w:bCs w:val="0"/>
                      <w:sz w:val="21"/>
                      <w:szCs w:val="21"/>
                      <w:vertAlign w:val="baseline"/>
                      <w:lang w:val="en-US" w:eastAsia="zh-CN"/>
                    </w:rPr>
                  </w:pPr>
                </w:p>
              </w:tc>
              <w:tc>
                <w:tcPr>
                  <w:tcW w:w="1500" w:type="dxa"/>
                  <w:vMerge w:val="continue"/>
                  <w:noWrap w:val="0"/>
                  <w:vAlign w:val="center"/>
                </w:tcPr>
                <w:p w14:paraId="5E64E41F">
                  <w:pPr>
                    <w:pStyle w:val="9"/>
                    <w:jc w:val="center"/>
                    <w:rPr>
                      <w:rFonts w:hint="eastAsia" w:eastAsia="新宋体"/>
                      <w:b w:val="0"/>
                      <w:bCs w:val="0"/>
                      <w:sz w:val="21"/>
                      <w:szCs w:val="21"/>
                      <w:vertAlign w:val="baseline"/>
                      <w:lang w:val="en-US" w:eastAsia="zh-CN"/>
                    </w:rPr>
                  </w:pPr>
                </w:p>
              </w:tc>
              <w:tc>
                <w:tcPr>
                  <w:tcW w:w="3669" w:type="dxa"/>
                  <w:noWrap w:val="0"/>
                  <w:vAlign w:val="center"/>
                </w:tcPr>
                <w:p w14:paraId="306AB9E1">
                  <w:pPr>
                    <w:pStyle w:val="9"/>
                    <w:jc w:val="center"/>
                    <w:rPr>
                      <w:rFonts w:hint="default" w:eastAsia="新宋体"/>
                      <w:b w:val="0"/>
                      <w:bCs w:val="0"/>
                      <w:sz w:val="21"/>
                      <w:szCs w:val="21"/>
                      <w:vertAlign w:val="baseline"/>
                      <w:lang w:val="en-US" w:eastAsia="zh-CN"/>
                    </w:rPr>
                  </w:pPr>
                  <w:r>
                    <w:rPr>
                      <w:rFonts w:hint="eastAsia" w:eastAsia="新宋体"/>
                      <w:b w:val="0"/>
                      <w:bCs w:val="0"/>
                      <w:sz w:val="21"/>
                      <w:szCs w:val="21"/>
                      <w:vertAlign w:val="baseline"/>
                      <w:lang w:val="en-US" w:eastAsia="zh-CN"/>
                    </w:rPr>
                    <w:t>SS</w:t>
                  </w:r>
                </w:p>
              </w:tc>
              <w:tc>
                <w:tcPr>
                  <w:tcW w:w="2031" w:type="dxa"/>
                  <w:noWrap w:val="0"/>
                  <w:vAlign w:val="center"/>
                </w:tcPr>
                <w:p w14:paraId="11B402B8">
                  <w:pPr>
                    <w:pStyle w:val="9"/>
                    <w:jc w:val="center"/>
                    <w:rPr>
                      <w:rFonts w:hint="default" w:eastAsia="新宋体"/>
                      <w:b w:val="0"/>
                      <w:bCs w:val="0"/>
                      <w:sz w:val="21"/>
                      <w:szCs w:val="21"/>
                      <w:vertAlign w:val="baseline"/>
                      <w:lang w:val="en-US" w:eastAsia="zh-CN"/>
                    </w:rPr>
                  </w:pPr>
                  <w:r>
                    <w:rPr>
                      <w:rFonts w:hint="eastAsia" w:eastAsia="新宋体"/>
                      <w:b w:val="0"/>
                      <w:bCs w:val="0"/>
                      <w:sz w:val="21"/>
                      <w:szCs w:val="21"/>
                      <w:vertAlign w:val="baseline"/>
                      <w:lang w:val="en-US" w:eastAsia="zh-CN"/>
                    </w:rPr>
                    <w:t>1次/周</w:t>
                  </w:r>
                </w:p>
              </w:tc>
            </w:tr>
            <w:tr w14:paraId="1CA7E9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23" w:type="dxa"/>
                  <w:vMerge w:val="continue"/>
                  <w:noWrap w:val="0"/>
                  <w:vAlign w:val="center"/>
                </w:tcPr>
                <w:p w14:paraId="0366F1DB">
                  <w:pPr>
                    <w:pStyle w:val="9"/>
                    <w:jc w:val="center"/>
                    <w:rPr>
                      <w:rFonts w:hint="eastAsia" w:eastAsia="新宋体"/>
                      <w:b w:val="0"/>
                      <w:bCs w:val="0"/>
                      <w:sz w:val="21"/>
                      <w:szCs w:val="21"/>
                      <w:vertAlign w:val="baseline"/>
                      <w:lang w:val="en-US" w:eastAsia="zh-CN"/>
                    </w:rPr>
                  </w:pPr>
                </w:p>
              </w:tc>
              <w:tc>
                <w:tcPr>
                  <w:tcW w:w="1500" w:type="dxa"/>
                  <w:vMerge w:val="continue"/>
                  <w:noWrap w:val="0"/>
                  <w:vAlign w:val="center"/>
                </w:tcPr>
                <w:p w14:paraId="0032EE3E">
                  <w:pPr>
                    <w:pStyle w:val="9"/>
                    <w:jc w:val="center"/>
                    <w:rPr>
                      <w:rFonts w:hint="eastAsia" w:eastAsia="新宋体"/>
                      <w:b w:val="0"/>
                      <w:bCs w:val="0"/>
                      <w:sz w:val="21"/>
                      <w:szCs w:val="21"/>
                      <w:vertAlign w:val="baseline"/>
                      <w:lang w:val="en-US" w:eastAsia="zh-CN"/>
                    </w:rPr>
                  </w:pPr>
                </w:p>
              </w:tc>
              <w:tc>
                <w:tcPr>
                  <w:tcW w:w="3669" w:type="dxa"/>
                  <w:noWrap w:val="0"/>
                  <w:vAlign w:val="center"/>
                </w:tcPr>
                <w:p w14:paraId="680D09D3">
                  <w:pPr>
                    <w:pStyle w:val="9"/>
                    <w:jc w:val="center"/>
                    <w:rPr>
                      <w:rFonts w:hint="eastAsia" w:eastAsia="新宋体"/>
                      <w:b w:val="0"/>
                      <w:bCs w:val="0"/>
                      <w:sz w:val="21"/>
                      <w:szCs w:val="21"/>
                      <w:vertAlign w:val="baseline"/>
                      <w:lang w:val="en-US" w:eastAsia="zh-CN"/>
                    </w:rPr>
                  </w:pPr>
                  <w:r>
                    <w:rPr>
                      <w:rFonts w:hint="eastAsia" w:eastAsia="新宋体"/>
                      <w:b w:val="0"/>
                      <w:bCs w:val="0"/>
                      <w:sz w:val="21"/>
                      <w:szCs w:val="21"/>
                      <w:vertAlign w:val="baseline"/>
                      <w:lang w:val="en-US" w:eastAsia="zh-CN"/>
                    </w:rPr>
                    <w:t>粪大肠菌群</w:t>
                  </w:r>
                </w:p>
              </w:tc>
              <w:tc>
                <w:tcPr>
                  <w:tcW w:w="2031" w:type="dxa"/>
                  <w:noWrap w:val="0"/>
                  <w:vAlign w:val="center"/>
                </w:tcPr>
                <w:p w14:paraId="6B5205F3">
                  <w:pPr>
                    <w:pStyle w:val="9"/>
                    <w:jc w:val="center"/>
                    <w:rPr>
                      <w:rFonts w:hint="default" w:eastAsia="新宋体"/>
                      <w:b w:val="0"/>
                      <w:bCs w:val="0"/>
                      <w:sz w:val="21"/>
                      <w:szCs w:val="21"/>
                      <w:vertAlign w:val="baseline"/>
                      <w:lang w:val="en-US" w:eastAsia="zh-CN"/>
                    </w:rPr>
                  </w:pPr>
                  <w:r>
                    <w:rPr>
                      <w:rFonts w:hint="eastAsia" w:eastAsia="新宋体"/>
                      <w:b w:val="0"/>
                      <w:bCs w:val="0"/>
                      <w:sz w:val="21"/>
                      <w:szCs w:val="21"/>
                      <w:vertAlign w:val="baseline"/>
                      <w:lang w:val="en-US" w:eastAsia="zh-CN"/>
                    </w:rPr>
                    <w:t>1次/月</w:t>
                  </w:r>
                </w:p>
              </w:tc>
            </w:tr>
            <w:tr w14:paraId="21A16A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 w:hRule="atLeast"/>
                <w:jc w:val="center"/>
              </w:trPr>
              <w:tc>
                <w:tcPr>
                  <w:tcW w:w="923" w:type="dxa"/>
                  <w:vMerge w:val="continue"/>
                  <w:noWrap w:val="0"/>
                  <w:vAlign w:val="center"/>
                </w:tcPr>
                <w:p w14:paraId="7E2FEEAB">
                  <w:pPr>
                    <w:pStyle w:val="9"/>
                    <w:jc w:val="center"/>
                    <w:rPr>
                      <w:rFonts w:hint="eastAsia" w:eastAsia="新宋体"/>
                      <w:b w:val="0"/>
                      <w:bCs w:val="0"/>
                      <w:sz w:val="21"/>
                      <w:szCs w:val="21"/>
                      <w:vertAlign w:val="baseline"/>
                      <w:lang w:val="en-US" w:eastAsia="zh-CN"/>
                    </w:rPr>
                  </w:pPr>
                </w:p>
              </w:tc>
              <w:tc>
                <w:tcPr>
                  <w:tcW w:w="1500" w:type="dxa"/>
                  <w:vMerge w:val="continue"/>
                  <w:noWrap w:val="0"/>
                  <w:vAlign w:val="center"/>
                </w:tcPr>
                <w:p w14:paraId="0B624E45">
                  <w:pPr>
                    <w:pStyle w:val="9"/>
                    <w:jc w:val="center"/>
                    <w:rPr>
                      <w:rFonts w:hint="eastAsia" w:eastAsia="新宋体"/>
                      <w:b w:val="0"/>
                      <w:bCs w:val="0"/>
                      <w:sz w:val="21"/>
                      <w:szCs w:val="21"/>
                      <w:vertAlign w:val="baseline"/>
                      <w:lang w:val="en-US" w:eastAsia="zh-CN"/>
                    </w:rPr>
                  </w:pPr>
                </w:p>
              </w:tc>
              <w:tc>
                <w:tcPr>
                  <w:tcW w:w="3669" w:type="dxa"/>
                  <w:noWrap w:val="0"/>
                  <w:vAlign w:val="center"/>
                </w:tcPr>
                <w:p w14:paraId="291C722F">
                  <w:pPr>
                    <w:pStyle w:val="9"/>
                    <w:jc w:val="center"/>
                    <w:rPr>
                      <w:rFonts w:hint="eastAsia" w:eastAsia="新宋体"/>
                      <w:b w:val="0"/>
                      <w:bCs w:val="0"/>
                      <w:sz w:val="21"/>
                      <w:szCs w:val="21"/>
                      <w:vertAlign w:val="baseline"/>
                      <w:lang w:val="en-US" w:eastAsia="zh-CN"/>
                    </w:rPr>
                  </w:pPr>
                  <w:r>
                    <w:rPr>
                      <w:rFonts w:hint="eastAsia" w:eastAsia="新宋体"/>
                      <w:b w:val="0"/>
                      <w:bCs w:val="0"/>
                      <w:sz w:val="21"/>
                      <w:szCs w:val="21"/>
                      <w:vertAlign w:val="baseline"/>
                      <w:lang w:val="en-US" w:eastAsia="zh-CN"/>
                    </w:rPr>
                    <w:t>BOD</w:t>
                  </w:r>
                  <w:r>
                    <w:rPr>
                      <w:rFonts w:hint="eastAsia" w:eastAsia="新宋体"/>
                      <w:b w:val="0"/>
                      <w:bCs w:val="0"/>
                      <w:sz w:val="21"/>
                      <w:szCs w:val="21"/>
                      <w:vertAlign w:val="subscript"/>
                      <w:lang w:val="en-US" w:eastAsia="zh-CN"/>
                    </w:rPr>
                    <w:t>5</w:t>
                  </w:r>
                  <w:r>
                    <w:rPr>
                      <w:rFonts w:hint="eastAsia" w:eastAsia="新宋体"/>
                      <w:b w:val="0"/>
                      <w:bCs w:val="0"/>
                      <w:sz w:val="21"/>
                      <w:szCs w:val="21"/>
                      <w:vertAlign w:val="baseline"/>
                      <w:lang w:val="en-US" w:eastAsia="zh-CN"/>
                    </w:rPr>
                    <w:t>、TP</w:t>
                  </w:r>
                </w:p>
              </w:tc>
              <w:tc>
                <w:tcPr>
                  <w:tcW w:w="2031" w:type="dxa"/>
                  <w:noWrap w:val="0"/>
                  <w:vAlign w:val="center"/>
                </w:tcPr>
                <w:p w14:paraId="10181CB3">
                  <w:pPr>
                    <w:pStyle w:val="9"/>
                    <w:jc w:val="center"/>
                    <w:rPr>
                      <w:rFonts w:hint="eastAsia" w:eastAsia="新宋体"/>
                      <w:b w:val="0"/>
                      <w:bCs w:val="0"/>
                      <w:sz w:val="21"/>
                      <w:szCs w:val="21"/>
                      <w:vertAlign w:val="baseline"/>
                      <w:lang w:val="en-US" w:eastAsia="zh-CN"/>
                    </w:rPr>
                  </w:pPr>
                  <w:r>
                    <w:rPr>
                      <w:rFonts w:hint="eastAsia" w:eastAsia="新宋体"/>
                      <w:b w:val="0"/>
                      <w:bCs w:val="0"/>
                      <w:sz w:val="21"/>
                      <w:szCs w:val="21"/>
                      <w:vertAlign w:val="baseline"/>
                      <w:lang w:val="en-US" w:eastAsia="zh-CN"/>
                    </w:rPr>
                    <w:t>1次/季</w:t>
                  </w:r>
                </w:p>
              </w:tc>
            </w:tr>
          </w:tbl>
          <w:p w14:paraId="15FE92B6">
            <w:pPr>
              <w:pStyle w:val="9"/>
              <w:jc w:val="center"/>
              <w:rPr>
                <w:rFonts w:hint="eastAsia" w:eastAsia="新宋体"/>
                <w:sz w:val="21"/>
                <w:szCs w:val="21"/>
                <w:lang w:val="en-US" w:eastAsia="zh-CN"/>
              </w:rPr>
            </w:pPr>
          </w:p>
          <w:bookmarkEnd w:id="5"/>
          <w:p w14:paraId="16E0928A">
            <w:pPr>
              <w:spacing w:line="360" w:lineRule="auto"/>
              <w:ind w:firstLine="482" w:firstLineChars="200"/>
              <w:rPr>
                <w:b/>
                <w:bCs/>
                <w:sz w:val="24"/>
              </w:rPr>
            </w:pPr>
            <w:r>
              <w:rPr>
                <w:rFonts w:hint="eastAsia"/>
                <w:b/>
                <w:bCs/>
                <w:sz w:val="24"/>
              </w:rPr>
              <w:t>3</w:t>
            </w:r>
            <w:r>
              <w:rPr>
                <w:b/>
                <w:bCs/>
                <w:sz w:val="24"/>
              </w:rPr>
              <w:t>运营期声环境影响和保护措施</w:t>
            </w:r>
          </w:p>
          <w:p w14:paraId="50F68AFF">
            <w:pPr>
              <w:spacing w:line="360" w:lineRule="auto"/>
              <w:ind w:firstLine="482" w:firstLineChars="200"/>
              <w:rPr>
                <w:rFonts w:hint="eastAsia"/>
                <w:b/>
                <w:bCs/>
                <w:color w:val="auto"/>
                <w:sz w:val="24"/>
              </w:rPr>
            </w:pPr>
            <w:r>
              <w:rPr>
                <w:rFonts w:hint="eastAsia"/>
                <w:b/>
                <w:bCs/>
                <w:sz w:val="24"/>
              </w:rPr>
              <w:t>3.</w:t>
            </w:r>
            <w:r>
              <w:rPr>
                <w:rFonts w:hint="eastAsia"/>
                <w:b/>
                <w:bCs/>
                <w:color w:val="auto"/>
                <w:sz w:val="24"/>
              </w:rPr>
              <w:t>1噪声污染源强</w:t>
            </w:r>
          </w:p>
          <w:p w14:paraId="76D4C0FE">
            <w:pPr>
              <w:spacing w:line="360" w:lineRule="auto"/>
              <w:ind w:firstLine="480" w:firstLineChars="200"/>
              <w:rPr>
                <w:rFonts w:hint="eastAsia" w:eastAsia="宋体"/>
                <w:sz w:val="24"/>
                <w:lang w:val="en-US" w:eastAsia="zh-CN"/>
              </w:rPr>
            </w:pPr>
            <w:r>
              <w:rPr>
                <w:rFonts w:hint="eastAsia"/>
                <w:sz w:val="24"/>
              </w:rPr>
              <w:t>本项目运营期医疗设备噪声值较小，本次环评不考虑医疗设备产生的噪声；本项目产生的噪声主要来源于污水处理站水泵</w:t>
            </w:r>
            <w:r>
              <w:rPr>
                <w:rFonts w:hint="eastAsia"/>
                <w:sz w:val="24"/>
                <w:lang w:eastAsia="zh-CN"/>
              </w:rPr>
              <w:t>、空调外机、风机和抽机械排风系统</w:t>
            </w:r>
            <w:r>
              <w:rPr>
                <w:rFonts w:hint="eastAsia"/>
                <w:sz w:val="24"/>
              </w:rPr>
              <w:t>，</w:t>
            </w:r>
            <w:r>
              <w:rPr>
                <w:rFonts w:hint="eastAsia"/>
                <w:sz w:val="24"/>
                <w:lang w:eastAsia="zh-CN"/>
              </w:rPr>
              <w:t>水泵、</w:t>
            </w:r>
            <w:r>
              <w:rPr>
                <w:rFonts w:hint="eastAsia"/>
                <w:sz w:val="24"/>
                <w:lang w:val="en-US" w:eastAsia="zh-CN"/>
              </w:rPr>
              <w:t>风机、</w:t>
            </w:r>
            <w:r>
              <w:rPr>
                <w:rFonts w:hint="eastAsia"/>
                <w:sz w:val="24"/>
                <w:lang w:eastAsia="zh-CN"/>
              </w:rPr>
              <w:t>机械抽排风系统</w:t>
            </w:r>
            <w:r>
              <w:rPr>
                <w:rFonts w:hint="eastAsia"/>
                <w:sz w:val="24"/>
              </w:rPr>
              <w:t>噪声值约为80dB（A），采取隔声、减振等措施后，噪声值可降低约20dB（A）。</w:t>
            </w:r>
            <w:r>
              <w:rPr>
                <w:rFonts w:hint="eastAsia"/>
                <w:sz w:val="24"/>
                <w:lang w:eastAsia="zh-CN"/>
              </w:rPr>
              <w:t>空调外机噪声值约为</w:t>
            </w:r>
            <w:r>
              <w:rPr>
                <w:rFonts w:hint="eastAsia"/>
                <w:sz w:val="24"/>
                <w:lang w:val="en-US" w:eastAsia="zh-CN"/>
              </w:rPr>
              <w:t>60</w:t>
            </w:r>
            <w:r>
              <w:rPr>
                <w:rFonts w:hint="eastAsia"/>
                <w:sz w:val="24"/>
              </w:rPr>
              <w:t>dB（A）</w:t>
            </w:r>
            <w:r>
              <w:rPr>
                <w:rFonts w:hint="eastAsia"/>
                <w:sz w:val="24"/>
                <w:lang w:eastAsia="zh-CN"/>
              </w:rPr>
              <w:t>。</w:t>
            </w:r>
          </w:p>
          <w:p w14:paraId="1B88B3D7">
            <w:pPr>
              <w:snapToGrid w:val="0"/>
              <w:jc w:val="center"/>
              <w:rPr>
                <w:b/>
                <w:bCs/>
                <w:szCs w:val="21"/>
              </w:rPr>
            </w:pPr>
            <w:r>
              <w:rPr>
                <w:b/>
                <w:bCs/>
                <w:szCs w:val="21"/>
              </w:rPr>
              <w:t>表</w:t>
            </w:r>
            <w:r>
              <w:rPr>
                <w:rFonts w:hint="eastAsia"/>
                <w:b/>
                <w:bCs/>
                <w:szCs w:val="21"/>
              </w:rPr>
              <w:t>4</w:t>
            </w:r>
            <w:r>
              <w:rPr>
                <w:b/>
                <w:bCs/>
                <w:szCs w:val="21"/>
              </w:rPr>
              <w:t>-</w:t>
            </w:r>
            <w:r>
              <w:rPr>
                <w:rFonts w:hint="eastAsia"/>
                <w:b/>
                <w:bCs/>
                <w:szCs w:val="21"/>
                <w:lang w:val="en-US" w:eastAsia="zh-CN"/>
              </w:rPr>
              <w:t>9</w:t>
            </w:r>
            <w:r>
              <w:rPr>
                <w:b/>
                <w:bCs/>
                <w:szCs w:val="21"/>
              </w:rPr>
              <w:t>主要噪声源强及治理措施一览表</w:t>
            </w:r>
            <w:r>
              <w:rPr>
                <w:rFonts w:hint="eastAsia"/>
                <w:b/>
                <w:bCs/>
                <w:szCs w:val="21"/>
              </w:rPr>
              <w:t>（室外）</w:t>
            </w:r>
          </w:p>
          <w:tbl>
            <w:tblPr>
              <w:tblStyle w:val="14"/>
              <w:tblW w:w="494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1"/>
              <w:gridCol w:w="1160"/>
              <w:gridCol w:w="1091"/>
              <w:gridCol w:w="632"/>
              <w:gridCol w:w="65"/>
              <w:gridCol w:w="567"/>
              <w:gridCol w:w="65"/>
              <w:gridCol w:w="569"/>
              <w:gridCol w:w="1999"/>
              <w:gridCol w:w="1052"/>
            </w:tblGrid>
            <w:tr w14:paraId="21A445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7" w:type="pct"/>
                  <w:vMerge w:val="restart"/>
                  <w:noWrap w:val="0"/>
                  <w:vAlign w:val="center"/>
                </w:tcPr>
                <w:p w14:paraId="117C8716">
                  <w:pPr>
                    <w:jc w:val="center"/>
                    <w:rPr>
                      <w:rFonts w:hint="eastAsia"/>
                      <w:b/>
                      <w:szCs w:val="21"/>
                    </w:rPr>
                  </w:pPr>
                  <w:r>
                    <w:rPr>
                      <w:rFonts w:hint="eastAsia"/>
                      <w:b/>
                      <w:szCs w:val="21"/>
                    </w:rPr>
                    <w:t>声源</w:t>
                  </w:r>
                </w:p>
                <w:p w14:paraId="16CD9760">
                  <w:pPr>
                    <w:jc w:val="center"/>
                    <w:rPr>
                      <w:b/>
                      <w:szCs w:val="21"/>
                    </w:rPr>
                  </w:pPr>
                  <w:r>
                    <w:rPr>
                      <w:rFonts w:hint="eastAsia"/>
                      <w:b/>
                      <w:szCs w:val="21"/>
                    </w:rPr>
                    <w:t>名称</w:t>
                  </w:r>
                </w:p>
              </w:tc>
              <w:tc>
                <w:tcPr>
                  <w:tcW w:w="714" w:type="pct"/>
                  <w:vMerge w:val="restart"/>
                  <w:noWrap w:val="0"/>
                  <w:vAlign w:val="center"/>
                </w:tcPr>
                <w:p w14:paraId="1E9C22F7">
                  <w:pPr>
                    <w:jc w:val="center"/>
                    <w:rPr>
                      <w:b/>
                      <w:szCs w:val="21"/>
                    </w:rPr>
                  </w:pPr>
                  <w:r>
                    <w:rPr>
                      <w:rFonts w:hint="eastAsia"/>
                      <w:b/>
                      <w:szCs w:val="21"/>
                      <w:lang w:eastAsia="zh-CN"/>
                    </w:rPr>
                    <w:t>声功率级</w:t>
                  </w:r>
                  <w:r>
                    <w:rPr>
                      <w:rFonts w:hint="eastAsia"/>
                      <w:b/>
                      <w:bCs/>
                      <w:szCs w:val="21"/>
                    </w:rPr>
                    <w:t>/</w:t>
                  </w:r>
                  <w:r>
                    <w:rPr>
                      <w:rFonts w:hint="eastAsia"/>
                      <w:b/>
                      <w:szCs w:val="21"/>
                    </w:rPr>
                    <w:t>dB(A)</w:t>
                  </w:r>
                </w:p>
              </w:tc>
              <w:tc>
                <w:tcPr>
                  <w:tcW w:w="671" w:type="pct"/>
                  <w:vMerge w:val="restart"/>
                  <w:noWrap w:val="0"/>
                  <w:vAlign w:val="center"/>
                </w:tcPr>
                <w:p w14:paraId="39C590FC">
                  <w:pPr>
                    <w:jc w:val="center"/>
                    <w:rPr>
                      <w:rFonts w:hint="eastAsia"/>
                      <w:b/>
                      <w:szCs w:val="21"/>
                    </w:rPr>
                  </w:pPr>
                  <w:r>
                    <w:rPr>
                      <w:rFonts w:hint="eastAsia"/>
                      <w:b/>
                      <w:szCs w:val="21"/>
                    </w:rPr>
                    <w:t>数量（台）</w:t>
                  </w:r>
                </w:p>
              </w:tc>
              <w:tc>
                <w:tcPr>
                  <w:tcW w:w="1168" w:type="pct"/>
                  <w:gridSpan w:val="5"/>
                  <w:noWrap w:val="0"/>
                  <w:vAlign w:val="center"/>
                </w:tcPr>
                <w:p w14:paraId="236E8262">
                  <w:pPr>
                    <w:jc w:val="center"/>
                    <w:rPr>
                      <w:szCs w:val="21"/>
                    </w:rPr>
                  </w:pPr>
                  <w:r>
                    <w:rPr>
                      <w:rFonts w:hint="eastAsia"/>
                      <w:b/>
                      <w:bCs/>
                      <w:szCs w:val="21"/>
                    </w:rPr>
                    <w:t>空间相对位置/m</w:t>
                  </w:r>
                </w:p>
              </w:tc>
              <w:tc>
                <w:tcPr>
                  <w:tcW w:w="1230" w:type="pct"/>
                  <w:vMerge w:val="restart"/>
                  <w:noWrap w:val="0"/>
                  <w:vAlign w:val="center"/>
                </w:tcPr>
                <w:p w14:paraId="1BC888B5">
                  <w:pPr>
                    <w:jc w:val="center"/>
                    <w:rPr>
                      <w:szCs w:val="21"/>
                    </w:rPr>
                  </w:pPr>
                  <w:r>
                    <w:rPr>
                      <w:rFonts w:hint="eastAsia"/>
                      <w:b/>
                      <w:bCs/>
                      <w:szCs w:val="21"/>
                    </w:rPr>
                    <w:t>声源控制措施</w:t>
                  </w:r>
                </w:p>
              </w:tc>
              <w:tc>
                <w:tcPr>
                  <w:tcW w:w="647" w:type="pct"/>
                  <w:vMerge w:val="restart"/>
                  <w:noWrap w:val="0"/>
                  <w:vAlign w:val="center"/>
                </w:tcPr>
                <w:p w14:paraId="05C16426">
                  <w:pPr>
                    <w:jc w:val="center"/>
                    <w:rPr>
                      <w:b/>
                      <w:szCs w:val="21"/>
                    </w:rPr>
                  </w:pPr>
                  <w:r>
                    <w:rPr>
                      <w:rFonts w:hint="eastAsia"/>
                      <w:b/>
                      <w:szCs w:val="21"/>
                    </w:rPr>
                    <w:t>运行时段</w:t>
                  </w:r>
                  <w:r>
                    <w:rPr>
                      <w:rFonts w:hint="eastAsia"/>
                      <w:b/>
                      <w:szCs w:val="21"/>
                      <w:lang w:eastAsia="zh-CN"/>
                    </w:rPr>
                    <w:t>（</w:t>
                  </w:r>
                  <w:r>
                    <w:rPr>
                      <w:rFonts w:hint="eastAsia"/>
                      <w:b/>
                      <w:szCs w:val="21"/>
                    </w:rPr>
                    <w:t>h/d</w:t>
                  </w:r>
                  <w:r>
                    <w:rPr>
                      <w:rFonts w:hint="eastAsia"/>
                      <w:b/>
                      <w:szCs w:val="21"/>
                      <w:lang w:eastAsia="zh-CN"/>
                    </w:rPr>
                    <w:t>）</w:t>
                  </w:r>
                </w:p>
              </w:tc>
            </w:tr>
            <w:tr w14:paraId="517BDA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7" w:type="pct"/>
                  <w:vMerge w:val="continue"/>
                  <w:noWrap w:val="0"/>
                  <w:vAlign w:val="center"/>
                </w:tcPr>
                <w:p w14:paraId="5C62F1D7">
                  <w:pPr>
                    <w:jc w:val="center"/>
                    <w:rPr>
                      <w:rFonts w:hint="eastAsia"/>
                      <w:szCs w:val="21"/>
                    </w:rPr>
                  </w:pPr>
                </w:p>
              </w:tc>
              <w:tc>
                <w:tcPr>
                  <w:tcW w:w="714" w:type="pct"/>
                  <w:vMerge w:val="continue"/>
                  <w:noWrap w:val="0"/>
                  <w:vAlign w:val="center"/>
                </w:tcPr>
                <w:p w14:paraId="2195DD51">
                  <w:pPr>
                    <w:jc w:val="center"/>
                    <w:rPr>
                      <w:rFonts w:hint="eastAsia"/>
                      <w:szCs w:val="21"/>
                    </w:rPr>
                  </w:pPr>
                </w:p>
              </w:tc>
              <w:tc>
                <w:tcPr>
                  <w:tcW w:w="671" w:type="pct"/>
                  <w:vMerge w:val="continue"/>
                  <w:noWrap w:val="0"/>
                  <w:vAlign w:val="center"/>
                </w:tcPr>
                <w:p w14:paraId="532D4060">
                  <w:pPr>
                    <w:jc w:val="center"/>
                    <w:rPr>
                      <w:szCs w:val="21"/>
                    </w:rPr>
                  </w:pPr>
                </w:p>
              </w:tc>
              <w:tc>
                <w:tcPr>
                  <w:tcW w:w="429" w:type="pct"/>
                  <w:gridSpan w:val="2"/>
                  <w:noWrap w:val="0"/>
                  <w:vAlign w:val="center"/>
                </w:tcPr>
                <w:p w14:paraId="33B743B5">
                  <w:pPr>
                    <w:jc w:val="center"/>
                    <w:rPr>
                      <w:szCs w:val="21"/>
                    </w:rPr>
                  </w:pPr>
                  <w:r>
                    <w:rPr>
                      <w:rFonts w:hint="eastAsia"/>
                      <w:szCs w:val="21"/>
                    </w:rPr>
                    <w:t>X</w:t>
                  </w:r>
                </w:p>
              </w:tc>
              <w:tc>
                <w:tcPr>
                  <w:tcW w:w="389" w:type="pct"/>
                  <w:gridSpan w:val="2"/>
                  <w:noWrap w:val="0"/>
                  <w:vAlign w:val="center"/>
                </w:tcPr>
                <w:p w14:paraId="62446148">
                  <w:pPr>
                    <w:jc w:val="center"/>
                    <w:rPr>
                      <w:szCs w:val="21"/>
                    </w:rPr>
                  </w:pPr>
                  <w:r>
                    <w:rPr>
                      <w:rFonts w:hint="eastAsia"/>
                      <w:szCs w:val="21"/>
                    </w:rPr>
                    <w:t>Y</w:t>
                  </w:r>
                </w:p>
              </w:tc>
              <w:tc>
                <w:tcPr>
                  <w:tcW w:w="350" w:type="pct"/>
                  <w:noWrap w:val="0"/>
                  <w:vAlign w:val="center"/>
                </w:tcPr>
                <w:p w14:paraId="599B07E7">
                  <w:pPr>
                    <w:jc w:val="center"/>
                    <w:rPr>
                      <w:szCs w:val="21"/>
                    </w:rPr>
                  </w:pPr>
                  <w:r>
                    <w:rPr>
                      <w:rFonts w:hint="eastAsia"/>
                      <w:szCs w:val="21"/>
                    </w:rPr>
                    <w:t>Z</w:t>
                  </w:r>
                </w:p>
              </w:tc>
              <w:tc>
                <w:tcPr>
                  <w:tcW w:w="1230" w:type="pct"/>
                  <w:vMerge w:val="continue"/>
                  <w:noWrap w:val="0"/>
                  <w:vAlign w:val="center"/>
                </w:tcPr>
                <w:p w14:paraId="2B2104CA">
                  <w:pPr>
                    <w:jc w:val="center"/>
                    <w:rPr>
                      <w:szCs w:val="21"/>
                    </w:rPr>
                  </w:pPr>
                </w:p>
              </w:tc>
              <w:tc>
                <w:tcPr>
                  <w:tcW w:w="647" w:type="pct"/>
                  <w:vMerge w:val="continue"/>
                  <w:noWrap w:val="0"/>
                  <w:vAlign w:val="center"/>
                </w:tcPr>
                <w:p w14:paraId="56544FE9">
                  <w:pPr>
                    <w:jc w:val="center"/>
                    <w:rPr>
                      <w:rFonts w:hint="eastAsia"/>
                      <w:szCs w:val="21"/>
                    </w:rPr>
                  </w:pPr>
                </w:p>
              </w:tc>
            </w:tr>
            <w:tr w14:paraId="58A99F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4" w:hRule="atLeast"/>
              </w:trPr>
              <w:tc>
                <w:tcPr>
                  <w:tcW w:w="567" w:type="pct"/>
                  <w:noWrap w:val="0"/>
                  <w:vAlign w:val="center"/>
                </w:tcPr>
                <w:p w14:paraId="652EF916">
                  <w:pPr>
                    <w:jc w:val="center"/>
                    <w:rPr>
                      <w:rFonts w:hint="eastAsia"/>
                      <w:szCs w:val="21"/>
                      <w:lang w:eastAsia="zh-CN"/>
                    </w:rPr>
                  </w:pPr>
                  <w:r>
                    <w:rPr>
                      <w:rFonts w:hint="eastAsia"/>
                      <w:szCs w:val="21"/>
                      <w:lang w:eastAsia="zh-CN"/>
                    </w:rPr>
                    <w:t>水泵</w:t>
                  </w:r>
                </w:p>
              </w:tc>
              <w:tc>
                <w:tcPr>
                  <w:tcW w:w="714" w:type="pct"/>
                  <w:noWrap w:val="0"/>
                  <w:vAlign w:val="center"/>
                </w:tcPr>
                <w:p w14:paraId="4931BF6D">
                  <w:pPr>
                    <w:jc w:val="center"/>
                    <w:rPr>
                      <w:rFonts w:hint="default"/>
                      <w:szCs w:val="21"/>
                      <w:lang w:val="en-US" w:eastAsia="zh-CN"/>
                    </w:rPr>
                  </w:pPr>
                  <w:r>
                    <w:rPr>
                      <w:rFonts w:hint="eastAsia"/>
                      <w:szCs w:val="21"/>
                      <w:lang w:val="en-US" w:eastAsia="zh-CN"/>
                    </w:rPr>
                    <w:t>80</w:t>
                  </w:r>
                </w:p>
              </w:tc>
              <w:tc>
                <w:tcPr>
                  <w:tcW w:w="671" w:type="pct"/>
                  <w:noWrap w:val="0"/>
                  <w:vAlign w:val="center"/>
                </w:tcPr>
                <w:p w14:paraId="66159C41">
                  <w:pPr>
                    <w:jc w:val="center"/>
                    <w:rPr>
                      <w:rFonts w:hint="default"/>
                      <w:szCs w:val="21"/>
                      <w:lang w:val="en-US" w:eastAsia="zh-CN"/>
                    </w:rPr>
                  </w:pPr>
                  <w:r>
                    <w:rPr>
                      <w:rFonts w:hint="eastAsia"/>
                      <w:szCs w:val="21"/>
                    </w:rPr>
                    <w:t>1</w:t>
                  </w:r>
                </w:p>
              </w:tc>
              <w:tc>
                <w:tcPr>
                  <w:tcW w:w="429" w:type="pct"/>
                  <w:gridSpan w:val="2"/>
                  <w:noWrap w:val="0"/>
                  <w:vAlign w:val="center"/>
                </w:tcPr>
                <w:p w14:paraId="2767BF7D">
                  <w:pPr>
                    <w:jc w:val="center"/>
                    <w:rPr>
                      <w:rFonts w:hint="default"/>
                      <w:bCs/>
                      <w:szCs w:val="21"/>
                      <w:highlight w:val="none"/>
                      <w:lang w:val="en-US" w:eastAsia="zh-CN"/>
                    </w:rPr>
                  </w:pPr>
                  <w:r>
                    <w:rPr>
                      <w:rFonts w:hint="eastAsia"/>
                      <w:bCs/>
                      <w:szCs w:val="21"/>
                      <w:highlight w:val="none"/>
                      <w:lang w:val="en-US" w:eastAsia="zh-CN"/>
                    </w:rPr>
                    <w:t>44</w:t>
                  </w:r>
                </w:p>
              </w:tc>
              <w:tc>
                <w:tcPr>
                  <w:tcW w:w="389" w:type="pct"/>
                  <w:gridSpan w:val="2"/>
                  <w:noWrap w:val="0"/>
                  <w:vAlign w:val="center"/>
                </w:tcPr>
                <w:p w14:paraId="3A535D06">
                  <w:pPr>
                    <w:jc w:val="center"/>
                    <w:rPr>
                      <w:rFonts w:hint="default"/>
                      <w:bCs/>
                      <w:szCs w:val="21"/>
                      <w:highlight w:val="none"/>
                      <w:lang w:val="en-US" w:eastAsia="zh-CN"/>
                    </w:rPr>
                  </w:pPr>
                  <w:r>
                    <w:rPr>
                      <w:rFonts w:hint="eastAsia"/>
                      <w:bCs/>
                      <w:szCs w:val="21"/>
                      <w:highlight w:val="none"/>
                      <w:lang w:val="en-US" w:eastAsia="zh-CN"/>
                    </w:rPr>
                    <w:t>100</w:t>
                  </w:r>
                </w:p>
              </w:tc>
              <w:tc>
                <w:tcPr>
                  <w:tcW w:w="350" w:type="pct"/>
                  <w:noWrap w:val="0"/>
                  <w:vAlign w:val="center"/>
                </w:tcPr>
                <w:p w14:paraId="2106D7BB">
                  <w:pPr>
                    <w:jc w:val="center"/>
                    <w:rPr>
                      <w:rFonts w:hint="default"/>
                      <w:bCs/>
                      <w:szCs w:val="21"/>
                      <w:highlight w:val="none"/>
                      <w:lang w:val="en-US" w:eastAsia="zh-CN"/>
                    </w:rPr>
                  </w:pPr>
                  <w:r>
                    <w:rPr>
                      <w:rFonts w:hint="eastAsia"/>
                      <w:bCs/>
                      <w:szCs w:val="21"/>
                      <w:highlight w:val="none"/>
                      <w:lang w:val="en-US" w:eastAsia="zh-CN"/>
                    </w:rPr>
                    <w:t>-1</w:t>
                  </w:r>
                </w:p>
              </w:tc>
              <w:tc>
                <w:tcPr>
                  <w:tcW w:w="1230" w:type="pct"/>
                  <w:noWrap w:val="0"/>
                  <w:vAlign w:val="center"/>
                </w:tcPr>
                <w:p w14:paraId="5284512A">
                  <w:pPr>
                    <w:jc w:val="center"/>
                    <w:rPr>
                      <w:szCs w:val="21"/>
                    </w:rPr>
                  </w:pPr>
                  <w:r>
                    <w:rPr>
                      <w:rFonts w:cs="Times New Roman"/>
                      <w:color w:val="000000"/>
                    </w:rPr>
                    <w:t>封闭处理，基础减振、隔声</w:t>
                  </w:r>
                </w:p>
              </w:tc>
              <w:tc>
                <w:tcPr>
                  <w:tcW w:w="647" w:type="pct"/>
                  <w:noWrap w:val="0"/>
                  <w:vAlign w:val="center"/>
                </w:tcPr>
                <w:p w14:paraId="67293228">
                  <w:pPr>
                    <w:jc w:val="center"/>
                    <w:rPr>
                      <w:rFonts w:hint="default"/>
                      <w:szCs w:val="21"/>
                      <w:lang w:val="en-US" w:eastAsia="zh-CN"/>
                    </w:rPr>
                  </w:pPr>
                  <w:r>
                    <w:rPr>
                      <w:rFonts w:hint="eastAsia"/>
                      <w:szCs w:val="21"/>
                    </w:rPr>
                    <w:t>24</w:t>
                  </w:r>
                </w:p>
              </w:tc>
            </w:tr>
            <w:tr w14:paraId="1F885E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4" w:hRule="atLeast"/>
              </w:trPr>
              <w:tc>
                <w:tcPr>
                  <w:tcW w:w="567" w:type="pct"/>
                  <w:noWrap w:val="0"/>
                  <w:vAlign w:val="center"/>
                </w:tcPr>
                <w:p w14:paraId="53C0FDEB">
                  <w:pPr>
                    <w:jc w:val="center"/>
                    <w:rPr>
                      <w:rFonts w:hint="eastAsia"/>
                      <w:szCs w:val="21"/>
                      <w:lang w:eastAsia="zh-CN"/>
                    </w:rPr>
                  </w:pPr>
                  <w:r>
                    <w:rPr>
                      <w:rFonts w:hint="eastAsia"/>
                      <w:szCs w:val="21"/>
                      <w:lang w:eastAsia="zh-CN"/>
                    </w:rPr>
                    <w:t>空调外机</w:t>
                  </w:r>
                </w:p>
              </w:tc>
              <w:tc>
                <w:tcPr>
                  <w:tcW w:w="714" w:type="pct"/>
                  <w:noWrap w:val="0"/>
                  <w:vAlign w:val="center"/>
                </w:tcPr>
                <w:p w14:paraId="6ABD2499">
                  <w:pPr>
                    <w:jc w:val="center"/>
                    <w:rPr>
                      <w:rFonts w:hint="default"/>
                      <w:szCs w:val="21"/>
                      <w:lang w:val="en-US" w:eastAsia="zh-CN"/>
                    </w:rPr>
                  </w:pPr>
                  <w:r>
                    <w:rPr>
                      <w:rFonts w:hint="eastAsia"/>
                      <w:szCs w:val="21"/>
                      <w:lang w:val="en-US" w:eastAsia="zh-CN"/>
                    </w:rPr>
                    <w:t>60</w:t>
                  </w:r>
                </w:p>
              </w:tc>
              <w:tc>
                <w:tcPr>
                  <w:tcW w:w="671" w:type="pct"/>
                  <w:noWrap w:val="0"/>
                  <w:vAlign w:val="center"/>
                </w:tcPr>
                <w:p w14:paraId="65C17A0C">
                  <w:pPr>
                    <w:jc w:val="center"/>
                    <w:rPr>
                      <w:rFonts w:hint="default" w:eastAsia="宋体"/>
                      <w:szCs w:val="21"/>
                      <w:lang w:val="en-US" w:eastAsia="zh-CN"/>
                    </w:rPr>
                  </w:pPr>
                  <w:r>
                    <w:rPr>
                      <w:rFonts w:hint="eastAsia"/>
                      <w:szCs w:val="21"/>
                      <w:lang w:val="en-US" w:eastAsia="zh-CN"/>
                    </w:rPr>
                    <w:t>140</w:t>
                  </w:r>
                </w:p>
              </w:tc>
              <w:tc>
                <w:tcPr>
                  <w:tcW w:w="1168" w:type="pct"/>
                  <w:gridSpan w:val="5"/>
                  <w:noWrap w:val="0"/>
                  <w:vAlign w:val="center"/>
                </w:tcPr>
                <w:p w14:paraId="46F42CD0">
                  <w:pPr>
                    <w:jc w:val="center"/>
                    <w:rPr>
                      <w:rFonts w:hint="default"/>
                      <w:bCs/>
                      <w:szCs w:val="21"/>
                      <w:lang w:val="en-US" w:eastAsia="zh-CN"/>
                    </w:rPr>
                  </w:pPr>
                  <w:r>
                    <w:rPr>
                      <w:rFonts w:hint="eastAsia"/>
                      <w:bCs/>
                      <w:szCs w:val="21"/>
                      <w:lang w:val="en-US" w:eastAsia="zh-CN"/>
                    </w:rPr>
                    <w:t>位于住院楼、门诊楼外部</w:t>
                  </w:r>
                </w:p>
              </w:tc>
              <w:tc>
                <w:tcPr>
                  <w:tcW w:w="1230" w:type="pct"/>
                  <w:noWrap w:val="0"/>
                  <w:vAlign w:val="center"/>
                </w:tcPr>
                <w:p w14:paraId="693AF5C9">
                  <w:pPr>
                    <w:jc w:val="center"/>
                    <w:rPr>
                      <w:rFonts w:hint="eastAsia" w:eastAsia="宋体"/>
                      <w:szCs w:val="21"/>
                      <w:lang w:val="en-US" w:eastAsia="zh-CN"/>
                    </w:rPr>
                  </w:pPr>
                  <w:r>
                    <w:rPr>
                      <w:rFonts w:hint="eastAsia"/>
                      <w:szCs w:val="21"/>
                      <w:lang w:val="en-US" w:eastAsia="zh-CN"/>
                    </w:rPr>
                    <w:t>/</w:t>
                  </w:r>
                </w:p>
              </w:tc>
              <w:tc>
                <w:tcPr>
                  <w:tcW w:w="647" w:type="pct"/>
                  <w:noWrap w:val="0"/>
                  <w:vAlign w:val="center"/>
                </w:tcPr>
                <w:p w14:paraId="48A58D58">
                  <w:pPr>
                    <w:jc w:val="center"/>
                    <w:rPr>
                      <w:rFonts w:hint="default" w:eastAsia="宋体"/>
                      <w:szCs w:val="21"/>
                      <w:lang w:val="en-US" w:eastAsia="zh-CN"/>
                    </w:rPr>
                  </w:pPr>
                  <w:r>
                    <w:rPr>
                      <w:rFonts w:hint="eastAsia"/>
                      <w:szCs w:val="21"/>
                      <w:lang w:val="en-US" w:eastAsia="zh-CN"/>
                    </w:rPr>
                    <w:t>24</w:t>
                  </w:r>
                </w:p>
              </w:tc>
            </w:tr>
            <w:tr w14:paraId="717F7F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4" w:hRule="atLeast"/>
              </w:trPr>
              <w:tc>
                <w:tcPr>
                  <w:tcW w:w="567" w:type="pct"/>
                  <w:noWrap w:val="0"/>
                  <w:vAlign w:val="center"/>
                </w:tcPr>
                <w:p w14:paraId="2FC3DC49">
                  <w:pPr>
                    <w:jc w:val="center"/>
                    <w:rPr>
                      <w:rFonts w:hint="eastAsia"/>
                      <w:szCs w:val="21"/>
                      <w:lang w:eastAsia="zh-CN"/>
                    </w:rPr>
                  </w:pPr>
                  <w:r>
                    <w:rPr>
                      <w:rFonts w:hint="eastAsia"/>
                      <w:szCs w:val="21"/>
                      <w:lang w:eastAsia="zh-CN"/>
                    </w:rPr>
                    <w:t>风机</w:t>
                  </w:r>
                </w:p>
              </w:tc>
              <w:tc>
                <w:tcPr>
                  <w:tcW w:w="714" w:type="pct"/>
                  <w:noWrap w:val="0"/>
                  <w:vAlign w:val="center"/>
                </w:tcPr>
                <w:p w14:paraId="43521FB5">
                  <w:pPr>
                    <w:jc w:val="center"/>
                    <w:rPr>
                      <w:rFonts w:hint="default"/>
                      <w:szCs w:val="21"/>
                      <w:lang w:val="en-US" w:eastAsia="zh-CN"/>
                    </w:rPr>
                  </w:pPr>
                  <w:r>
                    <w:rPr>
                      <w:rFonts w:hint="eastAsia"/>
                      <w:szCs w:val="21"/>
                      <w:lang w:val="en-US" w:eastAsia="zh-CN"/>
                    </w:rPr>
                    <w:t>75</w:t>
                  </w:r>
                </w:p>
              </w:tc>
              <w:tc>
                <w:tcPr>
                  <w:tcW w:w="671" w:type="pct"/>
                  <w:noWrap w:val="0"/>
                  <w:vAlign w:val="center"/>
                </w:tcPr>
                <w:p w14:paraId="21F60D42">
                  <w:pPr>
                    <w:jc w:val="center"/>
                    <w:rPr>
                      <w:rFonts w:hint="default"/>
                      <w:szCs w:val="21"/>
                      <w:lang w:val="en-US" w:eastAsia="zh-CN"/>
                    </w:rPr>
                  </w:pPr>
                  <w:r>
                    <w:rPr>
                      <w:rFonts w:hint="eastAsia"/>
                      <w:szCs w:val="21"/>
                      <w:lang w:val="en-US" w:eastAsia="zh-CN"/>
                    </w:rPr>
                    <w:t>1</w:t>
                  </w:r>
                </w:p>
              </w:tc>
              <w:tc>
                <w:tcPr>
                  <w:tcW w:w="389" w:type="pct"/>
                  <w:noWrap w:val="0"/>
                  <w:vAlign w:val="center"/>
                </w:tcPr>
                <w:p w14:paraId="7462A58B">
                  <w:pPr>
                    <w:jc w:val="center"/>
                    <w:rPr>
                      <w:rFonts w:hint="default"/>
                      <w:bCs/>
                      <w:szCs w:val="21"/>
                      <w:highlight w:val="none"/>
                      <w:lang w:val="en-US" w:eastAsia="zh-CN"/>
                    </w:rPr>
                  </w:pPr>
                  <w:r>
                    <w:rPr>
                      <w:rFonts w:hint="eastAsia"/>
                      <w:bCs/>
                      <w:szCs w:val="21"/>
                      <w:highlight w:val="none"/>
                      <w:lang w:val="en-US" w:eastAsia="zh-CN"/>
                    </w:rPr>
                    <w:t>44</w:t>
                  </w:r>
                </w:p>
              </w:tc>
              <w:tc>
                <w:tcPr>
                  <w:tcW w:w="389" w:type="pct"/>
                  <w:gridSpan w:val="2"/>
                  <w:noWrap w:val="0"/>
                  <w:vAlign w:val="center"/>
                </w:tcPr>
                <w:p w14:paraId="43C749CE">
                  <w:pPr>
                    <w:jc w:val="center"/>
                    <w:rPr>
                      <w:rFonts w:hint="default"/>
                      <w:bCs/>
                      <w:szCs w:val="21"/>
                      <w:highlight w:val="none"/>
                      <w:lang w:val="en-US" w:eastAsia="zh-CN"/>
                    </w:rPr>
                  </w:pPr>
                  <w:r>
                    <w:rPr>
                      <w:rFonts w:hint="eastAsia"/>
                      <w:bCs/>
                      <w:szCs w:val="21"/>
                      <w:highlight w:val="none"/>
                      <w:lang w:val="en-US" w:eastAsia="zh-CN"/>
                    </w:rPr>
                    <w:t>105</w:t>
                  </w:r>
                </w:p>
              </w:tc>
              <w:tc>
                <w:tcPr>
                  <w:tcW w:w="390" w:type="pct"/>
                  <w:gridSpan w:val="2"/>
                  <w:noWrap w:val="0"/>
                  <w:vAlign w:val="center"/>
                </w:tcPr>
                <w:p w14:paraId="3ED61A11">
                  <w:pPr>
                    <w:jc w:val="center"/>
                    <w:rPr>
                      <w:rFonts w:hint="default"/>
                      <w:bCs/>
                      <w:szCs w:val="21"/>
                      <w:highlight w:val="none"/>
                      <w:lang w:val="en-US" w:eastAsia="zh-CN"/>
                    </w:rPr>
                  </w:pPr>
                  <w:r>
                    <w:rPr>
                      <w:rFonts w:hint="eastAsia"/>
                      <w:bCs/>
                      <w:szCs w:val="21"/>
                      <w:highlight w:val="none"/>
                      <w:lang w:val="en-US" w:eastAsia="zh-CN"/>
                    </w:rPr>
                    <w:t>1</w:t>
                  </w:r>
                </w:p>
              </w:tc>
              <w:tc>
                <w:tcPr>
                  <w:tcW w:w="1230" w:type="pct"/>
                  <w:noWrap w:val="0"/>
                  <w:vAlign w:val="center"/>
                </w:tcPr>
                <w:p w14:paraId="16BC6BD8">
                  <w:pPr>
                    <w:jc w:val="center"/>
                    <w:rPr>
                      <w:rFonts w:hint="eastAsia"/>
                      <w:szCs w:val="21"/>
                      <w:lang w:val="en-US" w:eastAsia="zh-CN"/>
                    </w:rPr>
                  </w:pPr>
                  <w:r>
                    <w:rPr>
                      <w:rFonts w:cs="Times New Roman"/>
                      <w:color w:val="000000"/>
                    </w:rPr>
                    <w:t>基础减振</w:t>
                  </w:r>
                </w:p>
              </w:tc>
              <w:tc>
                <w:tcPr>
                  <w:tcW w:w="647" w:type="pct"/>
                  <w:noWrap w:val="0"/>
                  <w:vAlign w:val="center"/>
                </w:tcPr>
                <w:p w14:paraId="22507E69">
                  <w:pPr>
                    <w:jc w:val="center"/>
                    <w:rPr>
                      <w:rFonts w:hint="default"/>
                      <w:szCs w:val="21"/>
                      <w:lang w:val="en-US" w:eastAsia="zh-CN"/>
                    </w:rPr>
                  </w:pPr>
                  <w:r>
                    <w:rPr>
                      <w:rFonts w:hint="eastAsia"/>
                      <w:szCs w:val="21"/>
                      <w:lang w:val="en-US" w:eastAsia="zh-CN"/>
                    </w:rPr>
                    <w:t>24</w:t>
                  </w:r>
                </w:p>
              </w:tc>
            </w:tr>
            <w:tr w14:paraId="61D6D4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4" w:hRule="atLeast"/>
              </w:trPr>
              <w:tc>
                <w:tcPr>
                  <w:tcW w:w="567" w:type="pct"/>
                  <w:noWrap w:val="0"/>
                  <w:vAlign w:val="center"/>
                </w:tcPr>
                <w:p w14:paraId="4BA8ECAF">
                  <w:pPr>
                    <w:jc w:val="center"/>
                    <w:rPr>
                      <w:rFonts w:hint="default"/>
                      <w:szCs w:val="21"/>
                      <w:lang w:val="en-US" w:eastAsia="zh-CN"/>
                    </w:rPr>
                  </w:pPr>
                  <w:r>
                    <w:rPr>
                      <w:rFonts w:hint="eastAsia"/>
                      <w:szCs w:val="21"/>
                      <w:lang w:val="en-US" w:eastAsia="zh-CN"/>
                    </w:rPr>
                    <w:t>机械抽排风系统</w:t>
                  </w:r>
                </w:p>
              </w:tc>
              <w:tc>
                <w:tcPr>
                  <w:tcW w:w="714" w:type="pct"/>
                  <w:noWrap w:val="0"/>
                  <w:vAlign w:val="center"/>
                </w:tcPr>
                <w:p w14:paraId="39613359">
                  <w:pPr>
                    <w:jc w:val="center"/>
                    <w:rPr>
                      <w:rFonts w:hint="default"/>
                      <w:szCs w:val="21"/>
                      <w:lang w:val="en-US" w:eastAsia="zh-CN"/>
                    </w:rPr>
                  </w:pPr>
                  <w:r>
                    <w:rPr>
                      <w:rFonts w:hint="eastAsia"/>
                      <w:szCs w:val="21"/>
                      <w:lang w:val="en-US" w:eastAsia="zh-CN"/>
                    </w:rPr>
                    <w:t>80</w:t>
                  </w:r>
                </w:p>
              </w:tc>
              <w:tc>
                <w:tcPr>
                  <w:tcW w:w="671" w:type="pct"/>
                  <w:noWrap w:val="0"/>
                  <w:vAlign w:val="center"/>
                </w:tcPr>
                <w:p w14:paraId="1F5EA66F">
                  <w:pPr>
                    <w:jc w:val="center"/>
                    <w:rPr>
                      <w:rFonts w:hint="default"/>
                      <w:szCs w:val="21"/>
                      <w:lang w:val="en-US" w:eastAsia="zh-CN"/>
                    </w:rPr>
                  </w:pPr>
                  <w:r>
                    <w:rPr>
                      <w:rFonts w:hint="eastAsia"/>
                      <w:szCs w:val="21"/>
                      <w:lang w:val="en-US" w:eastAsia="zh-CN"/>
                    </w:rPr>
                    <w:t>2</w:t>
                  </w:r>
                </w:p>
              </w:tc>
              <w:tc>
                <w:tcPr>
                  <w:tcW w:w="389" w:type="pct"/>
                  <w:noWrap w:val="0"/>
                  <w:vAlign w:val="center"/>
                </w:tcPr>
                <w:p w14:paraId="29984993">
                  <w:pPr>
                    <w:jc w:val="center"/>
                    <w:rPr>
                      <w:rFonts w:hint="default"/>
                      <w:bCs/>
                      <w:szCs w:val="21"/>
                      <w:highlight w:val="none"/>
                      <w:lang w:val="en-US" w:eastAsia="zh-CN"/>
                    </w:rPr>
                  </w:pPr>
                  <w:r>
                    <w:rPr>
                      <w:rFonts w:hint="eastAsia"/>
                      <w:bCs/>
                      <w:szCs w:val="21"/>
                      <w:highlight w:val="none"/>
                      <w:lang w:val="en-US" w:eastAsia="zh-CN"/>
                    </w:rPr>
                    <w:t>62</w:t>
                  </w:r>
                </w:p>
              </w:tc>
              <w:tc>
                <w:tcPr>
                  <w:tcW w:w="389" w:type="pct"/>
                  <w:gridSpan w:val="2"/>
                  <w:noWrap w:val="0"/>
                  <w:vAlign w:val="center"/>
                </w:tcPr>
                <w:p w14:paraId="3582F780">
                  <w:pPr>
                    <w:jc w:val="center"/>
                    <w:rPr>
                      <w:rFonts w:hint="default"/>
                      <w:bCs/>
                      <w:szCs w:val="21"/>
                      <w:highlight w:val="none"/>
                      <w:lang w:val="en-US" w:eastAsia="zh-CN"/>
                    </w:rPr>
                  </w:pPr>
                  <w:r>
                    <w:rPr>
                      <w:rFonts w:hint="eastAsia"/>
                      <w:bCs/>
                      <w:szCs w:val="21"/>
                      <w:highlight w:val="none"/>
                      <w:lang w:val="en-US" w:eastAsia="zh-CN"/>
                    </w:rPr>
                    <w:t>31</w:t>
                  </w:r>
                </w:p>
              </w:tc>
              <w:tc>
                <w:tcPr>
                  <w:tcW w:w="390" w:type="pct"/>
                  <w:gridSpan w:val="2"/>
                  <w:noWrap w:val="0"/>
                  <w:vAlign w:val="center"/>
                </w:tcPr>
                <w:p w14:paraId="00BD22B7">
                  <w:pPr>
                    <w:jc w:val="center"/>
                    <w:rPr>
                      <w:rFonts w:hint="default"/>
                      <w:bCs/>
                      <w:szCs w:val="21"/>
                      <w:highlight w:val="none"/>
                      <w:lang w:val="en-US" w:eastAsia="zh-CN"/>
                    </w:rPr>
                  </w:pPr>
                  <w:r>
                    <w:rPr>
                      <w:rFonts w:hint="eastAsia"/>
                      <w:bCs/>
                      <w:szCs w:val="21"/>
                      <w:highlight w:val="none"/>
                      <w:lang w:val="en-US" w:eastAsia="zh-CN"/>
                    </w:rPr>
                    <w:t>6</w:t>
                  </w:r>
                </w:p>
              </w:tc>
              <w:tc>
                <w:tcPr>
                  <w:tcW w:w="1230" w:type="pct"/>
                  <w:noWrap w:val="0"/>
                  <w:vAlign w:val="center"/>
                </w:tcPr>
                <w:p w14:paraId="0D523434">
                  <w:pPr>
                    <w:jc w:val="center"/>
                    <w:rPr>
                      <w:rFonts w:cs="Times New Roman"/>
                      <w:color w:val="000000"/>
                    </w:rPr>
                  </w:pPr>
                  <w:r>
                    <w:rPr>
                      <w:rFonts w:cs="Times New Roman"/>
                      <w:color w:val="000000"/>
                    </w:rPr>
                    <w:t>基础减振</w:t>
                  </w:r>
                </w:p>
              </w:tc>
              <w:tc>
                <w:tcPr>
                  <w:tcW w:w="647" w:type="pct"/>
                  <w:noWrap w:val="0"/>
                  <w:vAlign w:val="center"/>
                </w:tcPr>
                <w:p w14:paraId="762573E6">
                  <w:pPr>
                    <w:jc w:val="center"/>
                    <w:rPr>
                      <w:rFonts w:hint="default"/>
                      <w:szCs w:val="21"/>
                      <w:lang w:val="en-US" w:eastAsia="zh-CN"/>
                    </w:rPr>
                  </w:pPr>
                  <w:r>
                    <w:rPr>
                      <w:rFonts w:hint="eastAsia"/>
                      <w:szCs w:val="21"/>
                      <w:lang w:val="en-US" w:eastAsia="zh-CN"/>
                    </w:rPr>
                    <w:t>24</w:t>
                  </w:r>
                </w:p>
              </w:tc>
            </w:tr>
            <w:tr w14:paraId="75D40D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4" w:hRule="atLeast"/>
              </w:trPr>
              <w:tc>
                <w:tcPr>
                  <w:tcW w:w="567" w:type="pct"/>
                  <w:noWrap w:val="0"/>
                  <w:vAlign w:val="center"/>
                </w:tcPr>
                <w:p w14:paraId="1B0BCCFC">
                  <w:pPr>
                    <w:jc w:val="center"/>
                    <w:rPr>
                      <w:rFonts w:hint="eastAsia"/>
                      <w:szCs w:val="21"/>
                      <w:lang w:val="en-US" w:eastAsia="zh-CN"/>
                    </w:rPr>
                  </w:pPr>
                  <w:r>
                    <w:rPr>
                      <w:rFonts w:hint="eastAsia"/>
                      <w:szCs w:val="21"/>
                      <w:lang w:val="en-US" w:eastAsia="zh-CN"/>
                    </w:rPr>
                    <w:t>机械抽排风系统</w:t>
                  </w:r>
                </w:p>
              </w:tc>
              <w:tc>
                <w:tcPr>
                  <w:tcW w:w="714" w:type="pct"/>
                  <w:noWrap w:val="0"/>
                  <w:vAlign w:val="center"/>
                </w:tcPr>
                <w:p w14:paraId="146C362F">
                  <w:pPr>
                    <w:jc w:val="center"/>
                    <w:rPr>
                      <w:rFonts w:hint="default"/>
                      <w:szCs w:val="21"/>
                      <w:lang w:val="en-US" w:eastAsia="zh-CN"/>
                    </w:rPr>
                  </w:pPr>
                  <w:r>
                    <w:rPr>
                      <w:rFonts w:hint="eastAsia"/>
                      <w:szCs w:val="21"/>
                      <w:lang w:val="en-US" w:eastAsia="zh-CN"/>
                    </w:rPr>
                    <w:t>80</w:t>
                  </w:r>
                </w:p>
              </w:tc>
              <w:tc>
                <w:tcPr>
                  <w:tcW w:w="671" w:type="pct"/>
                  <w:noWrap w:val="0"/>
                  <w:vAlign w:val="center"/>
                </w:tcPr>
                <w:p w14:paraId="49F08AC5">
                  <w:pPr>
                    <w:jc w:val="center"/>
                    <w:rPr>
                      <w:rFonts w:hint="default"/>
                      <w:szCs w:val="21"/>
                      <w:lang w:val="en-US" w:eastAsia="zh-CN"/>
                    </w:rPr>
                  </w:pPr>
                  <w:r>
                    <w:rPr>
                      <w:rFonts w:hint="eastAsia"/>
                      <w:szCs w:val="21"/>
                      <w:lang w:val="en-US" w:eastAsia="zh-CN"/>
                    </w:rPr>
                    <w:t>1</w:t>
                  </w:r>
                </w:p>
              </w:tc>
              <w:tc>
                <w:tcPr>
                  <w:tcW w:w="389" w:type="pct"/>
                  <w:noWrap w:val="0"/>
                  <w:vAlign w:val="center"/>
                </w:tcPr>
                <w:p w14:paraId="3A45D34A">
                  <w:pPr>
                    <w:jc w:val="center"/>
                    <w:rPr>
                      <w:rFonts w:hint="default"/>
                      <w:bCs/>
                      <w:szCs w:val="21"/>
                      <w:highlight w:val="none"/>
                      <w:lang w:val="en-US" w:eastAsia="zh-CN"/>
                    </w:rPr>
                  </w:pPr>
                  <w:r>
                    <w:rPr>
                      <w:rFonts w:hint="eastAsia"/>
                      <w:bCs/>
                      <w:szCs w:val="21"/>
                      <w:highlight w:val="none"/>
                      <w:lang w:val="en-US" w:eastAsia="zh-CN"/>
                    </w:rPr>
                    <w:t>65</w:t>
                  </w:r>
                </w:p>
              </w:tc>
              <w:tc>
                <w:tcPr>
                  <w:tcW w:w="389" w:type="pct"/>
                  <w:gridSpan w:val="2"/>
                  <w:noWrap w:val="0"/>
                  <w:vAlign w:val="center"/>
                </w:tcPr>
                <w:p w14:paraId="34B97C7C">
                  <w:pPr>
                    <w:jc w:val="center"/>
                    <w:rPr>
                      <w:rFonts w:hint="default"/>
                      <w:bCs/>
                      <w:szCs w:val="21"/>
                      <w:highlight w:val="none"/>
                      <w:lang w:val="en-US" w:eastAsia="zh-CN"/>
                    </w:rPr>
                  </w:pPr>
                  <w:r>
                    <w:rPr>
                      <w:rFonts w:hint="eastAsia"/>
                      <w:bCs/>
                      <w:szCs w:val="21"/>
                      <w:highlight w:val="none"/>
                      <w:lang w:val="en-US" w:eastAsia="zh-CN"/>
                    </w:rPr>
                    <w:t>73</w:t>
                  </w:r>
                </w:p>
              </w:tc>
              <w:tc>
                <w:tcPr>
                  <w:tcW w:w="390" w:type="pct"/>
                  <w:gridSpan w:val="2"/>
                  <w:noWrap w:val="0"/>
                  <w:vAlign w:val="center"/>
                </w:tcPr>
                <w:p w14:paraId="5822AE42">
                  <w:pPr>
                    <w:jc w:val="center"/>
                    <w:rPr>
                      <w:rFonts w:hint="default"/>
                      <w:bCs/>
                      <w:szCs w:val="21"/>
                      <w:highlight w:val="none"/>
                      <w:lang w:val="en-US" w:eastAsia="zh-CN"/>
                    </w:rPr>
                  </w:pPr>
                  <w:r>
                    <w:rPr>
                      <w:rFonts w:hint="eastAsia"/>
                      <w:bCs/>
                      <w:szCs w:val="21"/>
                      <w:highlight w:val="none"/>
                      <w:lang w:val="en-US" w:eastAsia="zh-CN"/>
                    </w:rPr>
                    <w:t>12</w:t>
                  </w:r>
                </w:p>
              </w:tc>
              <w:tc>
                <w:tcPr>
                  <w:tcW w:w="1230" w:type="pct"/>
                  <w:noWrap w:val="0"/>
                  <w:vAlign w:val="center"/>
                </w:tcPr>
                <w:p w14:paraId="11B6A1F8">
                  <w:pPr>
                    <w:jc w:val="center"/>
                    <w:rPr>
                      <w:rFonts w:cs="Times New Roman"/>
                      <w:color w:val="000000"/>
                    </w:rPr>
                  </w:pPr>
                  <w:r>
                    <w:rPr>
                      <w:rFonts w:cs="Times New Roman"/>
                      <w:color w:val="000000"/>
                    </w:rPr>
                    <w:t>基础减振</w:t>
                  </w:r>
                </w:p>
              </w:tc>
              <w:tc>
                <w:tcPr>
                  <w:tcW w:w="647" w:type="pct"/>
                  <w:noWrap w:val="0"/>
                  <w:vAlign w:val="center"/>
                </w:tcPr>
                <w:p w14:paraId="6A6C3B97">
                  <w:pPr>
                    <w:jc w:val="center"/>
                    <w:rPr>
                      <w:rFonts w:hint="default"/>
                      <w:szCs w:val="21"/>
                      <w:lang w:val="en-US" w:eastAsia="zh-CN"/>
                    </w:rPr>
                  </w:pPr>
                  <w:r>
                    <w:rPr>
                      <w:rFonts w:hint="eastAsia"/>
                      <w:szCs w:val="21"/>
                      <w:lang w:val="en-US" w:eastAsia="zh-CN"/>
                    </w:rPr>
                    <w:t>24</w:t>
                  </w:r>
                </w:p>
              </w:tc>
            </w:tr>
          </w:tbl>
          <w:p w14:paraId="21397C3C">
            <w:pPr>
              <w:spacing w:line="360" w:lineRule="auto"/>
              <w:ind w:firstLine="480" w:firstLineChars="200"/>
              <w:rPr>
                <w:rFonts w:hint="eastAsia" w:eastAsia="宋体"/>
                <w:sz w:val="24"/>
                <w:highlight w:val="none"/>
                <w:lang w:eastAsia="zh-CN"/>
              </w:rPr>
            </w:pPr>
            <w:r>
              <w:rPr>
                <w:rFonts w:hint="eastAsia"/>
                <w:sz w:val="24"/>
                <w:highlight w:val="none"/>
                <w:lang w:eastAsia="zh-CN"/>
              </w:rPr>
              <w:t>注：以医院西南角为原点。东向为X轴正方向，北向为Y轴正方向。</w:t>
            </w:r>
          </w:p>
          <w:p w14:paraId="246560C2">
            <w:pPr>
              <w:spacing w:line="360" w:lineRule="auto"/>
              <w:ind w:firstLine="482" w:firstLineChars="200"/>
              <w:rPr>
                <w:rFonts w:hint="eastAsia"/>
                <w:b/>
                <w:bCs/>
                <w:sz w:val="24"/>
              </w:rPr>
            </w:pPr>
            <w:r>
              <w:rPr>
                <w:rFonts w:hint="eastAsia"/>
                <w:b/>
                <w:bCs/>
                <w:sz w:val="24"/>
              </w:rPr>
              <w:t>3.2降噪措施</w:t>
            </w:r>
          </w:p>
          <w:p w14:paraId="3114477F">
            <w:pPr>
              <w:pStyle w:val="20"/>
              <w:ind w:firstLine="480"/>
              <w:rPr>
                <w:rFonts w:ascii="Times New Roman" w:hAnsi="Times New Roman"/>
              </w:rPr>
            </w:pPr>
            <w:r>
              <w:rPr>
                <w:rFonts w:ascii="Times New Roman" w:hAnsi="Times New Roman"/>
              </w:rPr>
              <w:t>为确保项目运营期噪声不对周边环境造成影响，本次环评要求建设单位：</w:t>
            </w:r>
          </w:p>
          <w:p w14:paraId="0B7EC7B9">
            <w:pPr>
              <w:pStyle w:val="20"/>
              <w:ind w:firstLine="480"/>
              <w:rPr>
                <w:rFonts w:ascii="Times New Roman" w:hAnsi="Times New Roman"/>
              </w:rPr>
            </w:pPr>
            <w:r>
              <w:rPr>
                <w:rFonts w:hint="eastAsia" w:cs="宋体"/>
              </w:rPr>
              <w:t>①</w:t>
            </w:r>
            <w:r>
              <w:rPr>
                <w:rFonts w:ascii="Times New Roman" w:hAnsi="Times New Roman"/>
              </w:rPr>
              <w:t>从声源上控制，加工设备选择低噪声和符合国家噪声标准的设备。生产设备均采用性能好、噪声发生源强小和生产效率高的设备。</w:t>
            </w:r>
          </w:p>
          <w:p w14:paraId="3E8CBF50">
            <w:pPr>
              <w:pStyle w:val="20"/>
              <w:ind w:firstLine="480"/>
              <w:rPr>
                <w:rFonts w:ascii="Times New Roman" w:hAnsi="Times New Roman"/>
              </w:rPr>
            </w:pPr>
            <w:r>
              <w:rPr>
                <w:rFonts w:hint="eastAsia" w:cs="宋体"/>
              </w:rPr>
              <w:t>②</w:t>
            </w:r>
            <w:r>
              <w:rPr>
                <w:rFonts w:ascii="Times New Roman" w:hAnsi="Times New Roman"/>
              </w:rPr>
              <w:t>污水处理站为地埋式，水泵设置于地下。</w:t>
            </w:r>
          </w:p>
          <w:p w14:paraId="1AF41B80">
            <w:pPr>
              <w:pStyle w:val="20"/>
              <w:ind w:firstLine="480"/>
              <w:rPr>
                <w:rFonts w:ascii="Times New Roman" w:hAnsi="Times New Roman"/>
              </w:rPr>
            </w:pPr>
            <w:r>
              <w:rPr>
                <w:rFonts w:hint="eastAsia" w:cs="宋体"/>
              </w:rPr>
              <w:t>③</w:t>
            </w:r>
            <w:r>
              <w:rPr>
                <w:rFonts w:ascii="Times New Roman" w:hAnsi="Times New Roman"/>
              </w:rPr>
              <w:t>加强日常生产管理，平时加强对各噪声设备的保养、检修，保证设备良好运转，减轻运行噪声强度。</w:t>
            </w:r>
          </w:p>
          <w:p w14:paraId="351F7676">
            <w:pPr>
              <w:pStyle w:val="19"/>
              <w:spacing w:line="360" w:lineRule="auto"/>
              <w:rPr>
                <w:rFonts w:hint="eastAsia" w:ascii="Times New Roman"/>
                <w:b/>
                <w:bCs/>
                <w:sz w:val="24"/>
                <w:szCs w:val="24"/>
              </w:rPr>
            </w:pPr>
            <w:r>
              <w:rPr>
                <w:rFonts w:hint="eastAsia" w:ascii="Times New Roman"/>
                <w:b/>
                <w:bCs/>
                <w:sz w:val="24"/>
                <w:szCs w:val="24"/>
              </w:rPr>
              <w:t>3.3</w:t>
            </w:r>
            <w:r>
              <w:rPr>
                <w:rFonts w:hint="eastAsia"/>
                <w:b/>
                <w:bCs/>
                <w:sz w:val="24"/>
              </w:rPr>
              <w:t>噪声达标分析</w:t>
            </w:r>
          </w:p>
          <w:p w14:paraId="41454B4B">
            <w:pPr>
              <w:spacing w:line="360" w:lineRule="auto"/>
              <w:ind w:firstLine="480" w:firstLineChars="200"/>
              <w:rPr>
                <w:rFonts w:hint="eastAsia"/>
                <w:sz w:val="24"/>
              </w:rPr>
            </w:pPr>
            <w:r>
              <w:rPr>
                <w:rFonts w:hint="eastAsia"/>
                <w:sz w:val="24"/>
              </w:rPr>
              <w:t>本次环境噪声影响预测参照《环境影响评价技术导则 声环境》（HJ2.4-2021）中推荐的噪声预测模式，对项目运行后的厂界噪声变化情况和声环境保护目标影响情况进行分析。</w:t>
            </w:r>
          </w:p>
          <w:p w14:paraId="777E6866">
            <w:pPr>
              <w:spacing w:line="360" w:lineRule="auto"/>
              <w:ind w:firstLine="480" w:firstLineChars="200"/>
              <w:rPr>
                <w:rFonts w:hint="eastAsia"/>
                <w:sz w:val="24"/>
              </w:rPr>
            </w:pPr>
            <w:r>
              <w:rPr>
                <w:rFonts w:hint="eastAsia"/>
                <w:sz w:val="24"/>
              </w:rPr>
              <w:t>确定各噪声源位置，并测量各噪声源到预测点的距离，将室外各噪声源视为半 自由状态噪声源，按声能量在空气传播中衰减模式可计算出某噪声源在预测点的声压级，预测模式如下：</w:t>
            </w:r>
          </w:p>
          <w:p w14:paraId="21AB1AE4">
            <w:pPr>
              <w:spacing w:line="360" w:lineRule="auto"/>
              <w:ind w:firstLine="480" w:firstLineChars="200"/>
              <w:rPr>
                <w:rFonts w:hint="eastAsia"/>
                <w:sz w:val="24"/>
              </w:rPr>
            </w:pPr>
            <w:r>
              <w:rPr>
                <w:rFonts w:hint="eastAsia"/>
                <w:sz w:val="24"/>
              </w:rPr>
              <w:t>（1）室外噪声源</w:t>
            </w:r>
          </w:p>
          <w:p w14:paraId="426BCB9C">
            <w:pPr>
              <w:spacing w:line="360" w:lineRule="auto"/>
              <w:ind w:firstLine="480" w:firstLineChars="200"/>
              <w:rPr>
                <w:rFonts w:hint="eastAsia"/>
                <w:sz w:val="24"/>
              </w:rPr>
            </w:pPr>
            <w:r>
              <w:rPr>
                <w:rFonts w:hint="eastAsia"/>
                <w:sz w:val="24"/>
              </w:rPr>
              <w:t>无指向性点声源几何发散衰减的基本公式为：</w:t>
            </w:r>
          </w:p>
          <w:p w14:paraId="4DF73807">
            <w:pPr>
              <w:spacing w:line="360" w:lineRule="auto"/>
              <w:ind w:firstLine="420" w:firstLineChars="200"/>
              <w:jc w:val="center"/>
              <w:rPr>
                <w:rFonts w:hint="eastAsia"/>
                <w:sz w:val="24"/>
              </w:rPr>
            </w:pPr>
            <w:r>
              <w:rPr>
                <w:rFonts w:ascii="Times New Roman" w:hAnsi="Times New Roman" w:cs="Times New Roman"/>
                <w:color w:val="auto"/>
              </w:rPr>
              <w:drawing>
                <wp:inline distT="0" distB="0" distL="114300" distR="114300">
                  <wp:extent cx="1799590" cy="372745"/>
                  <wp:effectExtent l="0" t="0" r="10160" b="8255"/>
                  <wp:docPr id="63"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32"/>
                          <pic:cNvPicPr>
                            <a:picLocks noChangeAspect="1"/>
                          </pic:cNvPicPr>
                        </pic:nvPicPr>
                        <pic:blipFill>
                          <a:blip r:embed="rId17"/>
                          <a:stretch>
                            <a:fillRect/>
                          </a:stretch>
                        </pic:blipFill>
                        <pic:spPr>
                          <a:xfrm>
                            <a:off x="0" y="0"/>
                            <a:ext cx="1799590" cy="372745"/>
                          </a:xfrm>
                          <a:prstGeom prst="rect">
                            <a:avLst/>
                          </a:prstGeom>
                          <a:noFill/>
                          <a:ln>
                            <a:noFill/>
                          </a:ln>
                        </pic:spPr>
                      </pic:pic>
                    </a:graphicData>
                  </a:graphic>
                </wp:inline>
              </w:drawing>
            </w:r>
          </w:p>
          <w:p w14:paraId="0EAD11AA">
            <w:pPr>
              <w:spacing w:line="360" w:lineRule="auto"/>
              <w:ind w:firstLine="480" w:firstLineChars="200"/>
              <w:rPr>
                <w:rFonts w:hint="eastAsia"/>
                <w:sz w:val="24"/>
              </w:rPr>
            </w:pPr>
            <w:r>
              <w:rPr>
                <w:rFonts w:hint="eastAsia"/>
                <w:sz w:val="24"/>
              </w:rPr>
              <w:t>式中：Lp (r)——预测点处声压级，dB；</w:t>
            </w:r>
          </w:p>
          <w:p w14:paraId="2A782A4C">
            <w:pPr>
              <w:spacing w:line="360" w:lineRule="auto"/>
              <w:ind w:firstLine="480" w:firstLineChars="200"/>
              <w:rPr>
                <w:rFonts w:hint="eastAsia"/>
                <w:sz w:val="24"/>
              </w:rPr>
            </w:pPr>
            <w:r>
              <w:rPr>
                <w:rFonts w:hint="eastAsia"/>
                <w:sz w:val="24"/>
              </w:rPr>
              <w:t>Lp (r0)——参考位置r0 处的声压级，dB；</w:t>
            </w:r>
          </w:p>
          <w:p w14:paraId="444F73DE">
            <w:pPr>
              <w:spacing w:line="360" w:lineRule="auto"/>
              <w:ind w:firstLine="480" w:firstLineChars="200"/>
              <w:rPr>
                <w:rFonts w:hint="eastAsia"/>
                <w:sz w:val="24"/>
              </w:rPr>
            </w:pPr>
            <w:r>
              <w:rPr>
                <w:rFonts w:hint="eastAsia"/>
                <w:sz w:val="24"/>
              </w:rPr>
              <w:t>r ——预测点距声源的距离；</w:t>
            </w:r>
          </w:p>
          <w:p w14:paraId="1E8C7B49">
            <w:pPr>
              <w:spacing w:line="360" w:lineRule="auto"/>
              <w:ind w:firstLine="480" w:firstLineChars="200"/>
              <w:rPr>
                <w:rFonts w:hint="eastAsia"/>
                <w:sz w:val="24"/>
              </w:rPr>
            </w:pPr>
            <w:r>
              <w:rPr>
                <w:rFonts w:hint="eastAsia"/>
                <w:sz w:val="24"/>
              </w:rPr>
              <w:t>r0 ——参考位置距声源的距离。</w:t>
            </w:r>
          </w:p>
          <w:p w14:paraId="057B67FD">
            <w:pPr>
              <w:spacing w:line="360" w:lineRule="auto"/>
              <w:ind w:firstLine="480" w:firstLineChars="200"/>
              <w:rPr>
                <w:rFonts w:hint="eastAsia"/>
                <w:sz w:val="24"/>
              </w:rPr>
            </w:pPr>
            <w:r>
              <w:rPr>
                <w:rFonts w:hint="eastAsia"/>
                <w:sz w:val="24"/>
              </w:rPr>
              <w:t>（2）室内噪声源</w:t>
            </w:r>
          </w:p>
          <w:p w14:paraId="4FBC748A">
            <w:pPr>
              <w:spacing w:line="360" w:lineRule="auto"/>
              <w:ind w:firstLine="480" w:firstLineChars="200"/>
              <w:rPr>
                <w:rFonts w:hint="eastAsia"/>
                <w:sz w:val="24"/>
              </w:rPr>
            </w:pPr>
            <w:r>
              <w:rPr>
                <w:rFonts w:hint="eastAsia"/>
                <w:sz w:val="24"/>
              </w:rPr>
              <w:t>采取室内声源等效室外声源声功率级计算方法。</w:t>
            </w:r>
          </w:p>
          <w:p w14:paraId="4216CAB8">
            <w:pPr>
              <w:spacing w:line="360" w:lineRule="auto"/>
              <w:ind w:firstLine="420" w:firstLineChars="200"/>
              <w:jc w:val="center"/>
              <w:rPr>
                <w:rFonts w:hint="eastAsia"/>
                <w:sz w:val="24"/>
              </w:rPr>
            </w:pPr>
            <w:r>
              <w:rPr>
                <w:rFonts w:ascii="Times New Roman" w:hAnsi="Times New Roman" w:cs="Times New Roman"/>
                <w:color w:val="auto"/>
                <w:position w:val="-37"/>
              </w:rPr>
              <w:drawing>
                <wp:inline distT="0" distB="0" distL="114300" distR="114300">
                  <wp:extent cx="2408555" cy="1424305"/>
                  <wp:effectExtent l="0" t="0" r="10795" b="4445"/>
                  <wp:docPr id="64" name="图片 33"/>
                  <wp:cNvGraphicFramePr/>
                  <a:graphic xmlns:a="http://schemas.openxmlformats.org/drawingml/2006/main">
                    <a:graphicData uri="http://schemas.openxmlformats.org/drawingml/2006/picture">
                      <pic:pic xmlns:pic="http://schemas.openxmlformats.org/drawingml/2006/picture">
                        <pic:nvPicPr>
                          <pic:cNvPr id="64" name="图片 33"/>
                          <pic:cNvPicPr/>
                        </pic:nvPicPr>
                        <pic:blipFill>
                          <a:blip r:embed="rId18"/>
                          <a:stretch>
                            <a:fillRect/>
                          </a:stretch>
                        </pic:blipFill>
                        <pic:spPr>
                          <a:xfrm>
                            <a:off x="0" y="0"/>
                            <a:ext cx="2408555" cy="1424305"/>
                          </a:xfrm>
                          <a:prstGeom prst="rect">
                            <a:avLst/>
                          </a:prstGeom>
                          <a:noFill/>
                          <a:ln>
                            <a:noFill/>
                          </a:ln>
                        </pic:spPr>
                      </pic:pic>
                    </a:graphicData>
                  </a:graphic>
                </wp:inline>
              </w:drawing>
            </w:r>
          </w:p>
          <w:p w14:paraId="3DC33BDF">
            <w:pPr>
              <w:spacing w:line="360" w:lineRule="auto"/>
              <w:ind w:firstLine="480" w:firstLineChars="200"/>
              <w:jc w:val="center"/>
              <w:rPr>
                <w:rFonts w:hint="eastAsia"/>
                <w:sz w:val="24"/>
              </w:rPr>
            </w:pPr>
            <w:r>
              <w:rPr>
                <w:rFonts w:hint="eastAsia"/>
                <w:sz w:val="24"/>
              </w:rPr>
              <w:t>图 4-</w:t>
            </w:r>
            <w:r>
              <w:rPr>
                <w:rFonts w:hint="eastAsia"/>
                <w:sz w:val="24"/>
                <w:lang w:val="en-US" w:eastAsia="zh-CN"/>
              </w:rPr>
              <w:t>3</w:t>
            </w:r>
            <w:r>
              <w:rPr>
                <w:rFonts w:hint="eastAsia"/>
                <w:sz w:val="24"/>
              </w:rPr>
              <w:t xml:space="preserve"> 室内声源等效为室外声源图例</w:t>
            </w:r>
          </w:p>
          <w:p w14:paraId="18DA788A">
            <w:pPr>
              <w:spacing w:line="360" w:lineRule="auto"/>
              <w:ind w:firstLine="480" w:firstLineChars="200"/>
              <w:rPr>
                <w:rFonts w:hint="eastAsia"/>
                <w:sz w:val="24"/>
              </w:rPr>
            </w:pPr>
            <w:r>
              <w:rPr>
                <w:rFonts w:hint="eastAsia"/>
                <w:sz w:val="24"/>
              </w:rPr>
              <w:t>①首先计算出某个室内靠近围护结构处的声压级：</w:t>
            </w:r>
          </w:p>
          <w:p w14:paraId="2A5340DC">
            <w:pPr>
              <w:spacing w:line="360" w:lineRule="auto"/>
              <w:ind w:firstLine="420" w:firstLineChars="200"/>
              <w:jc w:val="center"/>
              <w:rPr>
                <w:rFonts w:hint="eastAsia"/>
                <w:sz w:val="24"/>
              </w:rPr>
            </w:pPr>
            <w:r>
              <w:rPr>
                <w:rFonts w:ascii="Times New Roman" w:hAnsi="Times New Roman" w:cs="Times New Roman"/>
                <w:color w:val="auto"/>
              </w:rPr>
              <w:drawing>
                <wp:inline distT="0" distB="0" distL="114300" distR="114300">
                  <wp:extent cx="1713865" cy="410845"/>
                  <wp:effectExtent l="0" t="0" r="635" b="8255"/>
                  <wp:docPr id="58"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34"/>
                          <pic:cNvPicPr>
                            <a:picLocks noChangeAspect="1"/>
                          </pic:cNvPicPr>
                        </pic:nvPicPr>
                        <pic:blipFill>
                          <a:blip r:embed="rId19"/>
                          <a:stretch>
                            <a:fillRect/>
                          </a:stretch>
                        </pic:blipFill>
                        <pic:spPr>
                          <a:xfrm>
                            <a:off x="0" y="0"/>
                            <a:ext cx="1713865" cy="410845"/>
                          </a:xfrm>
                          <a:prstGeom prst="rect">
                            <a:avLst/>
                          </a:prstGeom>
                          <a:noFill/>
                          <a:ln>
                            <a:noFill/>
                          </a:ln>
                        </pic:spPr>
                      </pic:pic>
                    </a:graphicData>
                  </a:graphic>
                </wp:inline>
              </w:drawing>
            </w:r>
          </w:p>
          <w:p w14:paraId="72531048">
            <w:pPr>
              <w:spacing w:line="360" w:lineRule="auto"/>
              <w:ind w:firstLine="480" w:firstLineChars="200"/>
              <w:rPr>
                <w:rFonts w:hint="eastAsia"/>
                <w:sz w:val="24"/>
              </w:rPr>
            </w:pPr>
            <w:r>
              <w:rPr>
                <w:rFonts w:hint="eastAsia"/>
                <w:sz w:val="24"/>
              </w:rPr>
              <w:t>式中：Lp1 ——靠近开口处（或窗户）室内某倍频带的声压级或 A 声级，dB；</w:t>
            </w:r>
          </w:p>
          <w:p w14:paraId="71164FE8">
            <w:pPr>
              <w:spacing w:line="360" w:lineRule="auto"/>
              <w:ind w:firstLine="480" w:firstLineChars="200"/>
              <w:rPr>
                <w:rFonts w:hint="eastAsia"/>
                <w:sz w:val="24"/>
              </w:rPr>
            </w:pPr>
            <w:r>
              <w:rPr>
                <w:rFonts w:hint="eastAsia"/>
                <w:sz w:val="24"/>
              </w:rPr>
              <w:t>LW —— 点声源声功率级（A 计权或倍频带），dB；</w:t>
            </w:r>
          </w:p>
          <w:p w14:paraId="7D6AFDBD">
            <w:pPr>
              <w:spacing w:line="360" w:lineRule="auto"/>
              <w:ind w:firstLine="480" w:firstLineChars="200"/>
              <w:rPr>
                <w:rFonts w:hint="default" w:ascii="Times New Roman" w:hAnsi="Times New Roman" w:cs="Times New Roman"/>
                <w:sz w:val="24"/>
              </w:rPr>
            </w:pPr>
            <w:r>
              <w:rPr>
                <w:rFonts w:hint="eastAsia"/>
                <w:sz w:val="24"/>
              </w:rPr>
              <w:t>Q ——指向性因数；通常对无指向性声源，当声源放在房间中心时，Q=1；当放在一面墙的中心时，Q=2；当放在两面墙夹角处时，Q=4；当放在三面墙夹角处时，Q=8；</w:t>
            </w:r>
          </w:p>
          <w:p w14:paraId="527F5210">
            <w:pPr>
              <w:spacing w:line="360" w:lineRule="auto"/>
              <w:ind w:firstLine="480" w:firstLineChars="200"/>
              <w:rPr>
                <w:rFonts w:hint="eastAsia"/>
                <w:sz w:val="24"/>
              </w:rPr>
            </w:pPr>
            <w:r>
              <w:rPr>
                <w:rFonts w:hint="default" w:ascii="Times New Roman" w:hAnsi="Times New Roman" w:cs="Times New Roman"/>
                <w:sz w:val="24"/>
              </w:rPr>
              <w:t>R——房间常数，R= Sα/（1-α</w:t>
            </w:r>
            <w:r>
              <w:rPr>
                <w:rFonts w:hint="eastAsia" w:cs="Times New Roman"/>
                <w:sz w:val="24"/>
                <w:lang w:eastAsia="zh-CN"/>
              </w:rPr>
              <w:t>）</w:t>
            </w:r>
            <w:r>
              <w:rPr>
                <w:rFonts w:hint="default" w:ascii="Times New Roman" w:hAnsi="Times New Roman" w:cs="Times New Roman"/>
                <w:sz w:val="24"/>
                <w:lang w:eastAsia="zh-CN"/>
              </w:rPr>
              <w:t>，</w:t>
            </w:r>
            <w:r>
              <w:rPr>
                <w:rFonts w:hint="default" w:ascii="Times New Roman" w:hAnsi="Times New Roman" w:cs="Times New Roman"/>
                <w:sz w:val="24"/>
              </w:rPr>
              <w:t>S为房间内表面面积，α为平</w:t>
            </w:r>
            <w:r>
              <w:rPr>
                <w:rFonts w:hint="eastAsia"/>
                <w:sz w:val="24"/>
              </w:rPr>
              <w:t>均吸声系数；</w:t>
            </w:r>
          </w:p>
          <w:p w14:paraId="00AD49B9">
            <w:pPr>
              <w:spacing w:line="360" w:lineRule="auto"/>
              <w:ind w:firstLine="480" w:firstLineChars="200"/>
              <w:rPr>
                <w:rFonts w:hint="eastAsia"/>
                <w:sz w:val="24"/>
              </w:rPr>
            </w:pPr>
            <w:r>
              <w:rPr>
                <w:rFonts w:hint="eastAsia"/>
                <w:sz w:val="24"/>
              </w:rPr>
              <w:t>r ——室内某个声源与靠近围护结构处的距离，m。</w:t>
            </w:r>
          </w:p>
          <w:p w14:paraId="35F25EE4">
            <w:pPr>
              <w:spacing w:line="360" w:lineRule="auto"/>
              <w:ind w:firstLine="480" w:firstLineChars="200"/>
              <w:rPr>
                <w:rFonts w:hint="eastAsia"/>
                <w:sz w:val="24"/>
              </w:rPr>
            </w:pPr>
            <w:r>
              <w:rPr>
                <w:rFonts w:hint="eastAsia"/>
                <w:sz w:val="24"/>
              </w:rPr>
              <w:t>②计算出所有室内声源在靠近围护结构处产生的总倍频带声压级：</w:t>
            </w:r>
          </w:p>
          <w:p w14:paraId="3B5E0F6A">
            <w:pPr>
              <w:spacing w:line="360" w:lineRule="auto"/>
              <w:ind w:firstLine="420" w:firstLineChars="200"/>
              <w:jc w:val="center"/>
              <w:rPr>
                <w:rFonts w:hint="eastAsia"/>
                <w:sz w:val="24"/>
              </w:rPr>
            </w:pPr>
            <w:r>
              <w:rPr>
                <w:rFonts w:ascii="Times New Roman" w:hAnsi="Times New Roman" w:cs="Times New Roman"/>
                <w:color w:val="auto"/>
              </w:rPr>
              <w:drawing>
                <wp:inline distT="0" distB="0" distL="114300" distR="114300">
                  <wp:extent cx="1580515" cy="508000"/>
                  <wp:effectExtent l="0" t="0" r="635" b="6350"/>
                  <wp:docPr id="68"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图片 35"/>
                          <pic:cNvPicPr>
                            <a:picLocks noChangeAspect="1"/>
                          </pic:cNvPicPr>
                        </pic:nvPicPr>
                        <pic:blipFill>
                          <a:blip r:embed="rId20"/>
                          <a:stretch>
                            <a:fillRect/>
                          </a:stretch>
                        </pic:blipFill>
                        <pic:spPr>
                          <a:xfrm>
                            <a:off x="0" y="0"/>
                            <a:ext cx="1580515" cy="508000"/>
                          </a:xfrm>
                          <a:prstGeom prst="rect">
                            <a:avLst/>
                          </a:prstGeom>
                          <a:noFill/>
                          <a:ln>
                            <a:noFill/>
                          </a:ln>
                        </pic:spPr>
                      </pic:pic>
                    </a:graphicData>
                  </a:graphic>
                </wp:inline>
              </w:drawing>
            </w:r>
          </w:p>
          <w:p w14:paraId="55FCD3CC">
            <w:pPr>
              <w:spacing w:line="360" w:lineRule="auto"/>
              <w:ind w:firstLine="480" w:firstLineChars="200"/>
              <w:rPr>
                <w:rFonts w:hint="eastAsia"/>
                <w:sz w:val="24"/>
              </w:rPr>
            </w:pPr>
            <w:r>
              <w:rPr>
                <w:rFonts w:hint="eastAsia"/>
                <w:sz w:val="24"/>
              </w:rPr>
              <w:t>式中：Lp1i</w:t>
            </w:r>
            <w:r>
              <w:rPr>
                <w:rFonts w:hint="eastAsia"/>
                <w:sz w:val="24"/>
                <w:lang w:eastAsia="zh-CN"/>
              </w:rPr>
              <w:t>（</w:t>
            </w:r>
            <w:r>
              <w:rPr>
                <w:rFonts w:hint="eastAsia"/>
                <w:sz w:val="24"/>
                <w:lang w:val="en-US" w:eastAsia="zh-CN"/>
              </w:rPr>
              <w:t>T</w:t>
            </w:r>
            <w:r>
              <w:rPr>
                <w:rFonts w:hint="eastAsia"/>
                <w:sz w:val="24"/>
                <w:lang w:eastAsia="zh-CN"/>
              </w:rPr>
              <w:t>）</w:t>
            </w:r>
            <w:r>
              <w:rPr>
                <w:rFonts w:hint="eastAsia"/>
                <w:sz w:val="24"/>
              </w:rPr>
              <w:t xml:space="preserve"> ——靠近围护结构处室内 N 个声源 i 倍频带的叠加声压级，dB；</w:t>
            </w:r>
          </w:p>
          <w:p w14:paraId="56ABF14F">
            <w:pPr>
              <w:spacing w:line="360" w:lineRule="auto"/>
              <w:ind w:firstLine="480" w:firstLineChars="200"/>
              <w:rPr>
                <w:rFonts w:hint="eastAsia"/>
                <w:sz w:val="24"/>
              </w:rPr>
            </w:pPr>
            <w:r>
              <w:rPr>
                <w:rFonts w:hint="eastAsia"/>
                <w:sz w:val="24"/>
              </w:rPr>
              <w:t>Lp1ij ——室内j 声源 i 倍频带的声压级，dB；</w:t>
            </w:r>
          </w:p>
          <w:p w14:paraId="243162D8">
            <w:pPr>
              <w:spacing w:line="360" w:lineRule="auto"/>
              <w:ind w:firstLine="480" w:firstLineChars="200"/>
              <w:rPr>
                <w:rFonts w:hint="eastAsia"/>
                <w:sz w:val="24"/>
              </w:rPr>
            </w:pPr>
            <w:r>
              <w:rPr>
                <w:rFonts w:hint="eastAsia"/>
                <w:sz w:val="24"/>
              </w:rPr>
              <w:t>N——室内声源总数。</w:t>
            </w:r>
          </w:p>
          <w:p w14:paraId="516E146F">
            <w:pPr>
              <w:spacing w:line="360" w:lineRule="auto"/>
              <w:ind w:firstLine="480" w:firstLineChars="200"/>
              <w:rPr>
                <w:rFonts w:hint="eastAsia"/>
                <w:sz w:val="24"/>
              </w:rPr>
            </w:pPr>
            <w:r>
              <w:rPr>
                <w:rFonts w:hint="eastAsia"/>
                <w:sz w:val="24"/>
              </w:rPr>
              <w:t>③计算出室外靠近围护结构处的声压级：</w:t>
            </w:r>
          </w:p>
          <w:p w14:paraId="73DC1C90">
            <w:pPr>
              <w:spacing w:line="360" w:lineRule="auto"/>
              <w:ind w:firstLine="420" w:firstLineChars="200"/>
              <w:jc w:val="center"/>
              <w:rPr>
                <w:rFonts w:hint="eastAsia"/>
                <w:sz w:val="24"/>
              </w:rPr>
            </w:pPr>
            <w:r>
              <w:rPr>
                <w:rFonts w:ascii="Times New Roman" w:hAnsi="Times New Roman" w:cs="Times New Roman"/>
                <w:color w:val="auto"/>
              </w:rPr>
              <w:drawing>
                <wp:inline distT="0" distB="0" distL="114300" distR="114300">
                  <wp:extent cx="1917700" cy="276225"/>
                  <wp:effectExtent l="0" t="0" r="6350" b="9525"/>
                  <wp:docPr id="48"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36"/>
                          <pic:cNvPicPr>
                            <a:picLocks noChangeAspect="1"/>
                          </pic:cNvPicPr>
                        </pic:nvPicPr>
                        <pic:blipFill>
                          <a:blip r:embed="rId21"/>
                          <a:stretch>
                            <a:fillRect/>
                          </a:stretch>
                        </pic:blipFill>
                        <pic:spPr>
                          <a:xfrm>
                            <a:off x="0" y="0"/>
                            <a:ext cx="1917700" cy="276225"/>
                          </a:xfrm>
                          <a:prstGeom prst="rect">
                            <a:avLst/>
                          </a:prstGeom>
                          <a:noFill/>
                          <a:ln>
                            <a:noFill/>
                          </a:ln>
                        </pic:spPr>
                      </pic:pic>
                    </a:graphicData>
                  </a:graphic>
                </wp:inline>
              </w:drawing>
            </w:r>
          </w:p>
          <w:p w14:paraId="5F3DC32D">
            <w:pPr>
              <w:spacing w:line="360" w:lineRule="auto"/>
              <w:ind w:firstLine="480" w:firstLineChars="200"/>
              <w:rPr>
                <w:rFonts w:hint="eastAsia"/>
                <w:sz w:val="24"/>
              </w:rPr>
            </w:pPr>
            <w:r>
              <w:rPr>
                <w:rFonts w:hint="eastAsia"/>
                <w:sz w:val="24"/>
              </w:rPr>
              <w:t>式中：Lp2i</w:t>
            </w:r>
            <w:r>
              <w:rPr>
                <w:rFonts w:hint="eastAsia"/>
                <w:sz w:val="24"/>
                <w:lang w:eastAsia="zh-CN"/>
              </w:rPr>
              <w:t>（</w:t>
            </w:r>
            <w:r>
              <w:rPr>
                <w:rFonts w:hint="eastAsia"/>
                <w:sz w:val="24"/>
                <w:lang w:val="en-US" w:eastAsia="zh-CN"/>
              </w:rPr>
              <w:t>T</w:t>
            </w:r>
            <w:r>
              <w:rPr>
                <w:rFonts w:hint="eastAsia"/>
                <w:sz w:val="24"/>
                <w:lang w:eastAsia="zh-CN"/>
              </w:rPr>
              <w:t>）</w:t>
            </w:r>
            <w:r>
              <w:rPr>
                <w:rFonts w:hint="eastAsia"/>
                <w:sz w:val="24"/>
              </w:rPr>
              <w:t xml:space="preserve">——靠近围护结构处室外 N 个声源 i 倍频带的叠加声压级，dB； </w:t>
            </w:r>
          </w:p>
          <w:p w14:paraId="644D477C">
            <w:pPr>
              <w:spacing w:line="360" w:lineRule="auto"/>
              <w:ind w:firstLine="480" w:firstLineChars="200"/>
              <w:rPr>
                <w:rFonts w:hint="eastAsia"/>
                <w:sz w:val="24"/>
              </w:rPr>
            </w:pPr>
            <w:r>
              <w:rPr>
                <w:rFonts w:hint="eastAsia"/>
                <w:sz w:val="24"/>
              </w:rPr>
              <w:t>Lp1i</w:t>
            </w:r>
            <w:r>
              <w:rPr>
                <w:rFonts w:hint="eastAsia"/>
                <w:sz w:val="24"/>
                <w:lang w:eastAsia="zh-CN"/>
              </w:rPr>
              <w:t>（</w:t>
            </w:r>
            <w:r>
              <w:rPr>
                <w:rFonts w:hint="eastAsia"/>
                <w:sz w:val="24"/>
                <w:lang w:val="en-US" w:eastAsia="zh-CN"/>
              </w:rPr>
              <w:t>T</w:t>
            </w:r>
            <w:r>
              <w:rPr>
                <w:rFonts w:hint="eastAsia"/>
                <w:sz w:val="24"/>
                <w:lang w:eastAsia="zh-CN"/>
              </w:rPr>
              <w:t>）</w:t>
            </w:r>
            <w:r>
              <w:rPr>
                <w:rFonts w:hint="eastAsia"/>
                <w:sz w:val="24"/>
              </w:rPr>
              <w:t xml:space="preserve"> ——靠近围护结构处室内 N 个声源 i 倍频带的叠加声压级，dB；</w:t>
            </w:r>
          </w:p>
          <w:p w14:paraId="33BC18FF">
            <w:pPr>
              <w:spacing w:line="360" w:lineRule="auto"/>
              <w:ind w:firstLine="480" w:firstLineChars="200"/>
              <w:rPr>
                <w:rFonts w:hint="eastAsia"/>
                <w:sz w:val="24"/>
              </w:rPr>
            </w:pPr>
            <w:r>
              <w:rPr>
                <w:rFonts w:hint="eastAsia"/>
                <w:sz w:val="24"/>
              </w:rPr>
              <w:t>TLi —— 围护结构 i 倍频带的隔声量。</w:t>
            </w:r>
          </w:p>
          <w:p w14:paraId="62C179BC">
            <w:pPr>
              <w:spacing w:line="360" w:lineRule="auto"/>
              <w:ind w:firstLine="480" w:firstLineChars="200"/>
              <w:rPr>
                <w:rFonts w:hint="eastAsia"/>
                <w:sz w:val="24"/>
              </w:rPr>
            </w:pPr>
            <w:r>
              <w:rPr>
                <w:rFonts w:hint="eastAsia"/>
                <w:sz w:val="24"/>
              </w:rPr>
              <w:t>④将室外声源的声压级和透过面积换算成等效的室外声源，计算出中心位置位于透声面积 S 处的等效声源的倍频带声功率级：</w:t>
            </w:r>
          </w:p>
          <w:p w14:paraId="06F6234B">
            <w:pPr>
              <w:spacing w:line="360" w:lineRule="auto"/>
              <w:ind w:firstLine="420" w:firstLineChars="200"/>
              <w:jc w:val="center"/>
              <w:rPr>
                <w:rFonts w:hint="eastAsia"/>
                <w:sz w:val="24"/>
              </w:rPr>
            </w:pPr>
            <w:r>
              <w:rPr>
                <w:rFonts w:ascii="Times New Roman" w:hAnsi="Times New Roman" w:cs="Times New Roman"/>
                <w:color w:val="auto"/>
              </w:rPr>
              <w:drawing>
                <wp:inline distT="0" distB="0" distL="114300" distR="114300">
                  <wp:extent cx="1645285" cy="233045"/>
                  <wp:effectExtent l="0" t="0" r="12065" b="14605"/>
                  <wp:docPr id="57"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37"/>
                          <pic:cNvPicPr>
                            <a:picLocks noChangeAspect="1"/>
                          </pic:cNvPicPr>
                        </pic:nvPicPr>
                        <pic:blipFill>
                          <a:blip r:embed="rId22"/>
                          <a:stretch>
                            <a:fillRect/>
                          </a:stretch>
                        </pic:blipFill>
                        <pic:spPr>
                          <a:xfrm>
                            <a:off x="0" y="0"/>
                            <a:ext cx="1645285" cy="233045"/>
                          </a:xfrm>
                          <a:prstGeom prst="rect">
                            <a:avLst/>
                          </a:prstGeom>
                          <a:noFill/>
                          <a:ln>
                            <a:noFill/>
                          </a:ln>
                        </pic:spPr>
                      </pic:pic>
                    </a:graphicData>
                  </a:graphic>
                </wp:inline>
              </w:drawing>
            </w:r>
          </w:p>
          <w:p w14:paraId="25D5F079">
            <w:pPr>
              <w:spacing w:line="360" w:lineRule="auto"/>
              <w:ind w:firstLine="480" w:firstLineChars="200"/>
              <w:rPr>
                <w:rFonts w:hint="eastAsia"/>
                <w:sz w:val="24"/>
              </w:rPr>
            </w:pPr>
            <w:r>
              <w:rPr>
                <w:rFonts w:hint="eastAsia"/>
                <w:sz w:val="24"/>
              </w:rPr>
              <w:t>式中：LW —— 中心位置位于透声面积（S）处的等效声源的倍频带声功率级，dB；</w:t>
            </w:r>
          </w:p>
          <w:p w14:paraId="23A569A8">
            <w:pPr>
              <w:spacing w:line="360" w:lineRule="auto"/>
              <w:ind w:firstLine="480" w:firstLineChars="200"/>
              <w:rPr>
                <w:rFonts w:hint="eastAsia"/>
                <w:sz w:val="24"/>
              </w:rPr>
            </w:pPr>
            <w:r>
              <w:rPr>
                <w:rFonts w:hint="eastAsia"/>
                <w:sz w:val="24"/>
              </w:rPr>
              <w:t>Lp2</w:t>
            </w:r>
            <w:r>
              <w:rPr>
                <w:rFonts w:hint="eastAsia"/>
                <w:sz w:val="24"/>
                <w:lang w:eastAsia="zh-CN"/>
              </w:rPr>
              <w:t>（</w:t>
            </w:r>
            <w:r>
              <w:rPr>
                <w:rFonts w:hint="eastAsia"/>
                <w:sz w:val="24"/>
                <w:lang w:val="en-US" w:eastAsia="zh-CN"/>
              </w:rPr>
              <w:t>T</w:t>
            </w:r>
            <w:r>
              <w:rPr>
                <w:rFonts w:hint="eastAsia"/>
                <w:sz w:val="24"/>
                <w:lang w:eastAsia="zh-CN"/>
              </w:rPr>
              <w:t>）</w:t>
            </w:r>
            <w:r>
              <w:rPr>
                <w:rFonts w:hint="eastAsia"/>
                <w:sz w:val="24"/>
              </w:rPr>
              <w:t>——靠近围护结构处室外声源的声压级，dB；</w:t>
            </w:r>
          </w:p>
          <w:p w14:paraId="68A01951">
            <w:pPr>
              <w:spacing w:line="360" w:lineRule="auto"/>
              <w:ind w:firstLine="480" w:firstLineChars="200"/>
              <w:rPr>
                <w:rFonts w:hint="eastAsia"/>
                <w:sz w:val="24"/>
              </w:rPr>
            </w:pPr>
            <w:r>
              <w:rPr>
                <w:rFonts w:hint="eastAsia"/>
                <w:sz w:val="24"/>
              </w:rPr>
              <w:t>S——透声面积，m2；</w:t>
            </w:r>
          </w:p>
          <w:p w14:paraId="78E4A1C1">
            <w:pPr>
              <w:spacing w:line="360" w:lineRule="auto"/>
              <w:ind w:firstLine="480" w:firstLineChars="200"/>
              <w:rPr>
                <w:rFonts w:hint="eastAsia"/>
                <w:sz w:val="24"/>
              </w:rPr>
            </w:pPr>
            <w:r>
              <w:rPr>
                <w:rFonts w:hint="eastAsia"/>
                <w:sz w:val="24"/>
              </w:rPr>
              <w:t>⑤按室外声源预测方法计算预测点处的 A 声级。室外声源处于半自由声场情况下，且声源可看作是位于地面上的，则：</w:t>
            </w:r>
          </w:p>
          <w:p w14:paraId="098AB831">
            <w:pPr>
              <w:spacing w:line="360" w:lineRule="auto"/>
              <w:ind w:firstLine="420" w:firstLineChars="200"/>
              <w:jc w:val="center"/>
              <w:rPr>
                <w:rFonts w:hint="eastAsia"/>
                <w:sz w:val="24"/>
              </w:rPr>
            </w:pPr>
            <w:r>
              <w:rPr>
                <w:rFonts w:ascii="Times New Roman" w:hAnsi="Times New Roman" w:cs="Times New Roman"/>
                <w:color w:val="auto"/>
              </w:rPr>
              <w:drawing>
                <wp:inline distT="0" distB="0" distL="114300" distR="114300">
                  <wp:extent cx="1752600" cy="294640"/>
                  <wp:effectExtent l="0" t="0" r="0" b="10160"/>
                  <wp:docPr id="49"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38"/>
                          <pic:cNvPicPr>
                            <a:picLocks noChangeAspect="1"/>
                          </pic:cNvPicPr>
                        </pic:nvPicPr>
                        <pic:blipFill>
                          <a:blip r:embed="rId23"/>
                          <a:stretch>
                            <a:fillRect/>
                          </a:stretch>
                        </pic:blipFill>
                        <pic:spPr>
                          <a:xfrm>
                            <a:off x="0" y="0"/>
                            <a:ext cx="1752600" cy="294640"/>
                          </a:xfrm>
                          <a:prstGeom prst="rect">
                            <a:avLst/>
                          </a:prstGeom>
                          <a:noFill/>
                          <a:ln>
                            <a:noFill/>
                          </a:ln>
                        </pic:spPr>
                      </pic:pic>
                    </a:graphicData>
                  </a:graphic>
                </wp:inline>
              </w:drawing>
            </w:r>
          </w:p>
          <w:p w14:paraId="66E341BC">
            <w:pPr>
              <w:spacing w:line="360" w:lineRule="auto"/>
              <w:ind w:firstLine="480" w:firstLineChars="200"/>
              <w:rPr>
                <w:rFonts w:hint="eastAsia"/>
                <w:sz w:val="24"/>
              </w:rPr>
            </w:pPr>
            <w:r>
              <w:rPr>
                <w:rFonts w:hint="eastAsia"/>
                <w:sz w:val="24"/>
              </w:rPr>
              <w:t>式中：LP</w:t>
            </w:r>
            <w:r>
              <w:rPr>
                <w:rFonts w:hint="eastAsia"/>
                <w:sz w:val="24"/>
                <w:lang w:eastAsia="zh-CN"/>
              </w:rPr>
              <w:t>（</w:t>
            </w:r>
            <w:r>
              <w:rPr>
                <w:rFonts w:hint="eastAsia"/>
                <w:sz w:val="24"/>
                <w:lang w:val="en-US" w:eastAsia="zh-CN"/>
              </w:rPr>
              <w:t>r</w:t>
            </w:r>
            <w:r>
              <w:rPr>
                <w:rFonts w:hint="eastAsia"/>
                <w:sz w:val="24"/>
                <w:lang w:eastAsia="zh-CN"/>
              </w:rPr>
              <w:t>）</w:t>
            </w:r>
            <w:r>
              <w:rPr>
                <w:rFonts w:hint="eastAsia"/>
                <w:sz w:val="24"/>
              </w:rPr>
              <w:t xml:space="preserve"> 预测点处声压级，dB；</w:t>
            </w:r>
          </w:p>
          <w:p w14:paraId="3C1860F1">
            <w:pPr>
              <w:spacing w:line="360" w:lineRule="auto"/>
              <w:ind w:firstLine="480" w:firstLineChars="200"/>
              <w:rPr>
                <w:rFonts w:hint="eastAsia"/>
                <w:sz w:val="24"/>
              </w:rPr>
            </w:pPr>
            <w:r>
              <w:rPr>
                <w:rFonts w:hint="eastAsia"/>
                <w:sz w:val="24"/>
              </w:rPr>
              <w:t>LW —— 由点声源产生的倍频带声功率级，dB;</w:t>
            </w:r>
          </w:p>
          <w:p w14:paraId="107F13D6">
            <w:pPr>
              <w:spacing w:line="360" w:lineRule="auto"/>
              <w:ind w:firstLine="480" w:firstLineChars="200"/>
              <w:rPr>
                <w:rFonts w:hint="eastAsia"/>
                <w:sz w:val="24"/>
              </w:rPr>
            </w:pPr>
            <w:r>
              <w:rPr>
                <w:rFonts w:hint="eastAsia"/>
                <w:sz w:val="24"/>
              </w:rPr>
              <w:t>r ——预测点距声源的距离。</w:t>
            </w:r>
          </w:p>
          <w:p w14:paraId="4A875E39">
            <w:pPr>
              <w:spacing w:line="360" w:lineRule="auto"/>
              <w:ind w:firstLine="480" w:firstLineChars="200"/>
              <w:rPr>
                <w:rFonts w:hint="eastAsia"/>
                <w:sz w:val="24"/>
              </w:rPr>
            </w:pPr>
            <w:r>
              <w:rPr>
                <w:rFonts w:hint="eastAsia"/>
                <w:sz w:val="24"/>
              </w:rPr>
              <w:t>⑥倍频带声压级和 A 声级转换</w:t>
            </w:r>
          </w:p>
          <w:p w14:paraId="0BE58C5C">
            <w:pPr>
              <w:spacing w:line="360" w:lineRule="auto"/>
              <w:ind w:firstLine="420" w:firstLineChars="200"/>
              <w:jc w:val="center"/>
              <w:rPr>
                <w:rFonts w:hint="eastAsia"/>
                <w:sz w:val="24"/>
              </w:rPr>
            </w:pPr>
            <w:r>
              <w:rPr>
                <w:rFonts w:ascii="Times New Roman" w:hAnsi="Times New Roman" w:cs="Times New Roman"/>
                <w:color w:val="auto"/>
              </w:rPr>
              <w:drawing>
                <wp:inline distT="0" distB="0" distL="114300" distR="114300">
                  <wp:extent cx="1696085" cy="403860"/>
                  <wp:effectExtent l="0" t="0" r="18415" b="15240"/>
                  <wp:docPr id="51"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39"/>
                          <pic:cNvPicPr>
                            <a:picLocks noChangeAspect="1"/>
                          </pic:cNvPicPr>
                        </pic:nvPicPr>
                        <pic:blipFill>
                          <a:blip r:embed="rId24"/>
                          <a:stretch>
                            <a:fillRect/>
                          </a:stretch>
                        </pic:blipFill>
                        <pic:spPr>
                          <a:xfrm>
                            <a:off x="0" y="0"/>
                            <a:ext cx="1696085" cy="403860"/>
                          </a:xfrm>
                          <a:prstGeom prst="rect">
                            <a:avLst/>
                          </a:prstGeom>
                          <a:noFill/>
                          <a:ln>
                            <a:noFill/>
                          </a:ln>
                        </pic:spPr>
                      </pic:pic>
                    </a:graphicData>
                  </a:graphic>
                </wp:inline>
              </w:drawing>
            </w:r>
          </w:p>
          <w:p w14:paraId="79D4A359">
            <w:pPr>
              <w:spacing w:line="360" w:lineRule="auto"/>
              <w:ind w:firstLine="480" w:firstLineChars="200"/>
              <w:rPr>
                <w:rFonts w:hint="eastAsia"/>
                <w:sz w:val="24"/>
              </w:rPr>
            </w:pPr>
            <w:r>
              <w:rPr>
                <w:rFonts w:hint="eastAsia"/>
                <w:sz w:val="24"/>
              </w:rPr>
              <w:t xml:space="preserve">式中：LA </w:t>
            </w:r>
            <w:r>
              <w:rPr>
                <w:rFonts w:hint="eastAsia"/>
                <w:sz w:val="24"/>
                <w:lang w:eastAsia="zh-CN"/>
              </w:rPr>
              <w:t>（</w:t>
            </w:r>
            <w:r>
              <w:rPr>
                <w:rFonts w:hint="eastAsia"/>
                <w:sz w:val="24"/>
                <w:lang w:val="en-US" w:eastAsia="zh-CN"/>
              </w:rPr>
              <w:t>r</w:t>
            </w:r>
            <w:r>
              <w:rPr>
                <w:rFonts w:hint="eastAsia"/>
                <w:sz w:val="24"/>
                <w:lang w:eastAsia="zh-CN"/>
              </w:rPr>
              <w:t>）</w:t>
            </w:r>
            <w:r>
              <w:rPr>
                <w:rFonts w:hint="eastAsia"/>
                <w:sz w:val="24"/>
              </w:rPr>
              <w:t>——距声源 r 处的 A 声级，dB</w:t>
            </w:r>
            <w:r>
              <w:rPr>
                <w:rFonts w:hint="eastAsia"/>
                <w:sz w:val="24"/>
                <w:lang w:eastAsia="zh-CN"/>
              </w:rPr>
              <w:t>（</w:t>
            </w:r>
            <w:r>
              <w:rPr>
                <w:rFonts w:hint="eastAsia"/>
                <w:sz w:val="24"/>
              </w:rPr>
              <w:t>A</w:t>
            </w:r>
            <w:r>
              <w:rPr>
                <w:rFonts w:hint="eastAsia"/>
                <w:sz w:val="24"/>
                <w:lang w:eastAsia="zh-CN"/>
              </w:rPr>
              <w:t>）</w:t>
            </w:r>
            <w:r>
              <w:rPr>
                <w:rFonts w:hint="eastAsia"/>
                <w:sz w:val="24"/>
              </w:rPr>
              <w:t>；</w:t>
            </w:r>
          </w:p>
          <w:p w14:paraId="00EBA85A">
            <w:pPr>
              <w:spacing w:line="360" w:lineRule="auto"/>
              <w:ind w:firstLine="480" w:firstLineChars="200"/>
              <w:rPr>
                <w:rFonts w:hint="eastAsia"/>
                <w:sz w:val="24"/>
              </w:rPr>
            </w:pPr>
            <w:r>
              <w:rPr>
                <w:rFonts w:hint="eastAsia"/>
                <w:sz w:val="24"/>
              </w:rPr>
              <w:t>Lpi</w:t>
            </w:r>
            <w:r>
              <w:rPr>
                <w:rFonts w:hint="eastAsia"/>
                <w:sz w:val="24"/>
                <w:lang w:eastAsia="zh-CN"/>
              </w:rPr>
              <w:t>（</w:t>
            </w:r>
            <w:r>
              <w:rPr>
                <w:rFonts w:hint="eastAsia"/>
                <w:sz w:val="24"/>
                <w:lang w:val="en-US" w:eastAsia="zh-CN"/>
              </w:rPr>
              <w:t>r</w:t>
            </w:r>
            <w:r>
              <w:rPr>
                <w:rFonts w:hint="eastAsia"/>
                <w:sz w:val="24"/>
                <w:lang w:eastAsia="zh-CN"/>
              </w:rPr>
              <w:t>）</w:t>
            </w:r>
            <w:r>
              <w:rPr>
                <w:rFonts w:hint="eastAsia"/>
                <w:sz w:val="24"/>
              </w:rPr>
              <w:t>——预测点（r）处，第 i 倍频带声压级，dB；</w:t>
            </w:r>
          </w:p>
          <w:p w14:paraId="5DE7C222">
            <w:pPr>
              <w:spacing w:line="360" w:lineRule="auto"/>
              <w:ind w:firstLine="480" w:firstLineChars="200"/>
              <w:rPr>
                <w:rFonts w:hint="eastAsia"/>
                <w:sz w:val="24"/>
              </w:rPr>
            </w:pPr>
            <w:r>
              <w:rPr>
                <w:rFonts w:hint="eastAsia"/>
                <w:sz w:val="24"/>
              </w:rPr>
              <w:t>ΔLi ——第 i 倍频带的 A 计权网络修正值，dB。</w:t>
            </w:r>
          </w:p>
          <w:p w14:paraId="538E94F5">
            <w:pPr>
              <w:spacing w:line="360" w:lineRule="auto"/>
              <w:ind w:firstLine="480" w:firstLineChars="200"/>
              <w:rPr>
                <w:rFonts w:hint="eastAsia"/>
                <w:sz w:val="24"/>
              </w:rPr>
            </w:pPr>
            <w:r>
              <w:rPr>
                <w:rFonts w:hint="eastAsia"/>
                <w:sz w:val="24"/>
              </w:rPr>
              <w:t>⑦工程声源对预测点产生的贡献值（Leqg）计算公式为：</w:t>
            </w:r>
          </w:p>
          <w:p w14:paraId="14A5228A">
            <w:pPr>
              <w:spacing w:line="360" w:lineRule="auto"/>
              <w:ind w:firstLine="420" w:firstLineChars="200"/>
              <w:jc w:val="center"/>
              <w:rPr>
                <w:rFonts w:hint="eastAsia"/>
                <w:sz w:val="24"/>
              </w:rPr>
            </w:pPr>
            <w:r>
              <w:rPr>
                <w:rFonts w:ascii="Times New Roman" w:hAnsi="Times New Roman" w:cs="Times New Roman"/>
                <w:color w:val="auto"/>
              </w:rPr>
              <w:drawing>
                <wp:inline distT="0" distB="0" distL="114300" distR="114300">
                  <wp:extent cx="2802255" cy="580390"/>
                  <wp:effectExtent l="0" t="0" r="17145" b="10160"/>
                  <wp:docPr id="52"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40"/>
                          <pic:cNvPicPr>
                            <a:picLocks noChangeAspect="1"/>
                          </pic:cNvPicPr>
                        </pic:nvPicPr>
                        <pic:blipFill>
                          <a:blip r:embed="rId25"/>
                          <a:stretch>
                            <a:fillRect/>
                          </a:stretch>
                        </pic:blipFill>
                        <pic:spPr>
                          <a:xfrm>
                            <a:off x="0" y="0"/>
                            <a:ext cx="2802255" cy="580390"/>
                          </a:xfrm>
                          <a:prstGeom prst="rect">
                            <a:avLst/>
                          </a:prstGeom>
                          <a:noFill/>
                          <a:ln>
                            <a:noFill/>
                          </a:ln>
                        </pic:spPr>
                      </pic:pic>
                    </a:graphicData>
                  </a:graphic>
                </wp:inline>
              </w:drawing>
            </w:r>
          </w:p>
          <w:p w14:paraId="2A1DE924">
            <w:pPr>
              <w:spacing w:line="360" w:lineRule="auto"/>
              <w:ind w:firstLine="480" w:firstLineChars="200"/>
              <w:rPr>
                <w:rFonts w:hint="eastAsia"/>
                <w:sz w:val="24"/>
              </w:rPr>
            </w:pPr>
            <w:r>
              <w:rPr>
                <w:rFonts w:hint="eastAsia"/>
                <w:sz w:val="24"/>
              </w:rPr>
              <w:t>式中： Leqi ——建设项目声源在预测点产生的噪声贡献值，dB</w:t>
            </w:r>
            <w:r>
              <w:rPr>
                <w:rFonts w:hint="eastAsia"/>
                <w:sz w:val="24"/>
                <w:lang w:eastAsia="zh-CN"/>
              </w:rPr>
              <w:t>（</w:t>
            </w:r>
            <w:r>
              <w:rPr>
                <w:rFonts w:hint="eastAsia"/>
                <w:sz w:val="24"/>
              </w:rPr>
              <w:t>A</w:t>
            </w:r>
            <w:r>
              <w:rPr>
                <w:rFonts w:hint="eastAsia"/>
                <w:sz w:val="24"/>
                <w:lang w:eastAsia="zh-CN"/>
              </w:rPr>
              <w:t>）</w:t>
            </w:r>
            <w:r>
              <w:rPr>
                <w:rFonts w:hint="eastAsia"/>
                <w:sz w:val="24"/>
              </w:rPr>
              <w:t xml:space="preserve">； </w:t>
            </w:r>
          </w:p>
          <w:p w14:paraId="0C7BD7E8">
            <w:pPr>
              <w:spacing w:line="360" w:lineRule="auto"/>
              <w:ind w:firstLine="480" w:firstLineChars="200"/>
              <w:rPr>
                <w:rFonts w:hint="eastAsia"/>
                <w:sz w:val="24"/>
              </w:rPr>
            </w:pPr>
            <w:r>
              <w:rPr>
                <w:rFonts w:hint="eastAsia"/>
                <w:sz w:val="24"/>
              </w:rPr>
              <w:t>LAi ——第 i 个室外声源在预测点产生的 A 声级，dB</w:t>
            </w:r>
            <w:r>
              <w:rPr>
                <w:rFonts w:hint="eastAsia"/>
                <w:sz w:val="24"/>
                <w:lang w:eastAsia="zh-CN"/>
              </w:rPr>
              <w:t>（</w:t>
            </w:r>
            <w:r>
              <w:rPr>
                <w:rFonts w:hint="eastAsia"/>
                <w:sz w:val="24"/>
              </w:rPr>
              <w:t>A</w:t>
            </w:r>
            <w:r>
              <w:rPr>
                <w:rFonts w:hint="eastAsia"/>
                <w:sz w:val="24"/>
                <w:lang w:eastAsia="zh-CN"/>
              </w:rPr>
              <w:t>）</w:t>
            </w:r>
            <w:r>
              <w:rPr>
                <w:rFonts w:hint="eastAsia"/>
                <w:sz w:val="24"/>
              </w:rPr>
              <w:t xml:space="preserve">； </w:t>
            </w:r>
          </w:p>
          <w:p w14:paraId="47D7889C">
            <w:pPr>
              <w:spacing w:line="360" w:lineRule="auto"/>
              <w:ind w:firstLine="480" w:firstLineChars="200"/>
              <w:rPr>
                <w:rFonts w:hint="eastAsia"/>
                <w:sz w:val="24"/>
              </w:rPr>
            </w:pPr>
            <w:r>
              <w:rPr>
                <w:rFonts w:hint="eastAsia"/>
                <w:sz w:val="24"/>
              </w:rPr>
              <w:t>LAj ——第 j 个等效室外声源在预测点产生的 A 声级，dB</w:t>
            </w:r>
            <w:r>
              <w:rPr>
                <w:rFonts w:hint="eastAsia"/>
                <w:sz w:val="24"/>
                <w:lang w:eastAsia="zh-CN"/>
              </w:rPr>
              <w:t>（</w:t>
            </w:r>
            <w:r>
              <w:rPr>
                <w:rFonts w:hint="eastAsia"/>
                <w:sz w:val="24"/>
              </w:rPr>
              <w:t>A</w:t>
            </w:r>
            <w:r>
              <w:rPr>
                <w:rFonts w:hint="eastAsia"/>
                <w:sz w:val="24"/>
                <w:lang w:eastAsia="zh-CN"/>
              </w:rPr>
              <w:t>）；</w:t>
            </w:r>
            <w:r>
              <w:rPr>
                <w:rFonts w:hint="eastAsia"/>
                <w:sz w:val="24"/>
              </w:rPr>
              <w:t xml:space="preserve"> </w:t>
            </w:r>
          </w:p>
          <w:p w14:paraId="5315662C">
            <w:pPr>
              <w:spacing w:line="360" w:lineRule="auto"/>
              <w:ind w:firstLine="480" w:firstLineChars="200"/>
              <w:rPr>
                <w:rFonts w:hint="eastAsia"/>
                <w:sz w:val="24"/>
              </w:rPr>
            </w:pPr>
            <w:r>
              <w:rPr>
                <w:rFonts w:hint="eastAsia"/>
                <w:sz w:val="24"/>
              </w:rPr>
              <w:t xml:space="preserve">T——用于计算等效声级的时间，s； </w:t>
            </w:r>
          </w:p>
          <w:p w14:paraId="3DCA318D">
            <w:pPr>
              <w:spacing w:line="360" w:lineRule="auto"/>
              <w:ind w:firstLine="480" w:firstLineChars="200"/>
              <w:rPr>
                <w:rFonts w:hint="eastAsia"/>
                <w:sz w:val="24"/>
              </w:rPr>
            </w:pPr>
            <w:r>
              <w:rPr>
                <w:rFonts w:hint="eastAsia"/>
                <w:sz w:val="24"/>
              </w:rPr>
              <w:t xml:space="preserve">N——室外声源个数； </w:t>
            </w:r>
          </w:p>
          <w:p w14:paraId="239C5E09">
            <w:pPr>
              <w:spacing w:line="360" w:lineRule="auto"/>
              <w:ind w:firstLine="480" w:firstLineChars="200"/>
              <w:rPr>
                <w:rFonts w:hint="eastAsia"/>
                <w:sz w:val="24"/>
              </w:rPr>
            </w:pPr>
            <w:r>
              <w:rPr>
                <w:rFonts w:hint="eastAsia"/>
                <w:sz w:val="24"/>
              </w:rPr>
              <w:t xml:space="preserve">ti——在 T 间内 i 声源工作时间，s； </w:t>
            </w:r>
          </w:p>
          <w:p w14:paraId="5C3E2B31">
            <w:pPr>
              <w:spacing w:line="360" w:lineRule="auto"/>
              <w:ind w:firstLine="480" w:firstLineChars="200"/>
              <w:rPr>
                <w:rFonts w:hint="eastAsia"/>
                <w:sz w:val="24"/>
              </w:rPr>
            </w:pPr>
            <w:r>
              <w:rPr>
                <w:rFonts w:hint="eastAsia"/>
                <w:sz w:val="24"/>
              </w:rPr>
              <w:t xml:space="preserve">M——等效室外声源个数； </w:t>
            </w:r>
          </w:p>
          <w:p w14:paraId="34B22972">
            <w:pPr>
              <w:spacing w:line="360" w:lineRule="auto"/>
              <w:ind w:firstLine="480" w:firstLineChars="200"/>
              <w:rPr>
                <w:rFonts w:hint="eastAsia"/>
                <w:sz w:val="24"/>
              </w:rPr>
            </w:pPr>
            <w:r>
              <w:rPr>
                <w:rFonts w:hint="eastAsia"/>
                <w:sz w:val="24"/>
              </w:rPr>
              <w:t>tj——在 T 时间内 j 声源工作时间，s。</w:t>
            </w:r>
          </w:p>
          <w:p w14:paraId="57649EA3">
            <w:pPr>
              <w:pStyle w:val="23"/>
              <w:spacing w:line="360" w:lineRule="auto"/>
              <w:ind w:firstLine="482" w:firstLineChars="200"/>
              <w:jc w:val="left"/>
              <w:rPr>
                <w:rFonts w:hint="eastAsia" w:ascii="Times New Roman" w:hAnsi="Times New Roman"/>
                <w:bCs/>
                <w:highlight w:val="none"/>
              </w:rPr>
            </w:pPr>
            <w:r>
              <w:rPr>
                <w:rFonts w:hint="eastAsia" w:ascii="Times New Roman" w:hAnsi="Times New Roman"/>
                <w:bCs/>
                <w:highlight w:val="none"/>
                <w:lang w:eastAsia="zh-CN"/>
              </w:rPr>
              <w:t>（</w:t>
            </w:r>
            <w:r>
              <w:rPr>
                <w:rFonts w:hint="eastAsia" w:ascii="Times New Roman" w:hAnsi="Times New Roman"/>
                <w:bCs/>
                <w:highlight w:val="none"/>
              </w:rPr>
              <w:t>2）预测结果</w:t>
            </w:r>
          </w:p>
          <w:p w14:paraId="7C675B0C">
            <w:pPr>
              <w:spacing w:line="360" w:lineRule="auto"/>
              <w:ind w:firstLine="480" w:firstLineChars="200"/>
              <w:jc w:val="left"/>
              <w:rPr>
                <w:rFonts w:hint="eastAsia"/>
                <w:sz w:val="24"/>
                <w:highlight w:val="none"/>
                <w:lang w:eastAsia="zh-CN"/>
              </w:rPr>
            </w:pPr>
            <w:r>
              <w:rPr>
                <w:rFonts w:hint="eastAsia" w:ascii="Times New Roman" w:hAnsi="Times New Roman"/>
                <w:b w:val="0"/>
                <w:bCs w:val="0"/>
                <w:sz w:val="24"/>
                <w:highlight w:val="none"/>
              </w:rPr>
              <w:t>噪声在室内向室外空间的传播，由于受到遮挡物的隔断，各种介质的吸收与反射，以及空气介质的吸收等物理作用而逐渐减弱，为了简化计算条件并能考虑到最不利因素，计算时只考虑噪声插入损失及距离衰减，本项目噪声源对厂界及环保目标处噪声贡献值预测结果</w:t>
            </w:r>
            <w:r>
              <w:rPr>
                <w:rFonts w:hint="eastAsia"/>
                <w:b w:val="0"/>
                <w:bCs w:val="0"/>
                <w:sz w:val="24"/>
                <w:highlight w:val="none"/>
                <w:lang w:val="en-US" w:eastAsia="zh-CN"/>
              </w:rPr>
              <w:t>如下。</w:t>
            </w:r>
          </w:p>
          <w:p w14:paraId="713FBABC">
            <w:pPr>
              <w:jc w:val="center"/>
              <w:rPr>
                <w:b/>
                <w:szCs w:val="21"/>
                <w:highlight w:val="none"/>
              </w:rPr>
            </w:pPr>
            <w:r>
              <w:rPr>
                <w:rFonts w:hint="eastAsia"/>
                <w:b/>
                <w:szCs w:val="21"/>
                <w:highlight w:val="none"/>
              </w:rPr>
              <w:t>表4-</w:t>
            </w:r>
            <w:r>
              <w:rPr>
                <w:rFonts w:hint="eastAsia"/>
                <w:b/>
                <w:szCs w:val="21"/>
                <w:highlight w:val="none"/>
                <w:lang w:val="en-US" w:eastAsia="zh-CN"/>
              </w:rPr>
              <w:t>10</w:t>
            </w:r>
            <w:r>
              <w:rPr>
                <w:b/>
                <w:szCs w:val="21"/>
                <w:highlight w:val="none"/>
              </w:rPr>
              <w:t xml:space="preserve"> 建设项目厂界噪声预测结果    单位：dB（A）</w:t>
            </w:r>
          </w:p>
          <w:tbl>
            <w:tblPr>
              <w:tblStyle w:val="14"/>
              <w:tblW w:w="4963" w:type="pct"/>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
            <w:tblGrid>
              <w:gridCol w:w="2656"/>
              <w:gridCol w:w="1620"/>
              <w:gridCol w:w="1622"/>
              <w:gridCol w:w="1119"/>
              <w:gridCol w:w="1122"/>
            </w:tblGrid>
            <w:tr w14:paraId="4585DC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368" w:hRule="atLeast"/>
                <w:jc w:val="center"/>
              </w:trPr>
              <w:tc>
                <w:tcPr>
                  <w:tcW w:w="1632" w:type="pct"/>
                  <w:vMerge w:val="restart"/>
                  <w:noWrap w:val="0"/>
                  <w:vAlign w:val="center"/>
                </w:tcPr>
                <w:p w14:paraId="01F95ACB">
                  <w:pPr>
                    <w:jc w:val="center"/>
                    <w:rPr>
                      <w:bCs/>
                      <w:highlight w:val="none"/>
                    </w:rPr>
                  </w:pPr>
                  <w:r>
                    <w:rPr>
                      <w:bCs/>
                      <w:highlight w:val="none"/>
                    </w:rPr>
                    <w:t>预测点</w:t>
                  </w:r>
                </w:p>
              </w:tc>
              <w:tc>
                <w:tcPr>
                  <w:tcW w:w="1991" w:type="pct"/>
                  <w:gridSpan w:val="2"/>
                  <w:noWrap w:val="0"/>
                  <w:vAlign w:val="center"/>
                </w:tcPr>
                <w:p w14:paraId="6B7DD316">
                  <w:pPr>
                    <w:jc w:val="center"/>
                    <w:rPr>
                      <w:bCs/>
                      <w:highlight w:val="none"/>
                    </w:rPr>
                  </w:pPr>
                  <w:r>
                    <w:rPr>
                      <w:rFonts w:hint="eastAsia"/>
                      <w:bCs/>
                      <w:highlight w:val="none"/>
                    </w:rPr>
                    <w:t>贡献值</w:t>
                  </w:r>
                </w:p>
              </w:tc>
              <w:tc>
                <w:tcPr>
                  <w:tcW w:w="1376" w:type="pct"/>
                  <w:gridSpan w:val="2"/>
                  <w:noWrap w:val="0"/>
                  <w:vAlign w:val="center"/>
                </w:tcPr>
                <w:p w14:paraId="4CBA7C5B">
                  <w:pPr>
                    <w:jc w:val="center"/>
                    <w:rPr>
                      <w:bCs/>
                      <w:highlight w:val="none"/>
                    </w:rPr>
                  </w:pPr>
                  <w:r>
                    <w:rPr>
                      <w:bCs/>
                      <w:highlight w:val="none"/>
                    </w:rPr>
                    <w:t>标准值</w:t>
                  </w:r>
                </w:p>
              </w:tc>
            </w:tr>
            <w:tr w14:paraId="1BEDC9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368" w:hRule="atLeast"/>
                <w:jc w:val="center"/>
              </w:trPr>
              <w:tc>
                <w:tcPr>
                  <w:tcW w:w="1632" w:type="pct"/>
                  <w:vMerge w:val="continue"/>
                  <w:noWrap w:val="0"/>
                  <w:vAlign w:val="center"/>
                </w:tcPr>
                <w:p w14:paraId="37BE6D98">
                  <w:pPr>
                    <w:jc w:val="center"/>
                    <w:rPr>
                      <w:bCs/>
                      <w:highlight w:val="none"/>
                    </w:rPr>
                  </w:pPr>
                </w:p>
              </w:tc>
              <w:tc>
                <w:tcPr>
                  <w:tcW w:w="995" w:type="pct"/>
                  <w:noWrap w:val="0"/>
                  <w:vAlign w:val="center"/>
                </w:tcPr>
                <w:p w14:paraId="7B5D9083">
                  <w:pPr>
                    <w:jc w:val="center"/>
                    <w:rPr>
                      <w:bCs/>
                      <w:highlight w:val="none"/>
                    </w:rPr>
                  </w:pPr>
                  <w:r>
                    <w:rPr>
                      <w:rFonts w:hint="eastAsia"/>
                      <w:bCs/>
                      <w:highlight w:val="none"/>
                    </w:rPr>
                    <w:t>昼间</w:t>
                  </w:r>
                </w:p>
              </w:tc>
              <w:tc>
                <w:tcPr>
                  <w:tcW w:w="995" w:type="pct"/>
                  <w:noWrap w:val="0"/>
                  <w:vAlign w:val="center"/>
                </w:tcPr>
                <w:p w14:paraId="620ADA9A">
                  <w:pPr>
                    <w:jc w:val="center"/>
                    <w:rPr>
                      <w:rFonts w:hint="eastAsia"/>
                      <w:bCs/>
                      <w:highlight w:val="none"/>
                    </w:rPr>
                  </w:pPr>
                  <w:r>
                    <w:rPr>
                      <w:rFonts w:hint="eastAsia"/>
                      <w:bCs/>
                      <w:highlight w:val="none"/>
                    </w:rPr>
                    <w:t>夜间</w:t>
                  </w:r>
                </w:p>
              </w:tc>
              <w:tc>
                <w:tcPr>
                  <w:tcW w:w="687" w:type="pct"/>
                  <w:noWrap w:val="0"/>
                  <w:vAlign w:val="center"/>
                </w:tcPr>
                <w:p w14:paraId="7ECC99B9">
                  <w:pPr>
                    <w:jc w:val="center"/>
                    <w:rPr>
                      <w:bCs/>
                      <w:highlight w:val="none"/>
                    </w:rPr>
                  </w:pPr>
                  <w:r>
                    <w:rPr>
                      <w:rFonts w:hint="eastAsia"/>
                      <w:bCs/>
                      <w:highlight w:val="none"/>
                    </w:rPr>
                    <w:t>昼间</w:t>
                  </w:r>
                </w:p>
              </w:tc>
              <w:tc>
                <w:tcPr>
                  <w:tcW w:w="689" w:type="pct"/>
                  <w:noWrap w:val="0"/>
                  <w:vAlign w:val="center"/>
                </w:tcPr>
                <w:p w14:paraId="5D183904">
                  <w:pPr>
                    <w:jc w:val="center"/>
                    <w:rPr>
                      <w:bCs/>
                      <w:highlight w:val="none"/>
                    </w:rPr>
                  </w:pPr>
                  <w:r>
                    <w:rPr>
                      <w:rFonts w:hint="eastAsia"/>
                      <w:bCs/>
                      <w:highlight w:val="none"/>
                    </w:rPr>
                    <w:t>夜间</w:t>
                  </w:r>
                </w:p>
              </w:tc>
            </w:tr>
            <w:tr w14:paraId="0C140B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392" w:hRule="atLeast"/>
                <w:jc w:val="center"/>
              </w:trPr>
              <w:tc>
                <w:tcPr>
                  <w:tcW w:w="1632" w:type="pct"/>
                  <w:noWrap w:val="0"/>
                  <w:vAlign w:val="center"/>
                </w:tcPr>
                <w:p w14:paraId="40973468">
                  <w:pPr>
                    <w:jc w:val="center"/>
                    <w:rPr>
                      <w:bCs/>
                      <w:highlight w:val="none"/>
                    </w:rPr>
                  </w:pPr>
                  <w:bookmarkStart w:id="6" w:name="OLE_LINK13" w:colFirst="1" w:colLast="1"/>
                  <w:r>
                    <w:rPr>
                      <w:bCs/>
                      <w:highlight w:val="none"/>
                    </w:rPr>
                    <w:t>东厂界</w:t>
                  </w:r>
                </w:p>
              </w:tc>
              <w:tc>
                <w:tcPr>
                  <w:tcW w:w="995" w:type="pct"/>
                  <w:tcBorders>
                    <w:right w:val="single" w:color="auto" w:sz="4" w:space="0"/>
                  </w:tcBorders>
                  <w:noWrap w:val="0"/>
                  <w:vAlign w:val="center"/>
                </w:tcPr>
                <w:p w14:paraId="47496CE6">
                  <w:pPr>
                    <w:jc w:val="center"/>
                    <w:rPr>
                      <w:rFonts w:hint="default" w:eastAsia="宋体"/>
                      <w:bCs/>
                      <w:highlight w:val="none"/>
                      <w:lang w:val="en-US" w:eastAsia="zh-CN"/>
                    </w:rPr>
                  </w:pPr>
                  <w:r>
                    <w:rPr>
                      <w:rFonts w:hint="eastAsia"/>
                      <w:bCs/>
                      <w:highlight w:val="none"/>
                      <w:lang w:val="en-US" w:eastAsia="zh-CN"/>
                    </w:rPr>
                    <w:t>43.6</w:t>
                  </w:r>
                </w:p>
              </w:tc>
              <w:tc>
                <w:tcPr>
                  <w:tcW w:w="1772" w:type="dxa"/>
                  <w:tcBorders>
                    <w:right w:val="single" w:color="auto" w:sz="4" w:space="0"/>
                  </w:tcBorders>
                  <w:noWrap w:val="0"/>
                  <w:vAlign w:val="center"/>
                </w:tcPr>
                <w:p w14:paraId="1DFFCFC0">
                  <w:pPr>
                    <w:jc w:val="center"/>
                    <w:rPr>
                      <w:rFonts w:hint="default" w:eastAsia="宋体"/>
                      <w:bCs/>
                      <w:highlight w:val="none"/>
                      <w:lang w:val="en-US" w:eastAsia="zh-CN"/>
                    </w:rPr>
                  </w:pPr>
                  <w:r>
                    <w:rPr>
                      <w:rFonts w:hint="eastAsia"/>
                      <w:bCs/>
                      <w:highlight w:val="none"/>
                      <w:lang w:val="en-US" w:eastAsia="zh-CN"/>
                    </w:rPr>
                    <w:t>43.6</w:t>
                  </w:r>
                </w:p>
              </w:tc>
              <w:tc>
                <w:tcPr>
                  <w:tcW w:w="1119" w:type="dxa"/>
                  <w:noWrap w:val="0"/>
                  <w:vAlign w:val="center"/>
                </w:tcPr>
                <w:p w14:paraId="41422E3A">
                  <w:pPr>
                    <w:jc w:val="center"/>
                    <w:rPr>
                      <w:rFonts w:hint="default" w:eastAsia="宋体"/>
                      <w:bCs/>
                      <w:highlight w:val="none"/>
                      <w:lang w:val="en-US" w:eastAsia="zh-CN"/>
                    </w:rPr>
                  </w:pPr>
                  <w:r>
                    <w:rPr>
                      <w:rFonts w:hint="eastAsia"/>
                      <w:bCs/>
                      <w:highlight w:val="none"/>
                      <w:lang w:val="en-US" w:eastAsia="zh-CN"/>
                    </w:rPr>
                    <w:t>60</w:t>
                  </w:r>
                </w:p>
              </w:tc>
              <w:tc>
                <w:tcPr>
                  <w:tcW w:w="1122" w:type="dxa"/>
                  <w:noWrap w:val="0"/>
                  <w:vAlign w:val="center"/>
                </w:tcPr>
                <w:p w14:paraId="452F8FDF">
                  <w:pPr>
                    <w:jc w:val="center"/>
                    <w:rPr>
                      <w:rFonts w:hint="default" w:eastAsia="宋体"/>
                      <w:bCs/>
                      <w:highlight w:val="none"/>
                      <w:lang w:val="en-US" w:eastAsia="zh-CN"/>
                    </w:rPr>
                  </w:pPr>
                  <w:r>
                    <w:rPr>
                      <w:rFonts w:hint="eastAsia"/>
                      <w:bCs/>
                      <w:highlight w:val="none"/>
                      <w:lang w:val="en-US" w:eastAsia="zh-CN"/>
                    </w:rPr>
                    <w:t>50</w:t>
                  </w:r>
                </w:p>
              </w:tc>
            </w:tr>
            <w:tr w14:paraId="07E20A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23" w:hRule="atLeast"/>
                <w:jc w:val="center"/>
              </w:trPr>
              <w:tc>
                <w:tcPr>
                  <w:tcW w:w="1632" w:type="pct"/>
                  <w:noWrap w:val="0"/>
                  <w:vAlign w:val="center"/>
                </w:tcPr>
                <w:p w14:paraId="1705F58F">
                  <w:pPr>
                    <w:jc w:val="center"/>
                    <w:rPr>
                      <w:bCs/>
                      <w:highlight w:val="none"/>
                    </w:rPr>
                  </w:pPr>
                  <w:r>
                    <w:rPr>
                      <w:bCs/>
                      <w:highlight w:val="none"/>
                    </w:rPr>
                    <w:t>南厂界</w:t>
                  </w:r>
                </w:p>
              </w:tc>
              <w:tc>
                <w:tcPr>
                  <w:tcW w:w="995" w:type="pct"/>
                  <w:tcBorders>
                    <w:right w:val="single" w:color="auto" w:sz="4" w:space="0"/>
                  </w:tcBorders>
                  <w:noWrap w:val="0"/>
                  <w:vAlign w:val="center"/>
                </w:tcPr>
                <w:p w14:paraId="62E1F32F">
                  <w:pPr>
                    <w:jc w:val="center"/>
                    <w:rPr>
                      <w:rFonts w:hint="default" w:eastAsia="宋体"/>
                      <w:bCs/>
                      <w:highlight w:val="none"/>
                      <w:lang w:val="en-US" w:eastAsia="zh-CN"/>
                    </w:rPr>
                  </w:pPr>
                  <w:r>
                    <w:rPr>
                      <w:rFonts w:hint="eastAsia"/>
                      <w:bCs/>
                      <w:highlight w:val="none"/>
                      <w:lang w:val="en-US" w:eastAsia="zh-CN"/>
                    </w:rPr>
                    <w:t>38.4</w:t>
                  </w:r>
                </w:p>
              </w:tc>
              <w:tc>
                <w:tcPr>
                  <w:tcW w:w="1772" w:type="dxa"/>
                  <w:tcBorders>
                    <w:right w:val="single" w:color="auto" w:sz="4" w:space="0"/>
                  </w:tcBorders>
                  <w:noWrap w:val="0"/>
                  <w:vAlign w:val="center"/>
                </w:tcPr>
                <w:p w14:paraId="3C3012E2">
                  <w:pPr>
                    <w:jc w:val="center"/>
                    <w:rPr>
                      <w:rFonts w:hint="default" w:eastAsia="宋体"/>
                      <w:bCs/>
                      <w:highlight w:val="none"/>
                      <w:lang w:val="en-US" w:eastAsia="zh-CN"/>
                    </w:rPr>
                  </w:pPr>
                  <w:r>
                    <w:rPr>
                      <w:rFonts w:hint="eastAsia"/>
                      <w:bCs/>
                      <w:highlight w:val="none"/>
                      <w:lang w:val="en-US" w:eastAsia="zh-CN"/>
                    </w:rPr>
                    <w:t>38.4</w:t>
                  </w:r>
                </w:p>
              </w:tc>
              <w:tc>
                <w:tcPr>
                  <w:tcW w:w="1119" w:type="dxa"/>
                  <w:noWrap w:val="0"/>
                  <w:vAlign w:val="center"/>
                </w:tcPr>
                <w:p w14:paraId="56E4A6B6">
                  <w:pPr>
                    <w:jc w:val="center"/>
                    <w:rPr>
                      <w:rFonts w:hint="default" w:eastAsia="宋体"/>
                      <w:bCs/>
                      <w:highlight w:val="none"/>
                      <w:lang w:val="en-US" w:eastAsia="zh-CN"/>
                    </w:rPr>
                  </w:pPr>
                  <w:r>
                    <w:rPr>
                      <w:rFonts w:hint="eastAsia"/>
                      <w:bCs/>
                      <w:highlight w:val="none"/>
                      <w:lang w:val="en-US" w:eastAsia="zh-CN"/>
                    </w:rPr>
                    <w:t>55</w:t>
                  </w:r>
                </w:p>
              </w:tc>
              <w:tc>
                <w:tcPr>
                  <w:tcW w:w="1122" w:type="dxa"/>
                  <w:noWrap w:val="0"/>
                  <w:vAlign w:val="center"/>
                </w:tcPr>
                <w:p w14:paraId="3BD22230">
                  <w:pPr>
                    <w:jc w:val="center"/>
                    <w:rPr>
                      <w:rFonts w:hint="default" w:eastAsia="宋体"/>
                      <w:bCs/>
                      <w:highlight w:val="none"/>
                      <w:lang w:val="en-US" w:eastAsia="zh-CN"/>
                    </w:rPr>
                  </w:pPr>
                  <w:r>
                    <w:rPr>
                      <w:rFonts w:hint="eastAsia"/>
                      <w:bCs/>
                      <w:highlight w:val="none"/>
                      <w:lang w:val="en-US" w:eastAsia="zh-CN"/>
                    </w:rPr>
                    <w:t>45</w:t>
                  </w:r>
                </w:p>
              </w:tc>
            </w:tr>
            <w:tr w14:paraId="53F528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23" w:hRule="atLeast"/>
                <w:jc w:val="center"/>
              </w:trPr>
              <w:tc>
                <w:tcPr>
                  <w:tcW w:w="1632" w:type="pct"/>
                  <w:noWrap w:val="0"/>
                  <w:vAlign w:val="center"/>
                </w:tcPr>
                <w:p w14:paraId="63E2AD46">
                  <w:pPr>
                    <w:jc w:val="center"/>
                    <w:rPr>
                      <w:bCs/>
                      <w:highlight w:val="none"/>
                    </w:rPr>
                  </w:pPr>
                  <w:r>
                    <w:rPr>
                      <w:bCs/>
                      <w:highlight w:val="none"/>
                    </w:rPr>
                    <w:t>西厂界</w:t>
                  </w:r>
                </w:p>
              </w:tc>
              <w:tc>
                <w:tcPr>
                  <w:tcW w:w="995" w:type="pct"/>
                  <w:tcBorders>
                    <w:right w:val="single" w:color="auto" w:sz="4" w:space="0"/>
                  </w:tcBorders>
                  <w:noWrap w:val="0"/>
                  <w:vAlign w:val="center"/>
                </w:tcPr>
                <w:p w14:paraId="649B3ABD">
                  <w:pPr>
                    <w:jc w:val="center"/>
                    <w:rPr>
                      <w:rFonts w:hint="default" w:eastAsia="宋体"/>
                      <w:bCs/>
                      <w:highlight w:val="none"/>
                      <w:lang w:val="en-US" w:eastAsia="zh-CN"/>
                    </w:rPr>
                  </w:pPr>
                  <w:r>
                    <w:rPr>
                      <w:rFonts w:hint="eastAsia"/>
                      <w:bCs/>
                      <w:highlight w:val="none"/>
                      <w:lang w:val="en-US" w:eastAsia="zh-CN"/>
                    </w:rPr>
                    <w:t>40.4</w:t>
                  </w:r>
                </w:p>
              </w:tc>
              <w:tc>
                <w:tcPr>
                  <w:tcW w:w="1772" w:type="dxa"/>
                  <w:tcBorders>
                    <w:right w:val="single" w:color="auto" w:sz="4" w:space="0"/>
                  </w:tcBorders>
                  <w:noWrap w:val="0"/>
                  <w:vAlign w:val="center"/>
                </w:tcPr>
                <w:p w14:paraId="3CC670D7">
                  <w:pPr>
                    <w:jc w:val="center"/>
                    <w:rPr>
                      <w:rFonts w:hint="default" w:eastAsia="宋体"/>
                      <w:bCs/>
                      <w:highlight w:val="none"/>
                      <w:lang w:val="en-US" w:eastAsia="zh-CN"/>
                    </w:rPr>
                  </w:pPr>
                  <w:r>
                    <w:rPr>
                      <w:rFonts w:hint="eastAsia"/>
                      <w:bCs/>
                      <w:highlight w:val="none"/>
                      <w:lang w:val="en-US" w:eastAsia="zh-CN"/>
                    </w:rPr>
                    <w:t>40.4</w:t>
                  </w:r>
                </w:p>
              </w:tc>
              <w:tc>
                <w:tcPr>
                  <w:tcW w:w="1119" w:type="dxa"/>
                  <w:noWrap w:val="0"/>
                  <w:vAlign w:val="center"/>
                </w:tcPr>
                <w:p w14:paraId="5388E34B">
                  <w:pPr>
                    <w:jc w:val="center"/>
                    <w:rPr>
                      <w:rFonts w:hint="default" w:eastAsia="宋体"/>
                      <w:bCs/>
                      <w:highlight w:val="none"/>
                      <w:lang w:val="en-US" w:eastAsia="zh-CN"/>
                    </w:rPr>
                  </w:pPr>
                  <w:r>
                    <w:rPr>
                      <w:rFonts w:hint="eastAsia"/>
                      <w:bCs/>
                      <w:highlight w:val="none"/>
                      <w:lang w:val="en-US" w:eastAsia="zh-CN"/>
                    </w:rPr>
                    <w:t>55</w:t>
                  </w:r>
                </w:p>
              </w:tc>
              <w:tc>
                <w:tcPr>
                  <w:tcW w:w="1122" w:type="dxa"/>
                  <w:noWrap w:val="0"/>
                  <w:vAlign w:val="center"/>
                </w:tcPr>
                <w:p w14:paraId="10F99EA4">
                  <w:pPr>
                    <w:jc w:val="center"/>
                    <w:rPr>
                      <w:rFonts w:hint="default" w:eastAsia="宋体"/>
                      <w:bCs/>
                      <w:highlight w:val="none"/>
                      <w:lang w:val="en-US" w:eastAsia="zh-CN"/>
                    </w:rPr>
                  </w:pPr>
                  <w:r>
                    <w:rPr>
                      <w:rFonts w:hint="eastAsia"/>
                      <w:bCs/>
                      <w:highlight w:val="none"/>
                      <w:lang w:val="en-US" w:eastAsia="zh-CN"/>
                    </w:rPr>
                    <w:t>45</w:t>
                  </w:r>
                </w:p>
              </w:tc>
            </w:tr>
            <w:tr w14:paraId="203422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23" w:hRule="atLeast"/>
                <w:jc w:val="center"/>
              </w:trPr>
              <w:tc>
                <w:tcPr>
                  <w:tcW w:w="1632" w:type="pct"/>
                  <w:noWrap w:val="0"/>
                  <w:vAlign w:val="center"/>
                </w:tcPr>
                <w:p w14:paraId="4F59B657">
                  <w:pPr>
                    <w:jc w:val="center"/>
                    <w:rPr>
                      <w:bCs/>
                      <w:highlight w:val="none"/>
                    </w:rPr>
                  </w:pPr>
                  <w:r>
                    <w:rPr>
                      <w:bCs/>
                      <w:highlight w:val="none"/>
                    </w:rPr>
                    <w:t>北厂界</w:t>
                  </w:r>
                </w:p>
              </w:tc>
              <w:tc>
                <w:tcPr>
                  <w:tcW w:w="995" w:type="pct"/>
                  <w:tcBorders>
                    <w:right w:val="single" w:color="auto" w:sz="4" w:space="0"/>
                  </w:tcBorders>
                  <w:noWrap w:val="0"/>
                  <w:vAlign w:val="center"/>
                </w:tcPr>
                <w:p w14:paraId="53E3F629">
                  <w:pPr>
                    <w:jc w:val="center"/>
                    <w:rPr>
                      <w:rFonts w:hint="default" w:eastAsia="宋体"/>
                      <w:bCs/>
                      <w:highlight w:val="none"/>
                      <w:lang w:val="en-US" w:eastAsia="zh-CN"/>
                    </w:rPr>
                  </w:pPr>
                  <w:r>
                    <w:rPr>
                      <w:rFonts w:hint="eastAsia"/>
                      <w:bCs/>
                      <w:highlight w:val="none"/>
                      <w:lang w:val="en-US" w:eastAsia="zh-CN"/>
                    </w:rPr>
                    <w:t>48.2</w:t>
                  </w:r>
                </w:p>
              </w:tc>
              <w:tc>
                <w:tcPr>
                  <w:tcW w:w="1772" w:type="dxa"/>
                  <w:tcBorders>
                    <w:right w:val="single" w:color="auto" w:sz="4" w:space="0"/>
                  </w:tcBorders>
                  <w:noWrap w:val="0"/>
                  <w:vAlign w:val="center"/>
                </w:tcPr>
                <w:p w14:paraId="1EC82F5A">
                  <w:pPr>
                    <w:jc w:val="center"/>
                    <w:rPr>
                      <w:rFonts w:hint="default" w:eastAsia="宋体"/>
                      <w:bCs/>
                      <w:highlight w:val="none"/>
                      <w:lang w:val="en-US" w:eastAsia="zh-CN"/>
                    </w:rPr>
                  </w:pPr>
                  <w:r>
                    <w:rPr>
                      <w:rFonts w:hint="eastAsia"/>
                      <w:bCs/>
                      <w:highlight w:val="none"/>
                      <w:lang w:val="en-US" w:eastAsia="zh-CN"/>
                    </w:rPr>
                    <w:t>48.2</w:t>
                  </w:r>
                </w:p>
              </w:tc>
              <w:tc>
                <w:tcPr>
                  <w:tcW w:w="687" w:type="pct"/>
                  <w:noWrap w:val="0"/>
                  <w:vAlign w:val="center"/>
                </w:tcPr>
                <w:p w14:paraId="1FA16F3E">
                  <w:pPr>
                    <w:jc w:val="center"/>
                    <w:rPr>
                      <w:rFonts w:hint="default" w:eastAsia="宋体"/>
                      <w:bCs/>
                      <w:highlight w:val="none"/>
                      <w:lang w:val="en-US" w:eastAsia="zh-CN"/>
                    </w:rPr>
                  </w:pPr>
                  <w:r>
                    <w:rPr>
                      <w:rFonts w:hint="eastAsia"/>
                      <w:bCs/>
                      <w:highlight w:val="none"/>
                      <w:lang w:val="en-US" w:eastAsia="zh-CN"/>
                    </w:rPr>
                    <w:t>60</w:t>
                  </w:r>
                </w:p>
              </w:tc>
              <w:tc>
                <w:tcPr>
                  <w:tcW w:w="689" w:type="pct"/>
                  <w:noWrap w:val="0"/>
                  <w:vAlign w:val="center"/>
                </w:tcPr>
                <w:p w14:paraId="59EBC5A7">
                  <w:pPr>
                    <w:jc w:val="center"/>
                    <w:rPr>
                      <w:rFonts w:hint="default" w:eastAsia="宋体"/>
                      <w:bCs/>
                      <w:highlight w:val="none"/>
                      <w:lang w:val="en-US" w:eastAsia="zh-CN"/>
                    </w:rPr>
                  </w:pPr>
                  <w:r>
                    <w:rPr>
                      <w:rFonts w:hint="eastAsia"/>
                      <w:bCs/>
                      <w:highlight w:val="none"/>
                      <w:lang w:val="en-US" w:eastAsia="zh-CN"/>
                    </w:rPr>
                    <w:t>50</w:t>
                  </w:r>
                </w:p>
              </w:tc>
            </w:tr>
            <w:bookmarkEnd w:id="6"/>
          </w:tbl>
          <w:p w14:paraId="4D5753C7">
            <w:pPr>
              <w:widowControl/>
              <w:spacing w:line="360" w:lineRule="auto"/>
              <w:ind w:firstLine="480" w:firstLineChars="200"/>
              <w:jc w:val="left"/>
              <w:rPr>
                <w:rFonts w:hint="eastAsia" w:ascii="宋体" w:hAnsi="宋体" w:eastAsia="宋体" w:cs="宋体"/>
                <w:color w:val="000000"/>
                <w:kern w:val="0"/>
                <w:sz w:val="24"/>
                <w:highlight w:val="yellow"/>
                <w:lang w:val="en-US" w:eastAsia="zh-CN" w:bidi="ar"/>
              </w:rPr>
            </w:pPr>
            <w:r>
              <w:rPr>
                <w:rFonts w:hint="eastAsia" w:ascii="宋体" w:hAnsi="宋体" w:cs="宋体"/>
                <w:color w:val="000000"/>
                <w:kern w:val="0"/>
                <w:sz w:val="24"/>
                <w:lang w:bidi="ar"/>
              </w:rPr>
              <w:t>综上所述，本项目</w:t>
            </w:r>
            <w:r>
              <w:rPr>
                <w:rFonts w:hint="eastAsia" w:ascii="宋体" w:hAnsi="宋体" w:cs="宋体"/>
                <w:color w:val="000000"/>
                <w:kern w:val="0"/>
                <w:sz w:val="24"/>
                <w:lang w:val="en-US" w:eastAsia="zh-CN" w:bidi="ar"/>
              </w:rPr>
              <w:t>东、北</w:t>
            </w:r>
            <w:r>
              <w:rPr>
                <w:rFonts w:hint="eastAsia" w:ascii="宋体" w:hAnsi="宋体" w:cs="宋体"/>
                <w:color w:val="000000"/>
                <w:kern w:val="0"/>
                <w:sz w:val="24"/>
                <w:lang w:bidi="ar"/>
              </w:rPr>
              <w:t>厂界噪声能够满足《工业企业厂界环境噪声排放标准》</w:t>
            </w:r>
            <w:r>
              <w:rPr>
                <w:color w:val="000000"/>
                <w:kern w:val="0"/>
                <w:sz w:val="24"/>
                <w:lang w:bidi="ar"/>
              </w:rPr>
              <w:t>（GB1234</w:t>
            </w:r>
            <w:r>
              <w:rPr>
                <w:color w:val="000000"/>
                <w:kern w:val="0"/>
                <w:sz w:val="24"/>
                <w:highlight w:val="none"/>
                <w:lang w:bidi="ar"/>
              </w:rPr>
              <w:t>8-2008）中</w:t>
            </w:r>
            <w:r>
              <w:rPr>
                <w:rFonts w:hint="eastAsia"/>
                <w:color w:val="000000"/>
                <w:kern w:val="0"/>
                <w:sz w:val="24"/>
                <w:highlight w:val="none"/>
                <w:lang w:val="en-US" w:eastAsia="zh-CN" w:bidi="ar"/>
              </w:rPr>
              <w:t>2</w:t>
            </w:r>
            <w:r>
              <w:rPr>
                <w:color w:val="000000"/>
                <w:kern w:val="0"/>
                <w:sz w:val="24"/>
                <w:highlight w:val="none"/>
                <w:lang w:bidi="ar"/>
              </w:rPr>
              <w:t>类区标准要求</w:t>
            </w:r>
            <w:r>
              <w:rPr>
                <w:rFonts w:hint="eastAsia"/>
                <w:color w:val="000000"/>
                <w:kern w:val="0"/>
                <w:sz w:val="24"/>
                <w:highlight w:val="none"/>
                <w:lang w:eastAsia="zh-CN" w:bidi="ar"/>
              </w:rPr>
              <w:t>，</w:t>
            </w:r>
            <w:r>
              <w:rPr>
                <w:rFonts w:hint="eastAsia"/>
                <w:color w:val="000000"/>
                <w:kern w:val="0"/>
                <w:sz w:val="24"/>
                <w:highlight w:val="none"/>
                <w:lang w:val="en-US" w:eastAsia="zh-CN" w:bidi="ar"/>
              </w:rPr>
              <w:t>南、西</w:t>
            </w:r>
            <w:r>
              <w:rPr>
                <w:rFonts w:hint="eastAsia" w:ascii="宋体" w:hAnsi="宋体" w:cs="宋体"/>
                <w:color w:val="000000"/>
                <w:kern w:val="0"/>
                <w:sz w:val="24"/>
                <w:highlight w:val="none"/>
                <w:lang w:bidi="ar"/>
              </w:rPr>
              <w:t>厂界噪声能够满足《工业企业厂界环境噪声排放标准》</w:t>
            </w:r>
            <w:r>
              <w:rPr>
                <w:color w:val="000000"/>
                <w:kern w:val="0"/>
                <w:sz w:val="24"/>
                <w:highlight w:val="none"/>
                <w:lang w:bidi="ar"/>
              </w:rPr>
              <w:t>（GB12348-2008）中</w:t>
            </w:r>
            <w:r>
              <w:rPr>
                <w:rFonts w:hint="eastAsia"/>
                <w:color w:val="000000"/>
                <w:kern w:val="0"/>
                <w:sz w:val="24"/>
                <w:highlight w:val="none"/>
                <w:lang w:val="en-US" w:eastAsia="zh-CN" w:bidi="ar"/>
              </w:rPr>
              <w:t>1</w:t>
            </w:r>
            <w:r>
              <w:rPr>
                <w:color w:val="000000"/>
                <w:kern w:val="0"/>
                <w:sz w:val="24"/>
                <w:highlight w:val="none"/>
                <w:lang w:bidi="ar"/>
              </w:rPr>
              <w:t>类区标准要求</w:t>
            </w:r>
            <w:r>
              <w:rPr>
                <w:rFonts w:hint="eastAsia"/>
                <w:color w:val="000000"/>
                <w:kern w:val="0"/>
                <w:sz w:val="24"/>
                <w:highlight w:val="none"/>
                <w:lang w:eastAsia="zh-CN" w:bidi="ar"/>
              </w:rPr>
              <w:t>。</w:t>
            </w:r>
          </w:p>
          <w:p w14:paraId="7C5B4C57">
            <w:pPr>
              <w:jc w:val="center"/>
              <w:rPr>
                <w:b/>
                <w:szCs w:val="21"/>
                <w:highlight w:val="none"/>
              </w:rPr>
            </w:pPr>
            <w:r>
              <w:rPr>
                <w:rFonts w:hint="eastAsia"/>
                <w:b/>
                <w:szCs w:val="21"/>
                <w:highlight w:val="none"/>
              </w:rPr>
              <w:t>表4-</w:t>
            </w:r>
            <w:r>
              <w:rPr>
                <w:rFonts w:hint="eastAsia"/>
                <w:b/>
                <w:szCs w:val="21"/>
                <w:highlight w:val="none"/>
                <w:lang w:val="en-US" w:eastAsia="zh-CN"/>
              </w:rPr>
              <w:t>11</w:t>
            </w:r>
            <w:r>
              <w:rPr>
                <w:b/>
                <w:szCs w:val="21"/>
                <w:highlight w:val="none"/>
              </w:rPr>
              <w:t xml:space="preserve"> 建设项目</w:t>
            </w:r>
            <w:r>
              <w:rPr>
                <w:rFonts w:hint="eastAsia"/>
                <w:b/>
                <w:szCs w:val="21"/>
                <w:highlight w:val="none"/>
                <w:lang w:eastAsia="zh-CN"/>
              </w:rPr>
              <w:t>敏感点</w:t>
            </w:r>
            <w:r>
              <w:rPr>
                <w:b/>
                <w:szCs w:val="21"/>
                <w:highlight w:val="none"/>
              </w:rPr>
              <w:t>噪声预测结果    单位：dB（A）</w:t>
            </w:r>
          </w:p>
          <w:tbl>
            <w:tblPr>
              <w:tblStyle w:val="14"/>
              <w:tblW w:w="4990" w:type="pct"/>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
            <w:tblGrid>
              <w:gridCol w:w="1214"/>
              <w:gridCol w:w="736"/>
              <w:gridCol w:w="893"/>
              <w:gridCol w:w="885"/>
              <w:gridCol w:w="893"/>
              <w:gridCol w:w="889"/>
              <w:gridCol w:w="889"/>
              <w:gridCol w:w="885"/>
              <w:gridCol w:w="901"/>
            </w:tblGrid>
            <w:tr w14:paraId="65EAA3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368" w:hRule="atLeast"/>
                <w:jc w:val="center"/>
              </w:trPr>
              <w:tc>
                <w:tcPr>
                  <w:tcW w:w="741" w:type="pct"/>
                  <w:vMerge w:val="restart"/>
                  <w:noWrap w:val="0"/>
                  <w:vAlign w:val="center"/>
                </w:tcPr>
                <w:p w14:paraId="6838B636">
                  <w:pPr>
                    <w:jc w:val="center"/>
                    <w:rPr>
                      <w:bCs/>
                      <w:highlight w:val="none"/>
                    </w:rPr>
                  </w:pPr>
                  <w:r>
                    <w:rPr>
                      <w:bCs/>
                      <w:highlight w:val="none"/>
                    </w:rPr>
                    <w:t>预测点</w:t>
                  </w:r>
                </w:p>
              </w:tc>
              <w:tc>
                <w:tcPr>
                  <w:tcW w:w="995" w:type="pct"/>
                  <w:gridSpan w:val="2"/>
                  <w:noWrap w:val="0"/>
                  <w:vAlign w:val="center"/>
                </w:tcPr>
                <w:p w14:paraId="047CB785">
                  <w:pPr>
                    <w:jc w:val="center"/>
                    <w:rPr>
                      <w:rFonts w:hint="eastAsia" w:eastAsia="宋体"/>
                      <w:bCs/>
                      <w:highlight w:val="none"/>
                      <w:lang w:eastAsia="zh-CN"/>
                    </w:rPr>
                  </w:pPr>
                  <w:r>
                    <w:rPr>
                      <w:rFonts w:hint="eastAsia"/>
                      <w:bCs/>
                      <w:highlight w:val="none"/>
                      <w:lang w:eastAsia="zh-CN"/>
                    </w:rPr>
                    <w:t>背景值</w:t>
                  </w:r>
                </w:p>
              </w:tc>
              <w:tc>
                <w:tcPr>
                  <w:tcW w:w="1086" w:type="pct"/>
                  <w:gridSpan w:val="2"/>
                  <w:noWrap w:val="0"/>
                  <w:vAlign w:val="center"/>
                </w:tcPr>
                <w:p w14:paraId="0225428B">
                  <w:pPr>
                    <w:jc w:val="center"/>
                    <w:rPr>
                      <w:bCs/>
                      <w:highlight w:val="none"/>
                    </w:rPr>
                  </w:pPr>
                  <w:r>
                    <w:rPr>
                      <w:rFonts w:hint="eastAsia"/>
                      <w:bCs/>
                      <w:highlight w:val="none"/>
                    </w:rPr>
                    <w:t>贡献值</w:t>
                  </w:r>
                </w:p>
              </w:tc>
              <w:tc>
                <w:tcPr>
                  <w:tcW w:w="1086" w:type="pct"/>
                  <w:gridSpan w:val="2"/>
                  <w:noWrap w:val="0"/>
                  <w:vAlign w:val="center"/>
                </w:tcPr>
                <w:p w14:paraId="4F8932D1">
                  <w:pPr>
                    <w:jc w:val="center"/>
                    <w:rPr>
                      <w:rFonts w:hint="eastAsia" w:eastAsia="宋体"/>
                      <w:bCs/>
                      <w:highlight w:val="none"/>
                      <w:lang w:eastAsia="zh-CN"/>
                    </w:rPr>
                  </w:pPr>
                  <w:r>
                    <w:rPr>
                      <w:rFonts w:hint="eastAsia"/>
                      <w:bCs/>
                      <w:highlight w:val="none"/>
                      <w:lang w:eastAsia="zh-CN"/>
                    </w:rPr>
                    <w:t>预测值</w:t>
                  </w:r>
                </w:p>
              </w:tc>
              <w:tc>
                <w:tcPr>
                  <w:tcW w:w="1091" w:type="pct"/>
                  <w:gridSpan w:val="2"/>
                  <w:noWrap w:val="0"/>
                  <w:vAlign w:val="center"/>
                </w:tcPr>
                <w:p w14:paraId="27C2D86B">
                  <w:pPr>
                    <w:jc w:val="center"/>
                    <w:rPr>
                      <w:bCs/>
                      <w:highlight w:val="none"/>
                    </w:rPr>
                  </w:pPr>
                  <w:r>
                    <w:rPr>
                      <w:bCs/>
                      <w:highlight w:val="none"/>
                    </w:rPr>
                    <w:t>标准值</w:t>
                  </w:r>
                </w:p>
              </w:tc>
            </w:tr>
            <w:tr w14:paraId="382169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368" w:hRule="atLeast"/>
                <w:jc w:val="center"/>
              </w:trPr>
              <w:tc>
                <w:tcPr>
                  <w:tcW w:w="741" w:type="pct"/>
                  <w:vMerge w:val="continue"/>
                  <w:noWrap w:val="0"/>
                  <w:vAlign w:val="center"/>
                </w:tcPr>
                <w:p w14:paraId="1DBDA083">
                  <w:pPr>
                    <w:jc w:val="center"/>
                    <w:rPr>
                      <w:bCs/>
                      <w:highlight w:val="none"/>
                    </w:rPr>
                  </w:pPr>
                </w:p>
              </w:tc>
              <w:tc>
                <w:tcPr>
                  <w:tcW w:w="449" w:type="pct"/>
                  <w:noWrap w:val="0"/>
                  <w:vAlign w:val="center"/>
                </w:tcPr>
                <w:p w14:paraId="2EC9D44D">
                  <w:pPr>
                    <w:jc w:val="center"/>
                    <w:rPr>
                      <w:rFonts w:hint="eastAsia"/>
                      <w:bCs/>
                      <w:highlight w:val="none"/>
                    </w:rPr>
                  </w:pPr>
                  <w:r>
                    <w:rPr>
                      <w:rFonts w:hint="eastAsia"/>
                      <w:bCs/>
                      <w:highlight w:val="none"/>
                    </w:rPr>
                    <w:t>昼间</w:t>
                  </w:r>
                </w:p>
              </w:tc>
              <w:tc>
                <w:tcPr>
                  <w:tcW w:w="545" w:type="pct"/>
                  <w:noWrap w:val="0"/>
                  <w:vAlign w:val="center"/>
                </w:tcPr>
                <w:p w14:paraId="70E125E3">
                  <w:pPr>
                    <w:jc w:val="center"/>
                    <w:rPr>
                      <w:rFonts w:hint="eastAsia"/>
                      <w:bCs/>
                      <w:highlight w:val="none"/>
                    </w:rPr>
                  </w:pPr>
                  <w:r>
                    <w:rPr>
                      <w:rFonts w:hint="eastAsia"/>
                      <w:bCs/>
                      <w:highlight w:val="none"/>
                    </w:rPr>
                    <w:t>夜间</w:t>
                  </w:r>
                </w:p>
              </w:tc>
              <w:tc>
                <w:tcPr>
                  <w:tcW w:w="540" w:type="pct"/>
                  <w:noWrap w:val="0"/>
                  <w:vAlign w:val="center"/>
                </w:tcPr>
                <w:p w14:paraId="274B2DA5">
                  <w:pPr>
                    <w:jc w:val="center"/>
                    <w:rPr>
                      <w:bCs/>
                      <w:highlight w:val="none"/>
                    </w:rPr>
                  </w:pPr>
                  <w:r>
                    <w:rPr>
                      <w:rFonts w:hint="eastAsia"/>
                      <w:bCs/>
                      <w:highlight w:val="none"/>
                    </w:rPr>
                    <w:t>昼间</w:t>
                  </w:r>
                </w:p>
              </w:tc>
              <w:tc>
                <w:tcPr>
                  <w:tcW w:w="545" w:type="pct"/>
                  <w:noWrap w:val="0"/>
                  <w:vAlign w:val="center"/>
                </w:tcPr>
                <w:p w14:paraId="1CA000F9">
                  <w:pPr>
                    <w:jc w:val="center"/>
                    <w:rPr>
                      <w:rFonts w:hint="eastAsia"/>
                      <w:bCs/>
                      <w:highlight w:val="none"/>
                    </w:rPr>
                  </w:pPr>
                  <w:r>
                    <w:rPr>
                      <w:rFonts w:hint="eastAsia"/>
                      <w:bCs/>
                      <w:highlight w:val="none"/>
                    </w:rPr>
                    <w:t>夜间</w:t>
                  </w:r>
                </w:p>
              </w:tc>
              <w:tc>
                <w:tcPr>
                  <w:tcW w:w="543" w:type="pct"/>
                  <w:noWrap w:val="0"/>
                  <w:vAlign w:val="center"/>
                </w:tcPr>
                <w:p w14:paraId="78C23D23">
                  <w:pPr>
                    <w:jc w:val="center"/>
                    <w:rPr>
                      <w:rFonts w:hint="eastAsia"/>
                      <w:bCs/>
                      <w:highlight w:val="none"/>
                    </w:rPr>
                  </w:pPr>
                  <w:r>
                    <w:rPr>
                      <w:rFonts w:hint="eastAsia"/>
                      <w:bCs/>
                      <w:highlight w:val="none"/>
                    </w:rPr>
                    <w:t>昼间</w:t>
                  </w:r>
                </w:p>
              </w:tc>
              <w:tc>
                <w:tcPr>
                  <w:tcW w:w="543" w:type="pct"/>
                  <w:noWrap w:val="0"/>
                  <w:vAlign w:val="center"/>
                </w:tcPr>
                <w:p w14:paraId="1C7048FF">
                  <w:pPr>
                    <w:jc w:val="center"/>
                    <w:rPr>
                      <w:rFonts w:hint="eastAsia"/>
                      <w:bCs/>
                      <w:highlight w:val="none"/>
                    </w:rPr>
                  </w:pPr>
                  <w:r>
                    <w:rPr>
                      <w:rFonts w:hint="eastAsia"/>
                      <w:bCs/>
                      <w:highlight w:val="none"/>
                    </w:rPr>
                    <w:t>夜间</w:t>
                  </w:r>
                </w:p>
              </w:tc>
              <w:tc>
                <w:tcPr>
                  <w:tcW w:w="540" w:type="pct"/>
                  <w:noWrap w:val="0"/>
                  <w:vAlign w:val="center"/>
                </w:tcPr>
                <w:p w14:paraId="05E71DA2">
                  <w:pPr>
                    <w:jc w:val="center"/>
                    <w:rPr>
                      <w:bCs/>
                      <w:highlight w:val="none"/>
                    </w:rPr>
                  </w:pPr>
                  <w:r>
                    <w:rPr>
                      <w:rFonts w:hint="eastAsia"/>
                      <w:bCs/>
                      <w:highlight w:val="none"/>
                    </w:rPr>
                    <w:t>昼间</w:t>
                  </w:r>
                </w:p>
              </w:tc>
              <w:tc>
                <w:tcPr>
                  <w:tcW w:w="550" w:type="pct"/>
                  <w:noWrap w:val="0"/>
                  <w:vAlign w:val="center"/>
                </w:tcPr>
                <w:p w14:paraId="520AACC7">
                  <w:pPr>
                    <w:jc w:val="center"/>
                    <w:rPr>
                      <w:bCs/>
                      <w:highlight w:val="none"/>
                    </w:rPr>
                  </w:pPr>
                  <w:r>
                    <w:rPr>
                      <w:rFonts w:hint="eastAsia"/>
                      <w:bCs/>
                      <w:highlight w:val="none"/>
                    </w:rPr>
                    <w:t>夜间</w:t>
                  </w:r>
                </w:p>
              </w:tc>
            </w:tr>
            <w:tr w14:paraId="3F1579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23" w:hRule="atLeast"/>
                <w:jc w:val="center"/>
              </w:trPr>
              <w:tc>
                <w:tcPr>
                  <w:tcW w:w="741" w:type="pct"/>
                  <w:noWrap w:val="0"/>
                  <w:vAlign w:val="center"/>
                </w:tcPr>
                <w:p w14:paraId="33CCECF4">
                  <w:pPr>
                    <w:jc w:val="center"/>
                    <w:rPr>
                      <w:rFonts w:hint="default"/>
                      <w:bCs/>
                      <w:color w:val="auto"/>
                      <w:highlight w:val="none"/>
                      <w:lang w:val="en-US" w:eastAsia="zh-CN"/>
                    </w:rPr>
                  </w:pPr>
                  <w:r>
                    <w:rPr>
                      <w:rFonts w:hint="eastAsia"/>
                      <w:bCs/>
                      <w:color w:val="auto"/>
                      <w:highlight w:val="none"/>
                      <w:lang w:eastAsia="zh-CN"/>
                    </w:rPr>
                    <w:t>康馨苑小区</w:t>
                  </w:r>
                </w:p>
              </w:tc>
              <w:tc>
                <w:tcPr>
                  <w:tcW w:w="736" w:type="dxa"/>
                  <w:tcBorders>
                    <w:right w:val="single" w:color="auto" w:sz="4" w:space="0"/>
                  </w:tcBorders>
                  <w:noWrap w:val="0"/>
                  <w:vAlign w:val="center"/>
                </w:tcPr>
                <w:p w14:paraId="2DDF6EC6">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bCs/>
                      <w:color w:val="auto"/>
                      <w:highlight w:val="none"/>
                      <w:lang w:val="en-US" w:eastAsia="zh-CN"/>
                    </w:rPr>
                  </w:pPr>
                  <w:r>
                    <w:rPr>
                      <w:rFonts w:hint="eastAsia" w:ascii="Times New Roman" w:hAnsi="Times New Roman" w:cs="Times New Roman"/>
                      <w:color w:val="auto"/>
                      <w:sz w:val="21"/>
                      <w:szCs w:val="21"/>
                      <w:vertAlign w:val="baseline"/>
                      <w:lang w:val="en-US" w:eastAsia="zh-CN"/>
                    </w:rPr>
                    <w:t>52.4</w:t>
                  </w:r>
                </w:p>
              </w:tc>
              <w:tc>
                <w:tcPr>
                  <w:tcW w:w="893" w:type="dxa"/>
                  <w:tcBorders>
                    <w:right w:val="single" w:color="auto" w:sz="4" w:space="0"/>
                  </w:tcBorders>
                  <w:noWrap w:val="0"/>
                  <w:vAlign w:val="center"/>
                </w:tcPr>
                <w:p w14:paraId="3E3D2E93">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bCs/>
                      <w:color w:val="auto"/>
                      <w:highlight w:val="none"/>
                      <w:lang w:val="en-US" w:eastAsia="zh-CN"/>
                    </w:rPr>
                  </w:pPr>
                  <w:r>
                    <w:rPr>
                      <w:rFonts w:hint="eastAsia" w:ascii="Times New Roman" w:hAnsi="Times New Roman" w:cs="Times New Roman"/>
                      <w:color w:val="auto"/>
                      <w:sz w:val="21"/>
                      <w:szCs w:val="21"/>
                      <w:vertAlign w:val="baseline"/>
                      <w:lang w:val="en-US" w:eastAsia="zh-CN"/>
                    </w:rPr>
                    <w:t>41.6</w:t>
                  </w:r>
                </w:p>
              </w:tc>
              <w:tc>
                <w:tcPr>
                  <w:tcW w:w="885" w:type="dxa"/>
                  <w:tcBorders>
                    <w:right w:val="single" w:color="auto" w:sz="4" w:space="0"/>
                  </w:tcBorders>
                  <w:noWrap w:val="0"/>
                  <w:vAlign w:val="center"/>
                </w:tcPr>
                <w:p w14:paraId="3F7A752E">
                  <w:pPr>
                    <w:jc w:val="center"/>
                    <w:rPr>
                      <w:rFonts w:hint="default"/>
                      <w:bCs/>
                      <w:color w:val="auto"/>
                      <w:highlight w:val="none"/>
                      <w:lang w:val="en-US" w:eastAsia="zh-CN"/>
                    </w:rPr>
                  </w:pPr>
                  <w:r>
                    <w:rPr>
                      <w:rFonts w:hint="eastAsia"/>
                      <w:bCs/>
                      <w:color w:val="auto"/>
                      <w:highlight w:val="none"/>
                      <w:lang w:val="en-US" w:eastAsia="zh-CN"/>
                    </w:rPr>
                    <w:t>37.0</w:t>
                  </w:r>
                </w:p>
              </w:tc>
              <w:tc>
                <w:tcPr>
                  <w:tcW w:w="893" w:type="dxa"/>
                  <w:tcBorders>
                    <w:right w:val="single" w:color="auto" w:sz="4" w:space="0"/>
                  </w:tcBorders>
                  <w:noWrap w:val="0"/>
                  <w:vAlign w:val="center"/>
                </w:tcPr>
                <w:p w14:paraId="37B45D02">
                  <w:pPr>
                    <w:jc w:val="center"/>
                    <w:rPr>
                      <w:rFonts w:hint="default"/>
                      <w:bCs/>
                      <w:color w:val="auto"/>
                      <w:highlight w:val="none"/>
                      <w:lang w:val="en-US" w:eastAsia="zh-CN"/>
                    </w:rPr>
                  </w:pPr>
                  <w:r>
                    <w:rPr>
                      <w:rFonts w:hint="eastAsia"/>
                      <w:bCs/>
                      <w:color w:val="auto"/>
                      <w:highlight w:val="none"/>
                      <w:lang w:val="en-US" w:eastAsia="zh-CN"/>
                    </w:rPr>
                    <w:t>37.0</w:t>
                  </w:r>
                </w:p>
              </w:tc>
              <w:tc>
                <w:tcPr>
                  <w:tcW w:w="543" w:type="pct"/>
                  <w:noWrap w:val="0"/>
                  <w:vAlign w:val="center"/>
                </w:tcPr>
                <w:p w14:paraId="1DE644D0">
                  <w:pPr>
                    <w:jc w:val="center"/>
                    <w:rPr>
                      <w:rFonts w:hint="default"/>
                      <w:bCs/>
                      <w:color w:val="auto"/>
                      <w:highlight w:val="none"/>
                      <w:lang w:val="en-US" w:eastAsia="zh-CN"/>
                    </w:rPr>
                  </w:pPr>
                  <w:r>
                    <w:rPr>
                      <w:rFonts w:hint="eastAsia"/>
                      <w:bCs/>
                      <w:color w:val="auto"/>
                      <w:highlight w:val="none"/>
                      <w:lang w:val="en-US" w:eastAsia="zh-CN"/>
                    </w:rPr>
                    <w:t>52.5</w:t>
                  </w:r>
                </w:p>
              </w:tc>
              <w:tc>
                <w:tcPr>
                  <w:tcW w:w="543" w:type="pct"/>
                  <w:noWrap w:val="0"/>
                  <w:vAlign w:val="center"/>
                </w:tcPr>
                <w:p w14:paraId="63B9E3FE">
                  <w:pPr>
                    <w:jc w:val="center"/>
                    <w:rPr>
                      <w:rFonts w:hint="default"/>
                      <w:bCs/>
                      <w:color w:val="auto"/>
                      <w:highlight w:val="none"/>
                      <w:lang w:val="en-US" w:eastAsia="zh-CN"/>
                    </w:rPr>
                  </w:pPr>
                  <w:r>
                    <w:rPr>
                      <w:rFonts w:hint="eastAsia"/>
                      <w:bCs/>
                      <w:color w:val="auto"/>
                      <w:highlight w:val="none"/>
                      <w:lang w:val="en-US" w:eastAsia="zh-CN"/>
                    </w:rPr>
                    <w:t>42.9</w:t>
                  </w:r>
                </w:p>
              </w:tc>
              <w:tc>
                <w:tcPr>
                  <w:tcW w:w="540" w:type="pct"/>
                  <w:noWrap w:val="0"/>
                  <w:vAlign w:val="center"/>
                </w:tcPr>
                <w:p w14:paraId="26EB4CFE">
                  <w:pPr>
                    <w:jc w:val="center"/>
                    <w:rPr>
                      <w:rFonts w:hint="default"/>
                      <w:bCs/>
                      <w:color w:val="auto"/>
                      <w:highlight w:val="none"/>
                      <w:lang w:val="en-US" w:eastAsia="zh-CN"/>
                    </w:rPr>
                  </w:pPr>
                  <w:r>
                    <w:rPr>
                      <w:rFonts w:hint="eastAsia"/>
                      <w:bCs/>
                      <w:color w:val="auto"/>
                      <w:highlight w:val="none"/>
                      <w:lang w:val="en-US" w:eastAsia="zh-CN"/>
                    </w:rPr>
                    <w:t>55</w:t>
                  </w:r>
                </w:p>
              </w:tc>
              <w:tc>
                <w:tcPr>
                  <w:tcW w:w="550" w:type="pct"/>
                  <w:noWrap w:val="0"/>
                  <w:vAlign w:val="center"/>
                </w:tcPr>
                <w:p w14:paraId="69159AD1">
                  <w:pPr>
                    <w:jc w:val="center"/>
                    <w:rPr>
                      <w:rFonts w:hint="default"/>
                      <w:bCs/>
                      <w:color w:val="auto"/>
                      <w:highlight w:val="none"/>
                      <w:lang w:val="en-US" w:eastAsia="zh-CN"/>
                    </w:rPr>
                  </w:pPr>
                  <w:r>
                    <w:rPr>
                      <w:rFonts w:hint="eastAsia"/>
                      <w:bCs/>
                      <w:color w:val="auto"/>
                      <w:highlight w:val="none"/>
                      <w:lang w:val="en-US" w:eastAsia="zh-CN"/>
                    </w:rPr>
                    <w:t>45</w:t>
                  </w:r>
                </w:p>
              </w:tc>
            </w:tr>
            <w:tr w14:paraId="360900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23" w:hRule="atLeast"/>
                <w:jc w:val="center"/>
              </w:trPr>
              <w:tc>
                <w:tcPr>
                  <w:tcW w:w="741" w:type="pct"/>
                  <w:noWrap w:val="0"/>
                  <w:vAlign w:val="center"/>
                </w:tcPr>
                <w:p w14:paraId="5F1ECDCB">
                  <w:pPr>
                    <w:jc w:val="center"/>
                    <w:rPr>
                      <w:rFonts w:hint="default" w:eastAsia="宋体"/>
                      <w:bCs/>
                      <w:color w:val="auto"/>
                      <w:highlight w:val="none"/>
                      <w:lang w:val="en-US" w:eastAsia="zh-CN"/>
                    </w:rPr>
                  </w:pPr>
                  <w:r>
                    <w:rPr>
                      <w:rFonts w:hint="eastAsia"/>
                      <w:bCs/>
                      <w:color w:val="auto"/>
                      <w:highlight w:val="none"/>
                      <w:lang w:eastAsia="zh-CN"/>
                    </w:rPr>
                    <w:t>潘三新村小区</w:t>
                  </w:r>
                </w:p>
              </w:tc>
              <w:tc>
                <w:tcPr>
                  <w:tcW w:w="736" w:type="dxa"/>
                  <w:tcBorders>
                    <w:right w:val="single" w:color="auto" w:sz="4" w:space="0"/>
                  </w:tcBorders>
                  <w:noWrap w:val="0"/>
                  <w:vAlign w:val="center"/>
                </w:tcPr>
                <w:p w14:paraId="0348A53F">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bCs/>
                      <w:color w:val="auto"/>
                      <w:highlight w:val="none"/>
                      <w:lang w:val="en-US" w:eastAsia="zh-CN"/>
                    </w:rPr>
                  </w:pPr>
                  <w:r>
                    <w:rPr>
                      <w:rFonts w:hint="eastAsia" w:ascii="Times New Roman" w:hAnsi="Times New Roman" w:cs="Times New Roman"/>
                      <w:color w:val="auto"/>
                      <w:sz w:val="21"/>
                      <w:szCs w:val="21"/>
                      <w:vertAlign w:val="baseline"/>
                      <w:lang w:val="en-US" w:eastAsia="zh-CN"/>
                    </w:rPr>
                    <w:t>51.4</w:t>
                  </w:r>
                </w:p>
              </w:tc>
              <w:tc>
                <w:tcPr>
                  <w:tcW w:w="893" w:type="dxa"/>
                  <w:tcBorders>
                    <w:right w:val="single" w:color="auto" w:sz="4" w:space="0"/>
                  </w:tcBorders>
                  <w:noWrap w:val="0"/>
                  <w:vAlign w:val="center"/>
                </w:tcPr>
                <w:p w14:paraId="5ECA1866">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bCs/>
                      <w:color w:val="auto"/>
                      <w:highlight w:val="none"/>
                      <w:lang w:val="en-US" w:eastAsia="zh-CN"/>
                    </w:rPr>
                  </w:pPr>
                  <w:r>
                    <w:rPr>
                      <w:rFonts w:hint="eastAsia" w:ascii="Times New Roman" w:hAnsi="Times New Roman" w:cs="Times New Roman"/>
                      <w:color w:val="auto"/>
                      <w:sz w:val="21"/>
                      <w:szCs w:val="21"/>
                      <w:vertAlign w:val="baseline"/>
                      <w:lang w:val="en-US" w:eastAsia="zh-CN"/>
                    </w:rPr>
                    <w:t>43.3</w:t>
                  </w:r>
                </w:p>
              </w:tc>
              <w:tc>
                <w:tcPr>
                  <w:tcW w:w="885" w:type="dxa"/>
                  <w:tcBorders>
                    <w:right w:val="single" w:color="auto" w:sz="4" w:space="0"/>
                  </w:tcBorders>
                  <w:noWrap w:val="0"/>
                  <w:vAlign w:val="center"/>
                </w:tcPr>
                <w:p w14:paraId="3B0953F8">
                  <w:pPr>
                    <w:jc w:val="center"/>
                    <w:rPr>
                      <w:rFonts w:hint="default"/>
                      <w:bCs/>
                      <w:color w:val="auto"/>
                      <w:highlight w:val="none"/>
                      <w:lang w:val="en-US" w:eastAsia="zh-CN"/>
                    </w:rPr>
                  </w:pPr>
                  <w:r>
                    <w:rPr>
                      <w:rFonts w:hint="eastAsia"/>
                      <w:bCs/>
                      <w:color w:val="auto"/>
                      <w:highlight w:val="none"/>
                      <w:lang w:val="en-US" w:eastAsia="zh-CN"/>
                    </w:rPr>
                    <w:t>40.9</w:t>
                  </w:r>
                </w:p>
              </w:tc>
              <w:tc>
                <w:tcPr>
                  <w:tcW w:w="893" w:type="dxa"/>
                  <w:tcBorders>
                    <w:right w:val="single" w:color="auto" w:sz="4" w:space="0"/>
                  </w:tcBorders>
                  <w:noWrap w:val="0"/>
                  <w:vAlign w:val="center"/>
                </w:tcPr>
                <w:p w14:paraId="4A2206C8">
                  <w:pPr>
                    <w:jc w:val="center"/>
                    <w:rPr>
                      <w:rFonts w:hint="default"/>
                      <w:bCs/>
                      <w:color w:val="auto"/>
                      <w:highlight w:val="none"/>
                      <w:lang w:val="en-US" w:eastAsia="zh-CN"/>
                    </w:rPr>
                  </w:pPr>
                  <w:r>
                    <w:rPr>
                      <w:rFonts w:hint="eastAsia"/>
                      <w:bCs/>
                      <w:color w:val="auto"/>
                      <w:highlight w:val="none"/>
                      <w:lang w:val="en-US" w:eastAsia="zh-CN"/>
                    </w:rPr>
                    <w:t>40.9</w:t>
                  </w:r>
                </w:p>
              </w:tc>
              <w:tc>
                <w:tcPr>
                  <w:tcW w:w="543" w:type="pct"/>
                  <w:noWrap w:val="0"/>
                  <w:vAlign w:val="center"/>
                </w:tcPr>
                <w:p w14:paraId="376B106F">
                  <w:pPr>
                    <w:jc w:val="center"/>
                    <w:rPr>
                      <w:rFonts w:hint="default"/>
                      <w:bCs/>
                      <w:color w:val="auto"/>
                      <w:highlight w:val="none"/>
                      <w:lang w:val="en-US" w:eastAsia="zh-CN"/>
                    </w:rPr>
                  </w:pPr>
                  <w:r>
                    <w:rPr>
                      <w:rFonts w:hint="eastAsia"/>
                      <w:bCs/>
                      <w:color w:val="auto"/>
                      <w:highlight w:val="none"/>
                      <w:lang w:val="en-US" w:eastAsia="zh-CN"/>
                    </w:rPr>
                    <w:t>51.8</w:t>
                  </w:r>
                </w:p>
              </w:tc>
              <w:tc>
                <w:tcPr>
                  <w:tcW w:w="543" w:type="pct"/>
                  <w:noWrap w:val="0"/>
                  <w:vAlign w:val="center"/>
                </w:tcPr>
                <w:p w14:paraId="5CC37DE3">
                  <w:pPr>
                    <w:jc w:val="center"/>
                    <w:rPr>
                      <w:rFonts w:hint="default"/>
                      <w:bCs/>
                      <w:color w:val="auto"/>
                      <w:highlight w:val="none"/>
                      <w:lang w:val="en-US" w:eastAsia="zh-CN"/>
                    </w:rPr>
                  </w:pPr>
                  <w:r>
                    <w:rPr>
                      <w:rFonts w:hint="eastAsia"/>
                      <w:bCs/>
                      <w:color w:val="auto"/>
                      <w:highlight w:val="none"/>
                      <w:lang w:val="en-US" w:eastAsia="zh-CN"/>
                    </w:rPr>
                    <w:t>45.3</w:t>
                  </w:r>
                </w:p>
              </w:tc>
              <w:tc>
                <w:tcPr>
                  <w:tcW w:w="885" w:type="dxa"/>
                  <w:noWrap w:val="0"/>
                  <w:vAlign w:val="center"/>
                </w:tcPr>
                <w:p w14:paraId="3E91544F">
                  <w:pPr>
                    <w:jc w:val="center"/>
                    <w:rPr>
                      <w:rFonts w:hint="default"/>
                      <w:bCs/>
                      <w:color w:val="auto"/>
                      <w:highlight w:val="none"/>
                      <w:lang w:val="en-US" w:eastAsia="zh-CN"/>
                    </w:rPr>
                  </w:pPr>
                  <w:r>
                    <w:rPr>
                      <w:rFonts w:hint="eastAsia"/>
                      <w:bCs/>
                      <w:color w:val="auto"/>
                      <w:highlight w:val="none"/>
                      <w:lang w:val="en-US" w:eastAsia="zh-CN"/>
                    </w:rPr>
                    <w:t>55</w:t>
                  </w:r>
                </w:p>
              </w:tc>
              <w:tc>
                <w:tcPr>
                  <w:tcW w:w="901" w:type="dxa"/>
                  <w:noWrap w:val="0"/>
                  <w:vAlign w:val="center"/>
                </w:tcPr>
                <w:p w14:paraId="462C1356">
                  <w:pPr>
                    <w:jc w:val="center"/>
                    <w:rPr>
                      <w:rFonts w:hint="default"/>
                      <w:bCs/>
                      <w:color w:val="auto"/>
                      <w:highlight w:val="none"/>
                      <w:lang w:val="en-US" w:eastAsia="zh-CN"/>
                    </w:rPr>
                  </w:pPr>
                  <w:r>
                    <w:rPr>
                      <w:rFonts w:hint="eastAsia"/>
                      <w:bCs/>
                      <w:color w:val="auto"/>
                      <w:highlight w:val="none"/>
                      <w:lang w:val="en-US" w:eastAsia="zh-CN"/>
                    </w:rPr>
                    <w:t>45</w:t>
                  </w:r>
                </w:p>
              </w:tc>
            </w:tr>
            <w:tr w14:paraId="25D728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23" w:hRule="atLeast"/>
                <w:jc w:val="center"/>
              </w:trPr>
              <w:tc>
                <w:tcPr>
                  <w:tcW w:w="741" w:type="pct"/>
                  <w:noWrap w:val="0"/>
                  <w:vAlign w:val="center"/>
                </w:tcPr>
                <w:p w14:paraId="22BF4D66">
                  <w:pPr>
                    <w:jc w:val="center"/>
                    <w:rPr>
                      <w:rFonts w:hint="eastAsia"/>
                      <w:bCs/>
                      <w:color w:val="auto"/>
                      <w:highlight w:val="none"/>
                      <w:lang w:eastAsia="zh-CN"/>
                    </w:rPr>
                  </w:pPr>
                  <w:r>
                    <w:rPr>
                      <w:rFonts w:hint="eastAsia"/>
                      <w:bCs/>
                      <w:color w:val="auto"/>
                      <w:highlight w:val="none"/>
                      <w:lang w:eastAsia="zh-CN"/>
                    </w:rPr>
                    <w:t>医院东侧商铺</w:t>
                  </w:r>
                </w:p>
              </w:tc>
              <w:tc>
                <w:tcPr>
                  <w:tcW w:w="736" w:type="dxa"/>
                  <w:tcBorders>
                    <w:right w:val="single" w:color="auto" w:sz="4" w:space="0"/>
                  </w:tcBorders>
                  <w:noWrap w:val="0"/>
                  <w:vAlign w:val="center"/>
                </w:tcPr>
                <w:p w14:paraId="07BFFBBA">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bCs/>
                      <w:color w:val="auto"/>
                      <w:highlight w:val="none"/>
                      <w:lang w:val="en-US" w:eastAsia="zh-CN"/>
                    </w:rPr>
                  </w:pPr>
                  <w:r>
                    <w:rPr>
                      <w:rFonts w:hint="eastAsia" w:ascii="Times New Roman" w:hAnsi="Times New Roman" w:cs="Times New Roman"/>
                      <w:color w:val="auto"/>
                      <w:sz w:val="21"/>
                      <w:szCs w:val="21"/>
                      <w:vertAlign w:val="baseline"/>
                      <w:lang w:val="en-US" w:eastAsia="zh-CN"/>
                    </w:rPr>
                    <w:t>48.0</w:t>
                  </w:r>
                </w:p>
              </w:tc>
              <w:tc>
                <w:tcPr>
                  <w:tcW w:w="893" w:type="dxa"/>
                  <w:tcBorders>
                    <w:right w:val="single" w:color="auto" w:sz="4" w:space="0"/>
                  </w:tcBorders>
                  <w:noWrap w:val="0"/>
                  <w:vAlign w:val="center"/>
                </w:tcPr>
                <w:p w14:paraId="0F001684">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bCs/>
                      <w:color w:val="auto"/>
                      <w:highlight w:val="none"/>
                      <w:lang w:val="en-US" w:eastAsia="zh-CN"/>
                    </w:rPr>
                  </w:pPr>
                  <w:r>
                    <w:rPr>
                      <w:rFonts w:hint="eastAsia" w:ascii="Times New Roman" w:hAnsi="Times New Roman" w:cs="Times New Roman"/>
                      <w:color w:val="auto"/>
                      <w:sz w:val="21"/>
                      <w:szCs w:val="21"/>
                      <w:vertAlign w:val="baseline"/>
                      <w:lang w:val="en-US" w:eastAsia="zh-CN"/>
                    </w:rPr>
                    <w:t>44.6</w:t>
                  </w:r>
                </w:p>
              </w:tc>
              <w:tc>
                <w:tcPr>
                  <w:tcW w:w="885" w:type="dxa"/>
                  <w:tcBorders>
                    <w:right w:val="single" w:color="auto" w:sz="4" w:space="0"/>
                  </w:tcBorders>
                  <w:noWrap w:val="0"/>
                  <w:vAlign w:val="center"/>
                </w:tcPr>
                <w:p w14:paraId="23025BBF">
                  <w:pPr>
                    <w:jc w:val="center"/>
                    <w:rPr>
                      <w:rFonts w:hint="default"/>
                      <w:bCs/>
                      <w:color w:val="auto"/>
                      <w:highlight w:val="none"/>
                      <w:lang w:val="en-US" w:eastAsia="zh-CN"/>
                    </w:rPr>
                  </w:pPr>
                  <w:r>
                    <w:rPr>
                      <w:rFonts w:hint="eastAsia"/>
                      <w:bCs/>
                      <w:color w:val="auto"/>
                      <w:highlight w:val="none"/>
                      <w:lang w:val="en-US" w:eastAsia="zh-CN"/>
                    </w:rPr>
                    <w:t>40.2</w:t>
                  </w:r>
                </w:p>
              </w:tc>
              <w:tc>
                <w:tcPr>
                  <w:tcW w:w="893" w:type="dxa"/>
                  <w:tcBorders>
                    <w:right w:val="single" w:color="auto" w:sz="4" w:space="0"/>
                  </w:tcBorders>
                  <w:noWrap w:val="0"/>
                  <w:vAlign w:val="center"/>
                </w:tcPr>
                <w:p w14:paraId="7AF19856">
                  <w:pPr>
                    <w:jc w:val="center"/>
                    <w:rPr>
                      <w:rFonts w:hint="default"/>
                      <w:bCs/>
                      <w:color w:val="auto"/>
                      <w:highlight w:val="none"/>
                      <w:lang w:val="en-US" w:eastAsia="zh-CN"/>
                    </w:rPr>
                  </w:pPr>
                  <w:r>
                    <w:rPr>
                      <w:rFonts w:hint="eastAsia"/>
                      <w:bCs/>
                      <w:color w:val="auto"/>
                      <w:highlight w:val="none"/>
                      <w:lang w:val="en-US" w:eastAsia="zh-CN"/>
                    </w:rPr>
                    <w:t>40.2</w:t>
                  </w:r>
                </w:p>
              </w:tc>
              <w:tc>
                <w:tcPr>
                  <w:tcW w:w="543" w:type="pct"/>
                  <w:noWrap w:val="0"/>
                  <w:vAlign w:val="center"/>
                </w:tcPr>
                <w:p w14:paraId="5408116E">
                  <w:pPr>
                    <w:jc w:val="center"/>
                    <w:rPr>
                      <w:rFonts w:hint="default"/>
                      <w:bCs/>
                      <w:color w:val="auto"/>
                      <w:highlight w:val="none"/>
                      <w:lang w:val="en-US" w:eastAsia="zh-CN"/>
                    </w:rPr>
                  </w:pPr>
                  <w:r>
                    <w:rPr>
                      <w:rFonts w:hint="eastAsia"/>
                      <w:bCs/>
                      <w:color w:val="auto"/>
                      <w:highlight w:val="none"/>
                      <w:lang w:val="en-US" w:eastAsia="zh-CN"/>
                    </w:rPr>
                    <w:t>48.7</w:t>
                  </w:r>
                </w:p>
              </w:tc>
              <w:tc>
                <w:tcPr>
                  <w:tcW w:w="543" w:type="pct"/>
                  <w:noWrap w:val="0"/>
                  <w:vAlign w:val="center"/>
                </w:tcPr>
                <w:p w14:paraId="51108F02">
                  <w:pPr>
                    <w:jc w:val="center"/>
                    <w:rPr>
                      <w:rFonts w:hint="default"/>
                      <w:bCs/>
                      <w:color w:val="auto"/>
                      <w:highlight w:val="none"/>
                      <w:lang w:val="en-US" w:eastAsia="zh-CN"/>
                    </w:rPr>
                  </w:pPr>
                  <w:r>
                    <w:rPr>
                      <w:rFonts w:hint="eastAsia"/>
                      <w:bCs/>
                      <w:color w:val="auto"/>
                      <w:highlight w:val="none"/>
                      <w:lang w:val="en-US" w:eastAsia="zh-CN"/>
                    </w:rPr>
                    <w:t>45.9</w:t>
                  </w:r>
                </w:p>
              </w:tc>
              <w:tc>
                <w:tcPr>
                  <w:tcW w:w="885" w:type="dxa"/>
                  <w:noWrap w:val="0"/>
                  <w:vAlign w:val="center"/>
                </w:tcPr>
                <w:p w14:paraId="5596F9E3">
                  <w:pPr>
                    <w:jc w:val="center"/>
                    <w:rPr>
                      <w:rFonts w:hint="default"/>
                      <w:bCs/>
                      <w:color w:val="auto"/>
                      <w:highlight w:val="none"/>
                      <w:lang w:val="en-US" w:eastAsia="zh-CN"/>
                    </w:rPr>
                  </w:pPr>
                  <w:r>
                    <w:rPr>
                      <w:rFonts w:hint="eastAsia"/>
                      <w:bCs/>
                      <w:color w:val="auto"/>
                      <w:highlight w:val="none"/>
                      <w:lang w:val="en-US" w:eastAsia="zh-CN"/>
                    </w:rPr>
                    <w:t>60</w:t>
                  </w:r>
                </w:p>
              </w:tc>
              <w:tc>
                <w:tcPr>
                  <w:tcW w:w="901" w:type="dxa"/>
                  <w:noWrap w:val="0"/>
                  <w:vAlign w:val="center"/>
                </w:tcPr>
                <w:p w14:paraId="0698FBA9">
                  <w:pPr>
                    <w:jc w:val="center"/>
                    <w:rPr>
                      <w:rFonts w:hint="default"/>
                      <w:bCs/>
                      <w:color w:val="auto"/>
                      <w:highlight w:val="none"/>
                      <w:lang w:val="en-US" w:eastAsia="zh-CN"/>
                    </w:rPr>
                  </w:pPr>
                  <w:r>
                    <w:rPr>
                      <w:rFonts w:hint="eastAsia"/>
                      <w:bCs/>
                      <w:color w:val="auto"/>
                      <w:highlight w:val="none"/>
                      <w:lang w:val="en-US" w:eastAsia="zh-CN"/>
                    </w:rPr>
                    <w:t>50</w:t>
                  </w:r>
                </w:p>
              </w:tc>
            </w:tr>
          </w:tbl>
          <w:p w14:paraId="6D168118">
            <w:pPr>
              <w:pStyle w:val="9"/>
              <w:rPr>
                <w:rFonts w:hint="eastAsia"/>
                <w:highlight w:val="none"/>
              </w:rPr>
            </w:pPr>
          </w:p>
          <w:p w14:paraId="4F148CC8">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color w:val="auto"/>
                <w:sz w:val="24"/>
                <w:highlight w:val="none"/>
              </w:rPr>
            </w:pPr>
            <w:r>
              <w:rPr>
                <w:rFonts w:hint="eastAsia" w:ascii="Times New Roman" w:hAnsi="Times New Roman" w:cs="Times New Roman"/>
                <w:color w:val="auto"/>
                <w:spacing w:val="0"/>
                <w:position w:val="0"/>
                <w:sz w:val="24"/>
                <w:highlight w:val="none"/>
                <w:lang w:val="en-US" w:eastAsia="zh-CN"/>
              </w:rPr>
              <w:t>经预测本项目敏感点</w:t>
            </w:r>
            <w:r>
              <w:rPr>
                <w:rFonts w:hint="eastAsia"/>
                <w:sz w:val="24"/>
                <w:szCs w:val="24"/>
                <w:lang w:val="en-US" w:eastAsia="zh-CN"/>
              </w:rPr>
              <w:t>康馨苑小区、潘三新村小区</w:t>
            </w:r>
            <w:r>
              <w:rPr>
                <w:rFonts w:hint="eastAsia" w:ascii="Times New Roman" w:hAnsi="Times New Roman" w:cs="Times New Roman"/>
                <w:color w:val="auto"/>
                <w:spacing w:val="0"/>
                <w:position w:val="0"/>
                <w:sz w:val="24"/>
                <w:highlight w:val="none"/>
                <w:lang w:val="en-US" w:eastAsia="zh-CN"/>
              </w:rPr>
              <w:t>噪声预测值均</w:t>
            </w:r>
            <w:r>
              <w:rPr>
                <w:rFonts w:hint="default" w:ascii="Times New Roman" w:hAnsi="Times New Roman" w:cs="Times New Roman"/>
                <w:color w:val="auto"/>
                <w:spacing w:val="0"/>
                <w:position w:val="0"/>
                <w:sz w:val="24"/>
                <w:highlight w:val="none"/>
                <w:lang w:val="en-US" w:eastAsia="zh-CN"/>
              </w:rPr>
              <w:t>满足《声环境质量标准》（GB3096-2008）中</w:t>
            </w:r>
            <w:r>
              <w:rPr>
                <w:rFonts w:hint="eastAsia" w:cs="Times New Roman"/>
                <w:color w:val="auto"/>
                <w:spacing w:val="0"/>
                <w:position w:val="0"/>
                <w:sz w:val="24"/>
                <w:highlight w:val="none"/>
                <w:lang w:val="en-US" w:eastAsia="zh-CN"/>
              </w:rPr>
              <w:t>1</w:t>
            </w:r>
            <w:r>
              <w:rPr>
                <w:rFonts w:hint="default" w:ascii="Times New Roman" w:hAnsi="Times New Roman" w:cs="Times New Roman"/>
                <w:color w:val="auto"/>
                <w:spacing w:val="0"/>
                <w:position w:val="0"/>
                <w:sz w:val="24"/>
                <w:highlight w:val="none"/>
                <w:lang w:val="en-US" w:eastAsia="zh-CN"/>
              </w:rPr>
              <w:t>类标准</w:t>
            </w:r>
            <w:r>
              <w:rPr>
                <w:rFonts w:hint="default" w:ascii="Times New Roman" w:hAnsi="Times New Roman" w:cs="Times New Roman"/>
                <w:color w:val="auto"/>
                <w:spacing w:val="0"/>
                <w:position w:val="0"/>
                <w:sz w:val="24"/>
                <w:highlight w:val="none"/>
              </w:rPr>
              <w:t>，</w:t>
            </w:r>
            <w:r>
              <w:rPr>
                <w:rFonts w:hint="eastAsia" w:ascii="Times New Roman" w:hAnsi="Times New Roman" w:cs="Times New Roman"/>
                <w:color w:val="auto"/>
                <w:spacing w:val="0"/>
                <w:position w:val="0"/>
                <w:sz w:val="24"/>
                <w:highlight w:val="none"/>
                <w:lang w:val="en-US" w:eastAsia="zh-CN"/>
              </w:rPr>
              <w:t>敏感点</w:t>
            </w:r>
            <w:r>
              <w:rPr>
                <w:rFonts w:hint="eastAsia"/>
                <w:sz w:val="24"/>
                <w:szCs w:val="24"/>
                <w:lang w:val="en-US" w:eastAsia="zh-CN"/>
              </w:rPr>
              <w:t>医院东侧商铺</w:t>
            </w:r>
            <w:r>
              <w:rPr>
                <w:rFonts w:hint="eastAsia" w:ascii="Times New Roman" w:hAnsi="Times New Roman" w:cs="Times New Roman"/>
                <w:color w:val="auto"/>
                <w:spacing w:val="0"/>
                <w:position w:val="0"/>
                <w:sz w:val="24"/>
                <w:highlight w:val="none"/>
                <w:lang w:val="en-US" w:eastAsia="zh-CN"/>
              </w:rPr>
              <w:t>噪声预测值均</w:t>
            </w:r>
            <w:r>
              <w:rPr>
                <w:rFonts w:hint="default" w:ascii="Times New Roman" w:hAnsi="Times New Roman" w:cs="Times New Roman"/>
                <w:color w:val="auto"/>
                <w:spacing w:val="0"/>
                <w:position w:val="0"/>
                <w:sz w:val="24"/>
                <w:highlight w:val="none"/>
                <w:lang w:val="en-US" w:eastAsia="zh-CN"/>
              </w:rPr>
              <w:t>满足《声环境质量标准》（GB3096-2008）中</w:t>
            </w:r>
            <w:r>
              <w:rPr>
                <w:rFonts w:hint="eastAsia" w:cs="Times New Roman"/>
                <w:color w:val="auto"/>
                <w:spacing w:val="0"/>
                <w:position w:val="0"/>
                <w:sz w:val="24"/>
                <w:highlight w:val="none"/>
                <w:lang w:val="en-US" w:eastAsia="zh-CN"/>
              </w:rPr>
              <w:t>2</w:t>
            </w:r>
            <w:r>
              <w:rPr>
                <w:rFonts w:hint="default" w:ascii="Times New Roman" w:hAnsi="Times New Roman" w:cs="Times New Roman"/>
                <w:color w:val="auto"/>
                <w:spacing w:val="0"/>
                <w:position w:val="0"/>
                <w:sz w:val="24"/>
                <w:highlight w:val="none"/>
                <w:lang w:val="en-US" w:eastAsia="zh-CN"/>
              </w:rPr>
              <w:t>类标准</w:t>
            </w:r>
            <w:r>
              <w:rPr>
                <w:rFonts w:hint="default" w:ascii="Times New Roman" w:hAnsi="Times New Roman" w:cs="Times New Roman"/>
                <w:color w:val="auto"/>
                <w:spacing w:val="0"/>
                <w:position w:val="0"/>
                <w:sz w:val="24"/>
                <w:highlight w:val="none"/>
              </w:rPr>
              <w:t>，对周围环境敏感目标影响较小</w:t>
            </w:r>
            <w:r>
              <w:rPr>
                <w:rFonts w:hint="eastAsia"/>
                <w:color w:val="auto"/>
                <w:sz w:val="24"/>
                <w:highlight w:val="none"/>
                <w:lang w:eastAsia="zh-CN"/>
              </w:rPr>
              <w:t>。</w:t>
            </w:r>
          </w:p>
          <w:p w14:paraId="345526B6">
            <w:pPr>
              <w:spacing w:line="360" w:lineRule="auto"/>
              <w:ind w:firstLine="482" w:firstLineChars="200"/>
              <w:rPr>
                <w:b/>
                <w:bCs/>
                <w:sz w:val="24"/>
              </w:rPr>
            </w:pPr>
            <w:r>
              <w:rPr>
                <w:rFonts w:hint="eastAsia"/>
                <w:b/>
                <w:bCs/>
                <w:sz w:val="24"/>
              </w:rPr>
              <w:t>3.4</w:t>
            </w:r>
            <w:r>
              <w:rPr>
                <w:rFonts w:hint="eastAsia"/>
                <w:b/>
                <w:bCs/>
                <w:sz w:val="24"/>
                <w:lang w:eastAsia="zh-CN"/>
              </w:rPr>
              <w:t>噪声影响结论</w:t>
            </w:r>
          </w:p>
          <w:p w14:paraId="6060B116">
            <w:pPr>
              <w:pStyle w:val="20"/>
              <w:ind w:firstLine="480"/>
              <w:rPr>
                <w:rFonts w:ascii="Times New Roman" w:hAnsi="Times New Roman"/>
                <w:highlight w:val="none"/>
              </w:rPr>
            </w:pPr>
            <w:r>
              <w:rPr>
                <w:rFonts w:ascii="Times New Roman" w:hAnsi="Times New Roman"/>
                <w:highlight w:val="none"/>
              </w:rPr>
              <w:t>本项目为综合医院项目，自身噪声源数量较少、源强不大，声环境影响预测表明，本项目运营后经采取本评价提出的噪声防治措施后</w:t>
            </w:r>
            <w:r>
              <w:rPr>
                <w:rFonts w:hint="eastAsia"/>
                <w:highlight w:val="none"/>
                <w:lang w:val="en-US" w:eastAsia="zh-CN"/>
              </w:rPr>
              <w:t>东、北</w:t>
            </w:r>
            <w:r>
              <w:rPr>
                <w:rFonts w:ascii="Times New Roman" w:hAnsi="Times New Roman"/>
                <w:highlight w:val="none"/>
              </w:rPr>
              <w:t>厂界噪声均能满足《工业企业厂界环境噪声排放标准》（GB12348-2008）中</w:t>
            </w:r>
            <w:r>
              <w:rPr>
                <w:rFonts w:hint="eastAsia" w:ascii="Times New Roman" w:hAnsi="Times New Roman"/>
                <w:highlight w:val="none"/>
                <w:lang w:val="en-US" w:eastAsia="zh-CN"/>
              </w:rPr>
              <w:t>2</w:t>
            </w:r>
            <w:r>
              <w:rPr>
                <w:rFonts w:ascii="Times New Roman" w:hAnsi="Times New Roman"/>
                <w:highlight w:val="none"/>
              </w:rPr>
              <w:t>类标准</w:t>
            </w:r>
            <w:r>
              <w:rPr>
                <w:rFonts w:hint="eastAsia"/>
                <w:highlight w:val="none"/>
                <w:lang w:eastAsia="zh-CN"/>
              </w:rPr>
              <w:t>，</w:t>
            </w:r>
            <w:r>
              <w:rPr>
                <w:rFonts w:hint="default" w:ascii="Times New Roman" w:hAnsi="Times New Roman" w:eastAsia="宋体" w:cs="Times New Roman"/>
                <w:highlight w:val="none"/>
                <w:lang w:val="en-US" w:eastAsia="zh-CN"/>
              </w:rPr>
              <w:t>南、西侧</w:t>
            </w:r>
            <w:r>
              <w:rPr>
                <w:rFonts w:ascii="Times New Roman" w:hAnsi="Times New Roman"/>
                <w:highlight w:val="none"/>
              </w:rPr>
              <w:t>厂界噪声均能满足《工业企业厂界环境噪声排放标准》（GB12348-2008）中</w:t>
            </w:r>
            <w:r>
              <w:rPr>
                <w:rFonts w:hint="eastAsia"/>
                <w:highlight w:val="none"/>
                <w:lang w:val="en-US" w:eastAsia="zh-CN"/>
              </w:rPr>
              <w:t>1</w:t>
            </w:r>
            <w:r>
              <w:rPr>
                <w:rFonts w:ascii="Times New Roman" w:hAnsi="Times New Roman"/>
                <w:highlight w:val="none"/>
              </w:rPr>
              <w:t>类标准，敏感目标均满足《声环境质量标准》（GB3096-2008）中</w:t>
            </w:r>
            <w:r>
              <w:rPr>
                <w:rFonts w:hint="eastAsia"/>
                <w:highlight w:val="none"/>
                <w:lang w:val="en-US" w:eastAsia="zh-CN"/>
              </w:rPr>
              <w:t>1</w:t>
            </w:r>
            <w:r>
              <w:rPr>
                <w:rFonts w:ascii="Times New Roman" w:hAnsi="Times New Roman"/>
                <w:highlight w:val="none"/>
              </w:rPr>
              <w:t>类标准</w:t>
            </w:r>
            <w:r>
              <w:rPr>
                <w:rFonts w:hint="eastAsia"/>
                <w:highlight w:val="none"/>
                <w:lang w:val="en-US" w:eastAsia="zh-CN"/>
              </w:rPr>
              <w:t>/2类标准</w:t>
            </w:r>
            <w:r>
              <w:rPr>
                <w:rFonts w:ascii="Times New Roman" w:hAnsi="Times New Roman"/>
                <w:highlight w:val="none"/>
              </w:rPr>
              <w:t>。项目运营产生的噪声对项目区的声环境不会产生不利影响。</w:t>
            </w:r>
          </w:p>
          <w:p w14:paraId="040A7DC9">
            <w:pPr>
              <w:pStyle w:val="20"/>
              <w:ind w:firstLine="480"/>
              <w:rPr>
                <w:rFonts w:ascii="Times New Roman" w:hAnsi="Times New Roman"/>
                <w:highlight w:val="none"/>
              </w:rPr>
            </w:pPr>
            <w:r>
              <w:rPr>
                <w:rFonts w:ascii="Times New Roman" w:hAnsi="Times New Roman"/>
                <w:highlight w:val="none"/>
              </w:rPr>
              <w:t>综上所述，本项目投入使用后，不会改变项目声环境功能要求，不会对周围环境产生明显不利影响。</w:t>
            </w:r>
          </w:p>
          <w:p w14:paraId="197F35D9">
            <w:pPr>
              <w:pStyle w:val="20"/>
              <w:ind w:firstLine="480"/>
              <w:rPr>
                <w:rFonts w:ascii="Times New Roman" w:hAnsi="Times New Roman"/>
              </w:rPr>
            </w:pPr>
            <w:r>
              <w:rPr>
                <w:rFonts w:hint="eastAsia"/>
                <w:b/>
                <w:bCs/>
                <w:sz w:val="24"/>
              </w:rPr>
              <w:t>3.</w:t>
            </w:r>
            <w:r>
              <w:rPr>
                <w:rFonts w:hint="eastAsia"/>
                <w:b/>
                <w:bCs/>
                <w:sz w:val="24"/>
                <w:lang w:val="en-US" w:eastAsia="zh-CN"/>
              </w:rPr>
              <w:t>5</w:t>
            </w:r>
            <w:r>
              <w:rPr>
                <w:rFonts w:hint="eastAsia"/>
                <w:b/>
                <w:bCs/>
                <w:sz w:val="24"/>
                <w:lang w:eastAsia="zh-CN"/>
              </w:rPr>
              <w:t>外环境对本项目影响分析</w:t>
            </w:r>
          </w:p>
          <w:p w14:paraId="17BA59A9">
            <w:pPr>
              <w:pStyle w:val="9"/>
              <w:rPr>
                <w:rFonts w:hint="eastAsia"/>
                <w:sz w:val="24"/>
              </w:rPr>
            </w:pPr>
          </w:p>
          <w:p w14:paraId="2E07183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olor w:val="auto"/>
                <w:sz w:val="24"/>
                <w:highlight w:val="none"/>
                <w:lang w:val="en-US" w:eastAsia="zh-CN"/>
              </w:rPr>
            </w:pPr>
            <w:r>
              <w:rPr>
                <w:rFonts w:hint="eastAsia"/>
                <w:color w:val="auto"/>
                <w:sz w:val="24"/>
                <w:highlight w:val="none"/>
                <w:lang w:val="en-US" w:eastAsia="zh-CN"/>
              </w:rPr>
              <w:t>外环境对本项目的影响主要为道路的交通噪声，为减小交通噪声对本项目的影响，本项目建筑建设时将严格执行《民用建筑隔声设计规范》（GB50118-2010）中关于医院建筑的相关要求，项目设计病房楼外墙、外窗及门的空气声隔声性能严格按照《民用建筑隔声设计规范》（GB50118-2010）中表6.2.3中的隔声标准设计，即空气声隔声单值评价量+频谱修正量外墙≥45dB，外窗≥30dB，门≥20dB，按照该隔声标准安装相应的墙、窗、门后，隔声窗隔声效果在20-45dB以上。</w:t>
            </w:r>
          </w:p>
          <w:p w14:paraId="3911DD5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olor w:val="auto"/>
                <w:sz w:val="24"/>
                <w:highlight w:val="none"/>
                <w:lang w:val="en-US" w:eastAsia="zh-CN"/>
              </w:rPr>
            </w:pPr>
            <w:r>
              <w:rPr>
                <w:rFonts w:hint="eastAsia"/>
                <w:color w:val="auto"/>
                <w:sz w:val="24"/>
                <w:highlight w:val="none"/>
                <w:lang w:val="en-US" w:eastAsia="zh-CN"/>
              </w:rPr>
              <w:t>通过上述措施后，可以改善医院病人就诊、住院的声环境状况，对医患影响较小。</w:t>
            </w:r>
          </w:p>
          <w:p w14:paraId="78B1B3D5">
            <w:pPr>
              <w:spacing w:line="360" w:lineRule="auto"/>
              <w:ind w:firstLine="482" w:firstLineChars="200"/>
              <w:rPr>
                <w:b/>
                <w:bCs/>
                <w:sz w:val="24"/>
              </w:rPr>
            </w:pPr>
            <w:r>
              <w:rPr>
                <w:rFonts w:hint="eastAsia"/>
                <w:b/>
                <w:bCs/>
                <w:sz w:val="24"/>
              </w:rPr>
              <w:t>3.</w:t>
            </w:r>
            <w:r>
              <w:rPr>
                <w:rFonts w:hint="eastAsia"/>
                <w:b/>
                <w:bCs/>
                <w:sz w:val="24"/>
                <w:lang w:val="en-US" w:eastAsia="zh-CN"/>
              </w:rPr>
              <w:t>6</w:t>
            </w:r>
            <w:r>
              <w:rPr>
                <w:rFonts w:hint="eastAsia"/>
                <w:b/>
                <w:bCs/>
                <w:sz w:val="24"/>
              </w:rPr>
              <w:t>监测要求</w:t>
            </w:r>
          </w:p>
          <w:p w14:paraId="1782D7FC">
            <w:pPr>
              <w:pStyle w:val="23"/>
              <w:spacing w:line="360" w:lineRule="auto"/>
              <w:ind w:firstLine="480" w:firstLineChars="200"/>
              <w:rPr>
                <w:rFonts w:hint="eastAsia" w:ascii="Times New Roman" w:hAnsi="Times New Roman" w:eastAsia="宋体"/>
                <w:b w:val="0"/>
                <w:bCs w:val="0"/>
                <w:lang w:eastAsia="zh-CN"/>
              </w:rPr>
            </w:pPr>
            <w:r>
              <w:rPr>
                <w:rFonts w:ascii="Times New Roman" w:hAnsi="Times New Roman"/>
                <w:b w:val="0"/>
                <w:bCs w:val="0"/>
              </w:rPr>
              <w:t>根据《</w:t>
            </w:r>
            <w:r>
              <w:rPr>
                <w:rFonts w:hint="eastAsia" w:ascii="Times New Roman" w:hAnsi="Times New Roman"/>
                <w:b w:val="0"/>
                <w:bCs w:val="0"/>
                <w:lang w:eastAsia="zh-CN"/>
              </w:rPr>
              <w:t>排污单位自行监测技术指南</w:t>
            </w:r>
            <w:r>
              <w:rPr>
                <w:rFonts w:hint="eastAsia" w:ascii="Times New Roman" w:hAnsi="Times New Roman"/>
                <w:b w:val="0"/>
                <w:bCs w:val="0"/>
                <w:lang w:val="en-US" w:eastAsia="zh-CN"/>
              </w:rPr>
              <w:t xml:space="preserve"> 总则</w:t>
            </w:r>
            <w:r>
              <w:rPr>
                <w:rFonts w:ascii="Times New Roman" w:hAnsi="Times New Roman"/>
                <w:b w:val="0"/>
                <w:bCs w:val="0"/>
              </w:rPr>
              <w:t>》</w:t>
            </w:r>
            <w:r>
              <w:rPr>
                <w:rFonts w:hint="eastAsia" w:ascii="Times New Roman" w:hAnsi="Times New Roman"/>
                <w:b w:val="0"/>
                <w:bCs w:val="0"/>
              </w:rPr>
              <w:t>（HJ</w:t>
            </w:r>
            <w:r>
              <w:rPr>
                <w:rFonts w:hint="eastAsia" w:ascii="Times New Roman" w:hAnsi="Times New Roman"/>
                <w:b w:val="0"/>
                <w:bCs w:val="0"/>
                <w:lang w:val="en-US" w:eastAsia="zh-CN"/>
              </w:rPr>
              <w:t>819-2017</w:t>
            </w:r>
            <w:r>
              <w:rPr>
                <w:rFonts w:hint="eastAsia" w:ascii="Times New Roman" w:hAnsi="Times New Roman"/>
                <w:b w:val="0"/>
                <w:bCs w:val="0"/>
              </w:rPr>
              <w:t>）</w:t>
            </w:r>
            <w:r>
              <w:rPr>
                <w:rFonts w:ascii="Times New Roman" w:hAnsi="Times New Roman"/>
                <w:b w:val="0"/>
                <w:bCs w:val="0"/>
              </w:rPr>
              <w:t>，</w:t>
            </w:r>
            <w:r>
              <w:rPr>
                <w:rFonts w:hint="eastAsia" w:ascii="Times New Roman" w:hAnsi="Times New Roman"/>
                <w:b w:val="0"/>
                <w:bCs w:val="0"/>
                <w:lang w:eastAsia="zh-CN"/>
              </w:rPr>
              <w:t>本项目噪声监测计划如下。</w:t>
            </w:r>
          </w:p>
          <w:p w14:paraId="6DB0AA17">
            <w:pPr>
              <w:pStyle w:val="19"/>
              <w:spacing w:line="240" w:lineRule="auto"/>
              <w:ind w:firstLine="0"/>
              <w:jc w:val="center"/>
              <w:rPr>
                <w:rFonts w:hint="eastAsia" w:eastAsia="宋体"/>
                <w:b/>
                <w:sz w:val="21"/>
                <w:szCs w:val="21"/>
                <w:lang w:eastAsia="zh-CN"/>
              </w:rPr>
            </w:pPr>
            <w:r>
              <w:rPr>
                <w:rFonts w:ascii="Times New Roman"/>
                <w:b/>
                <w:sz w:val="21"/>
                <w:szCs w:val="21"/>
              </w:rPr>
              <w:t>表4-</w:t>
            </w:r>
            <w:r>
              <w:rPr>
                <w:rFonts w:hint="eastAsia" w:ascii="Times New Roman"/>
                <w:b/>
                <w:sz w:val="21"/>
                <w:szCs w:val="21"/>
                <w:lang w:val="en-US" w:eastAsia="zh-CN"/>
              </w:rPr>
              <w:t>12</w:t>
            </w:r>
            <w:r>
              <w:rPr>
                <w:rFonts w:ascii="Times New Roman"/>
                <w:b/>
                <w:sz w:val="21"/>
                <w:szCs w:val="21"/>
              </w:rPr>
              <w:t xml:space="preserve">  </w:t>
            </w:r>
            <w:r>
              <w:rPr>
                <w:rFonts w:hint="eastAsia" w:ascii="Times New Roman"/>
                <w:b/>
                <w:sz w:val="21"/>
                <w:szCs w:val="21"/>
                <w:lang w:eastAsia="zh-CN"/>
              </w:rPr>
              <w:t>噪声监测计划一览表</w:t>
            </w:r>
          </w:p>
          <w:tbl>
            <w:tblPr>
              <w:tblStyle w:val="14"/>
              <w:tblW w:w="495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30"/>
              <w:gridCol w:w="2030"/>
              <w:gridCol w:w="2031"/>
              <w:gridCol w:w="2032"/>
            </w:tblGrid>
            <w:tr w14:paraId="674820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79" w:type="dxa"/>
                  <w:noWrap w:val="0"/>
                  <w:vAlign w:val="center"/>
                </w:tcPr>
                <w:p w14:paraId="6EBC1A83">
                  <w:pPr>
                    <w:pStyle w:val="19"/>
                    <w:spacing w:line="240" w:lineRule="auto"/>
                    <w:ind w:firstLine="0"/>
                    <w:jc w:val="center"/>
                    <w:rPr>
                      <w:b/>
                      <w:sz w:val="21"/>
                      <w:szCs w:val="21"/>
                    </w:rPr>
                  </w:pPr>
                  <w:r>
                    <w:rPr>
                      <w:rFonts w:hint="eastAsia"/>
                      <w:b/>
                      <w:sz w:val="21"/>
                      <w:szCs w:val="21"/>
                    </w:rPr>
                    <w:t>污染源名称</w:t>
                  </w:r>
                </w:p>
              </w:tc>
              <w:tc>
                <w:tcPr>
                  <w:tcW w:w="2279" w:type="dxa"/>
                  <w:noWrap w:val="0"/>
                  <w:vAlign w:val="center"/>
                </w:tcPr>
                <w:p w14:paraId="0E2F963A">
                  <w:pPr>
                    <w:pStyle w:val="19"/>
                    <w:spacing w:line="240" w:lineRule="auto"/>
                    <w:ind w:firstLine="0"/>
                    <w:jc w:val="center"/>
                    <w:rPr>
                      <w:b/>
                      <w:sz w:val="21"/>
                      <w:szCs w:val="21"/>
                    </w:rPr>
                  </w:pPr>
                  <w:r>
                    <w:rPr>
                      <w:rFonts w:hint="eastAsia"/>
                      <w:b/>
                      <w:sz w:val="21"/>
                      <w:szCs w:val="21"/>
                    </w:rPr>
                    <w:t>监测位置</w:t>
                  </w:r>
                </w:p>
              </w:tc>
              <w:tc>
                <w:tcPr>
                  <w:tcW w:w="2280" w:type="dxa"/>
                  <w:noWrap w:val="0"/>
                  <w:vAlign w:val="center"/>
                </w:tcPr>
                <w:p w14:paraId="1EAF10BB">
                  <w:pPr>
                    <w:pStyle w:val="19"/>
                    <w:spacing w:line="240" w:lineRule="auto"/>
                    <w:ind w:firstLine="0"/>
                    <w:jc w:val="center"/>
                    <w:rPr>
                      <w:b/>
                      <w:sz w:val="21"/>
                      <w:szCs w:val="21"/>
                    </w:rPr>
                  </w:pPr>
                  <w:r>
                    <w:rPr>
                      <w:rFonts w:hint="eastAsia"/>
                      <w:b/>
                      <w:sz w:val="21"/>
                      <w:szCs w:val="21"/>
                    </w:rPr>
                    <w:t>监测项目</w:t>
                  </w:r>
                </w:p>
              </w:tc>
              <w:tc>
                <w:tcPr>
                  <w:tcW w:w="2280" w:type="dxa"/>
                  <w:noWrap w:val="0"/>
                  <w:vAlign w:val="center"/>
                </w:tcPr>
                <w:p w14:paraId="5CCD82C7">
                  <w:pPr>
                    <w:pStyle w:val="19"/>
                    <w:spacing w:line="240" w:lineRule="auto"/>
                    <w:ind w:firstLine="0"/>
                    <w:jc w:val="center"/>
                    <w:rPr>
                      <w:b/>
                      <w:sz w:val="21"/>
                      <w:szCs w:val="21"/>
                    </w:rPr>
                  </w:pPr>
                  <w:r>
                    <w:rPr>
                      <w:rFonts w:hint="eastAsia"/>
                      <w:b/>
                      <w:sz w:val="21"/>
                      <w:szCs w:val="21"/>
                    </w:rPr>
                    <w:t>监测频次</w:t>
                  </w:r>
                </w:p>
              </w:tc>
            </w:tr>
            <w:tr w14:paraId="701F6F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79" w:type="dxa"/>
                  <w:noWrap w:val="0"/>
                  <w:vAlign w:val="center"/>
                </w:tcPr>
                <w:p w14:paraId="57BD0442">
                  <w:pPr>
                    <w:pStyle w:val="19"/>
                    <w:spacing w:line="240" w:lineRule="auto"/>
                    <w:ind w:firstLine="0"/>
                    <w:jc w:val="center"/>
                    <w:rPr>
                      <w:bCs/>
                      <w:sz w:val="21"/>
                      <w:szCs w:val="21"/>
                    </w:rPr>
                  </w:pPr>
                  <w:r>
                    <w:rPr>
                      <w:rFonts w:hint="eastAsia"/>
                      <w:bCs/>
                      <w:sz w:val="21"/>
                      <w:szCs w:val="21"/>
                    </w:rPr>
                    <w:t>噪声</w:t>
                  </w:r>
                </w:p>
              </w:tc>
              <w:tc>
                <w:tcPr>
                  <w:tcW w:w="2279" w:type="dxa"/>
                  <w:noWrap w:val="0"/>
                  <w:vAlign w:val="center"/>
                </w:tcPr>
                <w:p w14:paraId="51153A8E">
                  <w:pPr>
                    <w:pStyle w:val="19"/>
                    <w:spacing w:line="240" w:lineRule="auto"/>
                    <w:ind w:firstLine="0"/>
                    <w:jc w:val="center"/>
                    <w:rPr>
                      <w:bCs/>
                      <w:sz w:val="21"/>
                      <w:szCs w:val="21"/>
                    </w:rPr>
                  </w:pPr>
                  <w:r>
                    <w:rPr>
                      <w:rFonts w:hint="eastAsia"/>
                      <w:bCs/>
                      <w:sz w:val="21"/>
                      <w:szCs w:val="21"/>
                    </w:rPr>
                    <w:t>厂界</w:t>
                  </w:r>
                </w:p>
              </w:tc>
              <w:tc>
                <w:tcPr>
                  <w:tcW w:w="2280" w:type="dxa"/>
                  <w:noWrap w:val="0"/>
                  <w:vAlign w:val="center"/>
                </w:tcPr>
                <w:p w14:paraId="39C1104A">
                  <w:pPr>
                    <w:pStyle w:val="19"/>
                    <w:spacing w:line="240" w:lineRule="auto"/>
                    <w:ind w:firstLine="0"/>
                    <w:jc w:val="center"/>
                    <w:rPr>
                      <w:bCs/>
                      <w:sz w:val="21"/>
                      <w:szCs w:val="21"/>
                    </w:rPr>
                  </w:pPr>
                  <w:r>
                    <w:rPr>
                      <w:rFonts w:hint="eastAsia"/>
                      <w:bCs/>
                      <w:sz w:val="21"/>
                      <w:szCs w:val="21"/>
                    </w:rPr>
                    <w:t>等效A声级</w:t>
                  </w:r>
                </w:p>
              </w:tc>
              <w:tc>
                <w:tcPr>
                  <w:tcW w:w="2280" w:type="dxa"/>
                  <w:noWrap w:val="0"/>
                  <w:vAlign w:val="center"/>
                </w:tcPr>
                <w:p w14:paraId="15B92F36">
                  <w:pPr>
                    <w:pStyle w:val="19"/>
                    <w:spacing w:line="240" w:lineRule="auto"/>
                    <w:ind w:firstLine="0"/>
                    <w:jc w:val="center"/>
                    <w:rPr>
                      <w:bCs/>
                      <w:sz w:val="21"/>
                      <w:szCs w:val="21"/>
                    </w:rPr>
                  </w:pPr>
                  <w:r>
                    <w:rPr>
                      <w:rFonts w:hint="eastAsia"/>
                      <w:bCs/>
                      <w:sz w:val="21"/>
                      <w:szCs w:val="21"/>
                    </w:rPr>
                    <w:t>1次/季</w:t>
                  </w:r>
                </w:p>
              </w:tc>
            </w:tr>
          </w:tbl>
          <w:p w14:paraId="24E255BD">
            <w:pPr>
              <w:pStyle w:val="19"/>
              <w:rPr>
                <w:b/>
                <w:szCs w:val="21"/>
              </w:rPr>
            </w:pPr>
          </w:p>
          <w:p w14:paraId="5BB791FB">
            <w:pPr>
              <w:widowControl/>
              <w:spacing w:line="360" w:lineRule="auto"/>
              <w:ind w:firstLine="482" w:firstLineChars="200"/>
              <w:jc w:val="left"/>
              <w:rPr>
                <w:highlight w:val="none"/>
              </w:rPr>
            </w:pPr>
            <w:r>
              <w:rPr>
                <w:rFonts w:hint="eastAsia" w:ascii="宋体" w:hAnsi="宋体" w:cs="宋体"/>
                <w:b/>
                <w:bCs/>
                <w:color w:val="000000"/>
                <w:kern w:val="0"/>
                <w:sz w:val="24"/>
                <w:highlight w:val="none"/>
                <w:lang w:bidi="ar"/>
              </w:rPr>
              <w:t>4运营期固体废物环境影响和保护措施</w:t>
            </w:r>
          </w:p>
          <w:p w14:paraId="5BEEE02A">
            <w:pPr>
              <w:spacing w:line="360" w:lineRule="auto"/>
              <w:ind w:firstLine="482" w:firstLineChars="200"/>
              <w:rPr>
                <w:b/>
                <w:bCs/>
                <w:sz w:val="24"/>
                <w:highlight w:val="none"/>
              </w:rPr>
            </w:pPr>
            <w:r>
              <w:rPr>
                <w:rFonts w:hint="eastAsia"/>
                <w:b/>
                <w:bCs/>
                <w:sz w:val="24"/>
                <w:highlight w:val="none"/>
              </w:rPr>
              <w:t>4.1项目固体废物产生及处置情况</w:t>
            </w:r>
          </w:p>
          <w:p w14:paraId="43A572A4">
            <w:pPr>
              <w:spacing w:line="360" w:lineRule="auto"/>
              <w:ind w:firstLine="482" w:firstLineChars="200"/>
              <w:rPr>
                <w:b/>
                <w:bCs/>
                <w:sz w:val="24"/>
                <w:highlight w:val="none"/>
              </w:rPr>
            </w:pPr>
            <w:r>
              <w:rPr>
                <w:b/>
                <w:bCs/>
                <w:sz w:val="24"/>
                <w:highlight w:val="none"/>
              </w:rPr>
              <w:t>生活垃圾</w:t>
            </w:r>
          </w:p>
          <w:p w14:paraId="16255CB3">
            <w:pPr>
              <w:spacing w:line="360" w:lineRule="auto"/>
              <w:ind w:firstLine="480" w:firstLineChars="200"/>
              <w:rPr>
                <w:rFonts w:hint="eastAsia"/>
                <w:sz w:val="24"/>
              </w:rPr>
            </w:pPr>
            <w:r>
              <w:rPr>
                <w:rFonts w:hint="eastAsia"/>
                <w:sz w:val="24"/>
                <w:highlight w:val="none"/>
                <w:lang w:eastAsia="zh-CN"/>
              </w:rPr>
              <w:t>门诊规模就诊人数最大约</w:t>
            </w:r>
            <w:r>
              <w:rPr>
                <w:rFonts w:hint="eastAsia"/>
                <w:sz w:val="24"/>
                <w:highlight w:val="none"/>
                <w:lang w:val="en-US" w:eastAsia="zh-CN"/>
              </w:rPr>
              <w:t>150人/d，垃圾产生量按每日每人次产生0.2kg计，则门诊生活垃圾产生量为10.95t/a；项目床位220张，垃圾产生量按每床每天1.0kg计，则住院病人生活垃圾产生量为80.3t/a；医院职工86人，垃圾产生量按每人每天0.5kg计，则职工生活垃圾产生量为15.695t/a。则项目生活垃圾产生总量为106.945t/a，生活垃圾由医院内垃圾桶收集后，由环卫部门每天清运处理。</w:t>
            </w:r>
          </w:p>
          <w:p w14:paraId="11A2648F">
            <w:pPr>
              <w:spacing w:line="360" w:lineRule="auto"/>
              <w:ind w:firstLine="482" w:firstLineChars="200"/>
              <w:rPr>
                <w:b/>
                <w:bCs/>
                <w:sz w:val="24"/>
              </w:rPr>
            </w:pPr>
            <w:r>
              <w:rPr>
                <w:b/>
                <w:bCs/>
                <w:sz w:val="24"/>
              </w:rPr>
              <w:t>一般工业固体废物</w:t>
            </w:r>
          </w:p>
          <w:p w14:paraId="6604E418">
            <w:pPr>
              <w:pStyle w:val="23"/>
              <w:spacing w:line="360" w:lineRule="auto"/>
              <w:ind w:firstLine="480" w:firstLineChars="200"/>
              <w:rPr>
                <w:rFonts w:hint="eastAsia" w:ascii="Times New Roman" w:hAnsi="Times New Roman" w:eastAsia="宋体" w:cs="Times New Roman"/>
                <w:b w:val="0"/>
                <w:bCs/>
                <w:color w:val="auto"/>
                <w:sz w:val="24"/>
                <w:szCs w:val="24"/>
                <w:lang w:val="en-US" w:eastAsia="zh-CN"/>
              </w:rPr>
            </w:pPr>
            <w:r>
              <w:rPr>
                <w:rFonts w:ascii="Times New Roman" w:hAnsi="Times New Roman"/>
                <w:b w:val="0"/>
                <w:bCs w:val="0"/>
                <w:sz w:val="24"/>
              </w:rPr>
              <w:t>①</w:t>
            </w:r>
            <w:r>
              <w:rPr>
                <w:rFonts w:hint="eastAsia" w:ascii="Times New Roman" w:hAnsi="Times New Roman"/>
                <w:b w:val="0"/>
                <w:bCs w:val="0"/>
                <w:sz w:val="24"/>
                <w:lang w:val="en-US" w:eastAsia="zh-CN"/>
              </w:rPr>
              <w:t>废</w:t>
            </w:r>
            <w:r>
              <w:rPr>
                <w:rFonts w:hint="eastAsia" w:ascii="Times New Roman" w:hAnsi="Times New Roman"/>
                <w:b w:val="0"/>
                <w:bCs w:val="0"/>
                <w:sz w:val="24"/>
                <w:lang w:eastAsia="zh-CN"/>
              </w:rPr>
              <w:t>包装材料</w:t>
            </w:r>
            <w:r>
              <w:rPr>
                <w:rFonts w:ascii="Times New Roman" w:hAnsi="Times New Roman"/>
                <w:b w:val="0"/>
                <w:bCs w:val="0"/>
                <w:sz w:val="24"/>
              </w:rPr>
              <w:t>：</w:t>
            </w:r>
            <w:r>
              <w:rPr>
                <w:rFonts w:hint="eastAsia" w:ascii="Times New Roman" w:hAnsi="Times New Roman" w:eastAsia="宋体" w:cs="Times New Roman"/>
                <w:b w:val="0"/>
                <w:bCs/>
                <w:color w:val="auto"/>
                <w:sz w:val="24"/>
                <w:szCs w:val="24"/>
                <w:lang w:val="en-US" w:eastAsia="zh-CN"/>
              </w:rPr>
              <w:t>废包装材料包括各种药盒、药箱及使用说明书（不包含《</w:t>
            </w:r>
            <w:r>
              <w:rPr>
                <w:rFonts w:hint="eastAsia" w:ascii="Times New Roman" w:hAnsi="Times New Roman" w:cs="Times New Roman"/>
                <w:b w:val="0"/>
                <w:bCs/>
                <w:color w:val="auto"/>
                <w:sz w:val="24"/>
                <w:szCs w:val="24"/>
                <w:lang w:val="en-US" w:eastAsia="zh-CN"/>
              </w:rPr>
              <w:t>医疗用毒性药品管理办法</w:t>
            </w:r>
            <w:r>
              <w:rPr>
                <w:rFonts w:hint="eastAsia" w:ascii="Times New Roman" w:hAnsi="Times New Roman" w:eastAsia="宋体" w:cs="Times New Roman"/>
                <w:b w:val="0"/>
                <w:bCs/>
                <w:color w:val="auto"/>
                <w:sz w:val="24"/>
                <w:szCs w:val="24"/>
                <w:lang w:val="en-US" w:eastAsia="zh-CN"/>
              </w:rPr>
              <w:t>》中所列的毒性中药）等遗弃物。根据建设单位提供的信息，项目废包装材料产生量约为1.2t，可外售综合利用。</w:t>
            </w:r>
          </w:p>
          <w:p w14:paraId="18AC2B4D">
            <w:pPr>
              <w:pStyle w:val="11"/>
              <w:ind w:left="0" w:leftChars="0" w:firstLine="480" w:firstLineChars="200"/>
              <w:rPr>
                <w:rFonts w:hint="eastAsia"/>
                <w:color w:val="auto"/>
                <w:sz w:val="24"/>
                <w:highlight w:val="none"/>
                <w:lang w:val="en-US" w:eastAsia="zh-CN"/>
              </w:rPr>
            </w:pPr>
            <w:r>
              <w:rPr>
                <w:rFonts w:hint="eastAsia" w:ascii="Times New Roman" w:hAnsi="Times New Roman"/>
                <w:b w:val="0"/>
                <w:bCs/>
                <w:color w:val="auto"/>
                <w:sz w:val="24"/>
                <w:highlight w:val="none"/>
              </w:rPr>
              <w:t>②</w:t>
            </w:r>
            <w:r>
              <w:rPr>
                <w:rFonts w:hint="eastAsia"/>
                <w:color w:val="auto"/>
                <w:sz w:val="24"/>
                <w:highlight w:val="none"/>
                <w:lang w:val="en-US" w:eastAsia="zh-CN"/>
              </w:rPr>
              <w:t>化粪池污泥、</w:t>
            </w:r>
            <w:r>
              <w:rPr>
                <w:rFonts w:hint="eastAsia"/>
                <w:color w:val="auto"/>
                <w:sz w:val="24"/>
                <w:highlight w:val="none"/>
              </w:rPr>
              <w:t>污水处理污泥</w:t>
            </w:r>
          </w:p>
          <w:p w14:paraId="5158EE0B">
            <w:pPr>
              <w:pStyle w:val="20"/>
              <w:ind w:firstLine="480"/>
              <w:rPr>
                <w:rFonts w:hint="eastAsia" w:ascii="Times New Roman" w:hAnsi="Times New Roman"/>
              </w:rPr>
            </w:pPr>
            <w:r>
              <w:rPr>
                <w:rFonts w:hint="eastAsia" w:ascii="Times New Roman" w:hAnsi="Times New Roman"/>
              </w:rPr>
              <w:t>根据《医院污水处理技术指南》：化粪池污泥来自医院医务人员及患者的粪便，每人每日的粪便量约为150g。项目医院医护人员、管理及后勤人员共</w:t>
            </w:r>
            <w:r>
              <w:rPr>
                <w:rFonts w:hint="eastAsia" w:ascii="Times New Roman" w:hAnsi="Times New Roman"/>
                <w:lang w:val="en-US" w:eastAsia="zh-CN"/>
              </w:rPr>
              <w:t>8</w:t>
            </w:r>
            <w:r>
              <w:rPr>
                <w:rFonts w:hint="eastAsia"/>
                <w:lang w:val="en-US" w:eastAsia="zh-CN"/>
              </w:rPr>
              <w:t>6</w:t>
            </w:r>
            <w:r>
              <w:rPr>
                <w:rFonts w:hint="eastAsia" w:ascii="Times New Roman" w:hAnsi="Times New Roman"/>
              </w:rPr>
              <w:t>人，住院患者</w:t>
            </w:r>
            <w:r>
              <w:rPr>
                <w:rFonts w:hint="eastAsia" w:ascii="Times New Roman" w:hAnsi="Times New Roman"/>
                <w:lang w:val="en-US" w:eastAsia="zh-CN"/>
              </w:rPr>
              <w:t>2</w:t>
            </w:r>
            <w:r>
              <w:rPr>
                <w:rFonts w:hint="eastAsia"/>
                <w:lang w:val="en-US" w:eastAsia="zh-CN"/>
              </w:rPr>
              <w:t>2</w:t>
            </w:r>
            <w:r>
              <w:rPr>
                <w:rFonts w:hint="eastAsia" w:ascii="Times New Roman" w:hAnsi="Times New Roman"/>
                <w:lang w:val="en-US" w:eastAsia="zh-CN"/>
              </w:rPr>
              <w:t>0</w:t>
            </w:r>
            <w:r>
              <w:rPr>
                <w:rFonts w:hint="eastAsia" w:ascii="Times New Roman" w:hAnsi="Times New Roman"/>
              </w:rPr>
              <w:t>人（陪护人员按照病床数计），则化粪池污泥产生量为</w:t>
            </w:r>
            <w:r>
              <w:rPr>
                <w:rFonts w:hint="eastAsia"/>
                <w:lang w:val="en-US" w:eastAsia="zh-CN"/>
              </w:rPr>
              <w:t>28.8</w:t>
            </w:r>
            <w:r>
              <w:rPr>
                <w:rFonts w:hint="eastAsia" w:ascii="Times New Roman" w:hAnsi="Times New Roman"/>
              </w:rPr>
              <w:t>t/a。</w:t>
            </w:r>
          </w:p>
          <w:p w14:paraId="10A1DE02">
            <w:pPr>
              <w:pStyle w:val="20"/>
              <w:ind w:firstLine="480"/>
              <w:rPr>
                <w:rFonts w:hint="eastAsia" w:ascii="Times New Roman" w:hAnsi="Times New Roman"/>
              </w:rPr>
            </w:pPr>
            <w:r>
              <w:rPr>
                <w:rFonts w:hint="eastAsia" w:ascii="Times New Roman" w:hAnsi="Times New Roman"/>
              </w:rPr>
              <w:t>污水处理设施污泥产生量按《排污许可证申请与核发技术规范 水处理（试行）》中9.4污泥核算方法进行计算，具体计算过程为：</w:t>
            </w:r>
          </w:p>
          <w:p w14:paraId="55575D28">
            <w:pPr>
              <w:pStyle w:val="20"/>
              <w:ind w:firstLine="0" w:firstLineChars="0"/>
              <w:jc w:val="center"/>
              <w:rPr>
                <w:rFonts w:hint="eastAsia" w:ascii="Times New Roman" w:hAnsi="Times New Roman"/>
              </w:rPr>
            </w:pPr>
            <w:r>
              <w:rPr>
                <w:rFonts w:hint="eastAsia" w:ascii="Times New Roman" w:hAnsi="Times New Roman"/>
              </w:rPr>
              <w:t>E</w:t>
            </w:r>
            <w:r>
              <w:rPr>
                <w:rFonts w:hint="eastAsia" w:ascii="Times New Roman" w:hAnsi="Times New Roman"/>
                <w:vertAlign w:val="subscript"/>
              </w:rPr>
              <w:t>产生量</w:t>
            </w:r>
            <w:r>
              <w:rPr>
                <w:rFonts w:hint="eastAsia" w:ascii="Times New Roman" w:hAnsi="Times New Roman"/>
              </w:rPr>
              <w:t>=1.7×Q×W</w:t>
            </w:r>
            <w:r>
              <w:rPr>
                <w:rFonts w:hint="eastAsia" w:ascii="Times New Roman" w:hAnsi="Times New Roman"/>
                <w:vertAlign w:val="subscript"/>
              </w:rPr>
              <w:t>深</w:t>
            </w:r>
            <w:r>
              <w:rPr>
                <w:rFonts w:hint="eastAsia" w:ascii="Times New Roman" w:hAnsi="Times New Roman"/>
              </w:rPr>
              <w:t>×10</w:t>
            </w:r>
            <w:r>
              <w:rPr>
                <w:rFonts w:hint="eastAsia" w:ascii="Times New Roman" w:hAnsi="Times New Roman"/>
                <w:vertAlign w:val="superscript"/>
              </w:rPr>
              <w:t>-4</w:t>
            </w:r>
          </w:p>
          <w:p w14:paraId="03848F98">
            <w:pPr>
              <w:pStyle w:val="20"/>
              <w:ind w:firstLine="480"/>
              <w:rPr>
                <w:rFonts w:hint="eastAsia" w:ascii="Times New Roman" w:hAnsi="Times New Roman"/>
              </w:rPr>
            </w:pPr>
            <w:r>
              <w:rPr>
                <w:rFonts w:hint="eastAsia" w:ascii="Times New Roman" w:hAnsi="Times New Roman"/>
              </w:rPr>
              <w:t>式中：E</w:t>
            </w:r>
            <w:r>
              <w:rPr>
                <w:rFonts w:hint="eastAsia" w:ascii="Times New Roman" w:hAnsi="Times New Roman"/>
                <w:vertAlign w:val="subscript"/>
              </w:rPr>
              <w:t>产生量</w:t>
            </w:r>
            <w:r>
              <w:rPr>
                <w:rFonts w:hint="eastAsia" w:ascii="Times New Roman" w:hAnsi="Times New Roman"/>
              </w:rPr>
              <w:t>—污水处理过程中产生的污泥量，以干污泥计，t；</w:t>
            </w:r>
          </w:p>
          <w:p w14:paraId="52B0FE73">
            <w:pPr>
              <w:pStyle w:val="20"/>
              <w:ind w:firstLine="480"/>
              <w:rPr>
                <w:rFonts w:hint="eastAsia" w:ascii="Times New Roman" w:hAnsi="Times New Roman"/>
              </w:rPr>
            </w:pPr>
            <w:r>
              <w:rPr>
                <w:rFonts w:hint="eastAsia" w:ascii="Times New Roman" w:hAnsi="Times New Roman"/>
              </w:rPr>
              <w:t>Q—核算时段内排污单位废水排放量，m</w:t>
            </w:r>
            <w:r>
              <w:rPr>
                <w:rFonts w:hint="eastAsia" w:ascii="Times New Roman" w:hAnsi="Times New Roman"/>
                <w:vertAlign w:val="superscript"/>
              </w:rPr>
              <w:t>3</w:t>
            </w:r>
            <w:r>
              <w:rPr>
                <w:rFonts w:hint="eastAsia" w:ascii="Times New Roman" w:hAnsi="Times New Roman"/>
              </w:rPr>
              <w:t>；</w:t>
            </w:r>
          </w:p>
          <w:p w14:paraId="68352269">
            <w:pPr>
              <w:pStyle w:val="20"/>
              <w:ind w:firstLine="480"/>
              <w:rPr>
                <w:rFonts w:hint="eastAsia" w:ascii="Times New Roman" w:hAnsi="Times New Roman"/>
              </w:rPr>
            </w:pPr>
            <w:r>
              <w:rPr>
                <w:rFonts w:hint="eastAsia" w:ascii="Times New Roman" w:hAnsi="Times New Roman"/>
              </w:rPr>
              <w:t>W</w:t>
            </w:r>
            <w:r>
              <w:rPr>
                <w:rFonts w:hint="eastAsia" w:ascii="Times New Roman" w:hAnsi="Times New Roman"/>
                <w:vertAlign w:val="subscript"/>
              </w:rPr>
              <w:t>深</w:t>
            </w:r>
            <w:r>
              <w:rPr>
                <w:rFonts w:hint="eastAsia" w:ascii="Times New Roman" w:hAnsi="Times New Roman"/>
              </w:rPr>
              <w:t>—有深度处理工艺（添加化学药剂）时按2计，无深度处理工艺按1计，量纲一。本项目污水站无深度处理工艺。</w:t>
            </w:r>
          </w:p>
          <w:p w14:paraId="7533692D">
            <w:pPr>
              <w:pStyle w:val="20"/>
              <w:ind w:firstLine="480"/>
              <w:rPr>
                <w:rFonts w:hint="eastAsia" w:ascii="Times New Roman" w:hAnsi="Times New Roman"/>
              </w:rPr>
            </w:pPr>
            <w:r>
              <w:rPr>
                <w:rFonts w:hint="eastAsia" w:ascii="Times New Roman" w:hAnsi="Times New Roman"/>
              </w:rPr>
              <w:t>本项目的污水处理量为</w:t>
            </w:r>
            <w:r>
              <w:rPr>
                <w:rFonts w:hint="eastAsia"/>
                <w:lang w:val="en-US" w:eastAsia="zh-CN"/>
              </w:rPr>
              <w:t>19901.009</w:t>
            </w:r>
            <w:r>
              <w:rPr>
                <w:rFonts w:hint="eastAsia" w:ascii="Times New Roman" w:hAnsi="Times New Roman"/>
              </w:rPr>
              <w:t>m</w:t>
            </w:r>
            <w:r>
              <w:rPr>
                <w:rFonts w:hint="eastAsia" w:ascii="Times New Roman" w:hAnsi="Times New Roman"/>
                <w:vertAlign w:val="superscript"/>
              </w:rPr>
              <w:t>3</w:t>
            </w:r>
            <w:r>
              <w:rPr>
                <w:rFonts w:hint="eastAsia" w:ascii="Times New Roman" w:hAnsi="Times New Roman"/>
              </w:rPr>
              <w:t>/a，则项目干泥产生量为</w:t>
            </w:r>
            <w:r>
              <w:rPr>
                <w:rFonts w:hint="eastAsia"/>
                <w:lang w:val="en-US" w:eastAsia="zh-CN"/>
              </w:rPr>
              <w:t>3.383</w:t>
            </w:r>
            <w:r>
              <w:rPr>
                <w:rFonts w:hint="eastAsia" w:ascii="Times New Roman" w:hAnsi="Times New Roman"/>
              </w:rPr>
              <w:t>t/a，脱水后污泥含水量按60%计，则污泥产生量</w:t>
            </w:r>
            <w:r>
              <w:rPr>
                <w:rFonts w:hint="eastAsia" w:ascii="Times New Roman" w:hAnsi="Times New Roman"/>
                <w:highlight w:val="none"/>
              </w:rPr>
              <w:t>为</w:t>
            </w:r>
            <w:r>
              <w:rPr>
                <w:rFonts w:hint="eastAsia"/>
                <w:highlight w:val="none"/>
                <w:lang w:val="en-US" w:eastAsia="zh-CN"/>
              </w:rPr>
              <w:t>8.908</w:t>
            </w:r>
            <w:r>
              <w:rPr>
                <w:rFonts w:hint="eastAsia" w:ascii="Times New Roman" w:hAnsi="Times New Roman"/>
                <w:highlight w:val="none"/>
              </w:rPr>
              <w:t>t/a（</w:t>
            </w:r>
            <w:r>
              <w:rPr>
                <w:rFonts w:hint="eastAsia" w:ascii="Times New Roman" w:hAnsi="Times New Roman"/>
              </w:rPr>
              <w:t>污泥量</w:t>
            </w:r>
            <w:r>
              <w:rPr>
                <w:rFonts w:hint="eastAsia"/>
                <w:lang w:val="en-US" w:eastAsia="zh-CN"/>
              </w:rPr>
              <w:t>8.458</w:t>
            </w:r>
            <w:r>
              <w:rPr>
                <w:rFonts w:hint="eastAsia" w:ascii="Times New Roman" w:hAnsi="Times New Roman"/>
              </w:rPr>
              <w:t>t/a+投加的石灰量</w:t>
            </w:r>
            <w:r>
              <w:rPr>
                <w:rFonts w:hint="eastAsia" w:ascii="Times New Roman" w:hAnsi="Times New Roman"/>
                <w:lang w:val="en-US" w:eastAsia="zh-CN"/>
              </w:rPr>
              <w:t>0.45</w:t>
            </w:r>
            <w:r>
              <w:rPr>
                <w:rFonts w:hint="eastAsia" w:ascii="Times New Roman" w:hAnsi="Times New Roman"/>
              </w:rPr>
              <w:t>t/a）。</w:t>
            </w:r>
          </w:p>
          <w:p w14:paraId="4E561BF5">
            <w:pPr>
              <w:pStyle w:val="20"/>
              <w:ind w:firstLine="480"/>
              <w:rPr>
                <w:rFonts w:hint="default" w:ascii="Times New Roman" w:hAnsi="Times New Roman" w:eastAsia="宋体"/>
                <w:color w:val="auto"/>
                <w:highlight w:val="yellow"/>
                <w:lang w:val="en-US" w:eastAsia="zh-CN"/>
              </w:rPr>
            </w:pPr>
            <w:r>
              <w:rPr>
                <w:rFonts w:hint="eastAsia" w:ascii="Times New Roman" w:hAnsi="Times New Roman"/>
                <w:color w:val="auto"/>
              </w:rPr>
              <w:t>根据</w:t>
            </w:r>
            <w:r>
              <w:rPr>
                <w:rFonts w:hint="eastAsia" w:ascii="Times New Roman" w:hAnsi="Times New Roman"/>
                <w:color w:val="auto"/>
                <w:lang w:eastAsia="zh-CN"/>
              </w:rPr>
              <w:t>《医疗机构水污染物排放标准》（GB18466-2005）（含2026年修改单）</w:t>
            </w:r>
            <w:r>
              <w:rPr>
                <w:rFonts w:hint="eastAsia" w:ascii="Times New Roman" w:hAnsi="Times New Roman"/>
                <w:color w:val="auto"/>
              </w:rPr>
              <w:t>中有关污泥控制与处置的规定：污泥应进行消毒处理，并满足表4的要求，方可进行转移和处置</w:t>
            </w:r>
            <w:r>
              <w:rPr>
                <w:rFonts w:hint="eastAsia" w:ascii="Times New Roman" w:hAnsi="Times New Roman"/>
                <w:color w:val="auto"/>
                <w:highlight w:val="none"/>
              </w:rPr>
              <w:t>。</w:t>
            </w:r>
            <w:r>
              <w:rPr>
                <w:rFonts w:ascii="Segoe UI" w:hAnsi="Segoe UI" w:eastAsia="Segoe UI" w:cs="Segoe UI"/>
                <w:b w:val="0"/>
                <w:bCs w:val="0"/>
                <w:i w:val="0"/>
                <w:iCs w:val="0"/>
                <w:caps w:val="0"/>
                <w:color w:val="auto"/>
                <w:spacing w:val="0"/>
                <w:sz w:val="24"/>
                <w:szCs w:val="24"/>
                <w:shd w:val="clear" w:fill="FFFFFF"/>
              </w:rPr>
              <w:t>本项目</w:t>
            </w:r>
            <w:r>
              <w:rPr>
                <w:rFonts w:hint="default" w:ascii="Segoe UI" w:hAnsi="Segoe UI" w:eastAsia="Segoe UI" w:cs="Segoe UI"/>
                <w:b w:val="0"/>
                <w:bCs w:val="0"/>
                <w:i w:val="0"/>
                <w:iCs w:val="0"/>
                <w:caps w:val="0"/>
                <w:color w:val="auto"/>
                <w:spacing w:val="0"/>
                <w:sz w:val="24"/>
                <w:szCs w:val="24"/>
                <w:shd w:val="clear" w:fill="FFFFFF"/>
              </w:rPr>
              <w:t>污水处理站污泥、化粪池污泥经消毒处理并满足表4要求后</w:t>
            </w:r>
            <w:r>
              <w:rPr>
                <w:rFonts w:hint="eastAsia" w:ascii="Segoe UI" w:hAnsi="Segoe UI" w:eastAsia="宋体" w:cs="Segoe UI"/>
                <w:b w:val="0"/>
                <w:bCs w:val="0"/>
                <w:i w:val="0"/>
                <w:iCs w:val="0"/>
                <w:caps w:val="0"/>
                <w:color w:val="auto"/>
                <w:spacing w:val="0"/>
                <w:sz w:val="24"/>
                <w:szCs w:val="24"/>
                <w:shd w:val="clear" w:fill="FFFFFF"/>
                <w:lang w:eastAsia="zh-CN"/>
              </w:rPr>
              <w:t>，</w:t>
            </w:r>
            <w:r>
              <w:rPr>
                <w:rFonts w:ascii="Segoe UI" w:hAnsi="Segoe UI" w:eastAsia="Segoe UI" w:cs="Segoe UI"/>
                <w:b w:val="0"/>
                <w:bCs w:val="0"/>
                <w:i w:val="0"/>
                <w:iCs w:val="0"/>
                <w:caps w:val="0"/>
                <w:color w:val="0F1115"/>
                <w:spacing w:val="0"/>
                <w:sz w:val="24"/>
                <w:szCs w:val="24"/>
                <w:shd w:val="clear" w:fill="FFFFFF"/>
              </w:rPr>
              <w:t>按一般固体废物进行管理，委托有能力的单位进行处置</w:t>
            </w:r>
            <w:r>
              <w:rPr>
                <w:rFonts w:hint="default" w:ascii="Segoe UI" w:hAnsi="Segoe UI" w:eastAsia="Segoe UI" w:cs="Segoe UI"/>
                <w:b w:val="0"/>
                <w:bCs w:val="0"/>
                <w:i w:val="0"/>
                <w:iCs w:val="0"/>
                <w:caps w:val="0"/>
                <w:color w:val="0F1115"/>
                <w:spacing w:val="0"/>
                <w:sz w:val="24"/>
                <w:szCs w:val="24"/>
                <w:shd w:val="clear" w:fill="FFFFFF"/>
              </w:rPr>
              <w:t>。</w:t>
            </w:r>
          </w:p>
          <w:p w14:paraId="61EEE07E">
            <w:pPr>
              <w:rPr>
                <w:rFonts w:hint="eastAsia"/>
                <w:lang w:val="en-US" w:eastAsia="zh-CN"/>
              </w:rPr>
            </w:pPr>
          </w:p>
          <w:p w14:paraId="3BDA0C98">
            <w:pPr>
              <w:autoSpaceDE/>
              <w:autoSpaceDN/>
              <w:adjustRightInd/>
              <w:spacing w:line="360" w:lineRule="auto"/>
              <w:ind w:firstLine="480"/>
              <w:rPr>
                <w:rFonts w:hint="eastAsia" w:ascii="Times New Roman" w:hAnsi="Times New Roman" w:eastAsia="宋体"/>
                <w:b/>
                <w:bCs w:val="0"/>
                <w:color w:val="auto"/>
                <w:sz w:val="24"/>
                <w:highlight w:val="none"/>
                <w:lang w:eastAsia="zh-CN"/>
              </w:rPr>
            </w:pPr>
            <w:r>
              <w:rPr>
                <w:rFonts w:hint="eastAsia" w:ascii="Times New Roman" w:hAnsi="Times New Roman"/>
                <w:b/>
                <w:bCs w:val="0"/>
                <w:color w:val="auto"/>
                <w:sz w:val="24"/>
                <w:highlight w:val="none"/>
                <w:lang w:eastAsia="zh-CN"/>
              </w:rPr>
              <w:t>危险废物</w:t>
            </w:r>
          </w:p>
          <w:p w14:paraId="6A953E58">
            <w:pPr>
              <w:autoSpaceDE/>
              <w:autoSpaceDN/>
              <w:adjustRightInd/>
              <w:spacing w:line="360" w:lineRule="auto"/>
              <w:ind w:firstLine="480"/>
              <w:rPr>
                <w:rFonts w:hint="default" w:ascii="Calibri" w:hAnsi="Calibri" w:eastAsia="宋体" w:cs="Calibri"/>
                <w:b w:val="0"/>
                <w:bCs/>
                <w:color w:val="auto"/>
                <w:sz w:val="24"/>
                <w:szCs w:val="24"/>
                <w:highlight w:val="none"/>
                <w:lang w:val="en-US" w:eastAsia="zh-CN"/>
              </w:rPr>
            </w:pPr>
            <w:r>
              <w:rPr>
                <w:rFonts w:ascii="Times New Roman" w:hAnsi="Times New Roman"/>
                <w:b w:val="0"/>
                <w:bCs w:val="0"/>
                <w:sz w:val="24"/>
              </w:rPr>
              <w:t>①</w:t>
            </w:r>
            <w:r>
              <w:rPr>
                <w:rFonts w:hint="eastAsia" w:ascii="Times New Roman" w:hAnsi="Times New Roman"/>
                <w:b w:val="0"/>
                <w:bCs/>
                <w:color w:val="auto"/>
                <w:sz w:val="24"/>
                <w:highlight w:val="none"/>
                <w:lang w:eastAsia="zh-CN"/>
              </w:rPr>
              <w:t>废药品</w:t>
            </w:r>
            <w:r>
              <w:rPr>
                <w:rFonts w:hint="eastAsia" w:ascii="Times New Roman" w:hAnsi="Times New Roman"/>
                <w:b/>
                <w:color w:val="auto"/>
                <w:sz w:val="24"/>
                <w:highlight w:val="none"/>
              </w:rPr>
              <w:t>：</w:t>
            </w:r>
            <w:bookmarkStart w:id="7" w:name="OLE_LINK14"/>
            <w:r>
              <w:rPr>
                <w:rFonts w:hint="eastAsia" w:ascii="Times New Roman" w:hAnsi="Times New Roman" w:eastAsia="宋体" w:cs="Times New Roman"/>
                <w:b w:val="0"/>
                <w:bCs/>
                <w:color w:val="auto"/>
                <w:sz w:val="24"/>
                <w:szCs w:val="24"/>
                <w:highlight w:val="none"/>
                <w:lang w:val="en-US" w:eastAsia="zh-CN"/>
              </w:rPr>
              <w:t>在营运期间药房内需定期清理库存，产生的失效、变质、不合格、淘汰、伪劣的化学药品和生物制品以及《医疗用毒性药品管理办法》中所列的毒性中药等药物性废物，属 HW03 类危险废物</w:t>
            </w:r>
            <w:r>
              <w:rPr>
                <w:rFonts w:hint="eastAsia" w:cs="Times New Roman"/>
                <w:b w:val="0"/>
                <w:bCs/>
                <w:color w:val="auto"/>
                <w:sz w:val="24"/>
                <w:szCs w:val="24"/>
                <w:highlight w:val="none"/>
                <w:lang w:val="en-US" w:eastAsia="zh-CN"/>
              </w:rPr>
              <w:t>（</w:t>
            </w:r>
            <w:r>
              <w:rPr>
                <w:rFonts w:hint="eastAsia" w:ascii="Times New Roman" w:hAnsi="Times New Roman" w:eastAsia="宋体" w:cs="Times New Roman"/>
                <w:b w:val="0"/>
                <w:bCs/>
                <w:color w:val="auto"/>
                <w:sz w:val="24"/>
                <w:szCs w:val="24"/>
                <w:highlight w:val="none"/>
                <w:lang w:val="en-US" w:eastAsia="zh-CN"/>
              </w:rPr>
              <w:t>废物代码为900-002-03</w:t>
            </w:r>
            <w:r>
              <w:rPr>
                <w:rFonts w:hint="eastAsia" w:cs="Times New Roman"/>
                <w:b w:val="0"/>
                <w:bCs/>
                <w:color w:val="auto"/>
                <w:sz w:val="24"/>
                <w:szCs w:val="24"/>
                <w:highlight w:val="none"/>
                <w:lang w:val="en-US" w:eastAsia="zh-CN"/>
              </w:rPr>
              <w:t>）</w:t>
            </w:r>
            <w:r>
              <w:rPr>
                <w:rFonts w:hint="eastAsia" w:ascii="Times New Roman" w:hAnsi="Times New Roman" w:eastAsia="宋体" w:cs="Times New Roman"/>
                <w:b w:val="0"/>
                <w:bCs/>
                <w:color w:val="auto"/>
                <w:sz w:val="24"/>
                <w:szCs w:val="24"/>
                <w:highlight w:val="none"/>
                <w:lang w:val="en-US" w:eastAsia="zh-CN"/>
              </w:rPr>
              <w:t>，根据建设单位提供的资料，废药品产生量约为0.3t/a，使用专用收纳袋封装，交由有相应医疗废物处理资质的单位处置。</w:t>
            </w:r>
          </w:p>
          <w:p w14:paraId="00703E18">
            <w:pPr>
              <w:autoSpaceDE/>
              <w:autoSpaceDN/>
              <w:adjustRightInd/>
              <w:spacing w:line="360" w:lineRule="auto"/>
              <w:ind w:firstLine="480"/>
              <w:rPr>
                <w:rFonts w:hint="default" w:ascii="Times New Roman" w:hAnsi="Times New Roman" w:eastAsia="宋体" w:cs="Times New Roman"/>
                <w:b w:val="0"/>
                <w:bCs/>
                <w:color w:val="auto"/>
                <w:sz w:val="24"/>
                <w:szCs w:val="24"/>
                <w:highlight w:val="none"/>
                <w:lang w:val="en-US" w:eastAsia="zh-CN"/>
              </w:rPr>
            </w:pPr>
            <w:r>
              <w:rPr>
                <w:rFonts w:hint="eastAsia" w:ascii="Times New Roman" w:hAnsi="Times New Roman"/>
                <w:b w:val="0"/>
                <w:bCs/>
                <w:color w:val="auto"/>
                <w:sz w:val="24"/>
                <w:highlight w:val="none"/>
              </w:rPr>
              <w:t>②</w:t>
            </w:r>
            <w:r>
              <w:rPr>
                <w:rFonts w:hint="eastAsia" w:ascii="Times New Roman" w:hAnsi="Times New Roman" w:eastAsia="宋体" w:cs="Times New Roman"/>
                <w:b w:val="0"/>
                <w:bCs/>
                <w:color w:val="auto"/>
                <w:sz w:val="24"/>
                <w:szCs w:val="24"/>
                <w:highlight w:val="none"/>
                <w:lang w:val="en-US" w:eastAsia="zh-CN"/>
              </w:rPr>
              <w:t>医疗废物：</w:t>
            </w:r>
          </w:p>
          <w:bookmarkEnd w:id="7"/>
          <w:p w14:paraId="7DD060FA">
            <w:pPr>
              <w:pStyle w:val="20"/>
              <w:ind w:firstLine="480"/>
              <w:rPr>
                <w:rFonts w:hint="default" w:ascii="Times New Roman" w:hAnsi="Times New Roman" w:cs="Times New Roman"/>
                <w:lang w:eastAsia="zh-CN"/>
              </w:rPr>
            </w:pPr>
            <w:r>
              <w:rPr>
                <w:rFonts w:ascii="Times New Roman" w:hAnsi="Times New Roman" w:cs="Times New Roman"/>
              </w:rPr>
              <w:t>根据《国家危险废物名录（202</w:t>
            </w:r>
            <w:r>
              <w:rPr>
                <w:rFonts w:hint="default" w:ascii="Times New Roman" w:hAnsi="Times New Roman" w:cs="Times New Roman"/>
                <w:lang w:val="en-US" w:eastAsia="zh-CN"/>
              </w:rPr>
              <w:t>5</w:t>
            </w:r>
            <w:r>
              <w:rPr>
                <w:rFonts w:ascii="Times New Roman" w:hAnsi="Times New Roman" w:cs="Times New Roman"/>
              </w:rPr>
              <w:t>版）》和《医疗废物分类名录（2021版）》，</w:t>
            </w:r>
            <w:r>
              <w:rPr>
                <w:rFonts w:ascii="Times New Roman" w:hAnsi="Times New Roman" w:eastAsia="Segoe UI" w:cs="Times New Roman"/>
                <w:i w:val="0"/>
                <w:iCs w:val="0"/>
                <w:caps w:val="0"/>
                <w:color w:val="0F1115"/>
                <w:spacing w:val="0"/>
                <w:sz w:val="24"/>
                <w:szCs w:val="24"/>
                <w:shd w:val="clear" w:color="auto" w:fill="FFFFFF"/>
              </w:rPr>
              <w:t>医疗废物属于危险废物，废物类别为HW01，主要分为五类：感染性废物（841-001-01）、损伤性废物（841-002-01）、病理性废物（841-003-01）、化学性废物（841-004-01）、药物性废物（841-005-01）</w:t>
            </w:r>
          </w:p>
          <w:p w14:paraId="50505335">
            <w:pPr>
              <w:pStyle w:val="20"/>
              <w:ind w:firstLine="480"/>
              <w:rPr>
                <w:rFonts w:hint="eastAsia" w:ascii="Times New Roman" w:hAnsi="Times New Roman" w:eastAsia="宋体"/>
                <w:lang w:eastAsia="zh-CN"/>
              </w:rPr>
            </w:pPr>
            <w:r>
              <w:rPr>
                <w:rFonts w:hint="eastAsia" w:ascii="Times New Roman" w:hAnsi="Times New Roman"/>
                <w:lang w:eastAsia="zh-CN"/>
              </w:rPr>
              <w:t>本项目涉及手术，</w:t>
            </w:r>
            <w:r>
              <w:rPr>
                <w:rFonts w:ascii="Segoe UI" w:hAnsi="Segoe UI" w:eastAsia="Segoe UI" w:cs="Segoe UI"/>
                <w:i w:val="0"/>
                <w:iCs w:val="0"/>
                <w:caps w:val="0"/>
                <w:color w:val="0F1115"/>
                <w:spacing w:val="0"/>
                <w:sz w:val="24"/>
                <w:szCs w:val="24"/>
                <w:shd w:val="clear" w:color="auto" w:fill="FFFFFF"/>
              </w:rPr>
              <w:t>医疗设施产生的医疗废物主要包括感染性废物、损伤性废物、病理性废物、药物性废物和化学性废物。</w:t>
            </w:r>
          </w:p>
          <w:p w14:paraId="27CABE17">
            <w:pPr>
              <w:pStyle w:val="29"/>
              <w:rPr>
                <w:color w:val="000000"/>
              </w:rPr>
            </w:pPr>
            <w:r>
              <w:rPr>
                <w:color w:val="000000"/>
              </w:rPr>
              <w:t>表4-1</w:t>
            </w:r>
            <w:r>
              <w:rPr>
                <w:rFonts w:hint="eastAsia"/>
                <w:color w:val="000000"/>
                <w:lang w:val="en-US" w:eastAsia="zh-CN"/>
              </w:rPr>
              <w:t>3</w:t>
            </w:r>
            <w:r>
              <w:rPr>
                <w:color w:val="000000"/>
              </w:rPr>
              <w:t xml:space="preserve"> 项目医疗废物分类及处置措施</w:t>
            </w:r>
          </w:p>
          <w:tbl>
            <w:tblPr>
              <w:tblStyle w:val="14"/>
              <w:tblW w:w="494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389"/>
              <w:gridCol w:w="900"/>
              <w:gridCol w:w="1663"/>
              <w:gridCol w:w="4288"/>
              <w:gridCol w:w="881"/>
            </w:tblGrid>
            <w:tr w14:paraId="08F855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420" w:type="dxa"/>
                  <w:noWrap w:val="0"/>
                  <w:vAlign w:val="center"/>
                </w:tcPr>
                <w:p w14:paraId="19ACE527">
                  <w:pPr>
                    <w:pStyle w:val="31"/>
                    <w:jc w:val="center"/>
                    <w:rPr>
                      <w:rFonts w:cs="Times New Roman"/>
                      <w:color w:val="000000"/>
                    </w:rPr>
                  </w:pPr>
                  <w:r>
                    <w:rPr>
                      <w:rFonts w:cs="Times New Roman"/>
                      <w:color w:val="000000"/>
                    </w:rPr>
                    <w:t>序号</w:t>
                  </w:r>
                </w:p>
              </w:tc>
              <w:tc>
                <w:tcPr>
                  <w:tcW w:w="980" w:type="dxa"/>
                  <w:noWrap w:val="0"/>
                  <w:vAlign w:val="center"/>
                </w:tcPr>
                <w:p w14:paraId="5FFE3FD6">
                  <w:pPr>
                    <w:pStyle w:val="31"/>
                    <w:jc w:val="center"/>
                    <w:rPr>
                      <w:rFonts w:cs="Times New Roman"/>
                      <w:color w:val="000000"/>
                    </w:rPr>
                  </w:pPr>
                  <w:r>
                    <w:rPr>
                      <w:rFonts w:cs="Times New Roman"/>
                      <w:color w:val="000000"/>
                    </w:rPr>
                    <w:t>医疗废物类别</w:t>
                  </w:r>
                </w:p>
              </w:tc>
              <w:tc>
                <w:tcPr>
                  <w:tcW w:w="1818" w:type="dxa"/>
                  <w:noWrap w:val="0"/>
                  <w:vAlign w:val="center"/>
                </w:tcPr>
                <w:p w14:paraId="2D437B81">
                  <w:pPr>
                    <w:pStyle w:val="31"/>
                    <w:jc w:val="center"/>
                    <w:rPr>
                      <w:rFonts w:cs="Times New Roman"/>
                      <w:color w:val="000000"/>
                    </w:rPr>
                  </w:pPr>
                  <w:r>
                    <w:rPr>
                      <w:rFonts w:cs="Times New Roman"/>
                      <w:color w:val="000000"/>
                    </w:rPr>
                    <w:t>特征</w:t>
                  </w:r>
                </w:p>
              </w:tc>
              <w:tc>
                <w:tcPr>
                  <w:tcW w:w="4699" w:type="dxa"/>
                  <w:noWrap w:val="0"/>
                  <w:vAlign w:val="center"/>
                </w:tcPr>
                <w:p w14:paraId="392E120B">
                  <w:pPr>
                    <w:pStyle w:val="31"/>
                    <w:rPr>
                      <w:rFonts w:cs="Times New Roman"/>
                      <w:color w:val="000000"/>
                    </w:rPr>
                  </w:pPr>
                  <w:r>
                    <w:rPr>
                      <w:rFonts w:cs="Times New Roman"/>
                      <w:color w:val="000000"/>
                    </w:rPr>
                    <w:t>常见组分或者废物</w:t>
                  </w:r>
                </w:p>
              </w:tc>
              <w:tc>
                <w:tcPr>
                  <w:tcW w:w="959" w:type="dxa"/>
                  <w:noWrap w:val="0"/>
                  <w:vAlign w:val="center"/>
                </w:tcPr>
                <w:p w14:paraId="20CC73B9">
                  <w:pPr>
                    <w:pStyle w:val="31"/>
                    <w:rPr>
                      <w:rFonts w:cs="Times New Roman"/>
                      <w:color w:val="000000"/>
                    </w:rPr>
                  </w:pPr>
                  <w:r>
                    <w:rPr>
                      <w:rFonts w:cs="Times New Roman"/>
                      <w:color w:val="000000"/>
                    </w:rPr>
                    <w:t>收集处</w:t>
                  </w:r>
                </w:p>
                <w:p w14:paraId="7DA27624">
                  <w:pPr>
                    <w:pStyle w:val="31"/>
                    <w:rPr>
                      <w:rFonts w:cs="Times New Roman"/>
                      <w:color w:val="000000"/>
                    </w:rPr>
                  </w:pPr>
                  <w:r>
                    <w:rPr>
                      <w:rFonts w:cs="Times New Roman"/>
                      <w:color w:val="000000"/>
                    </w:rPr>
                    <w:t>置方式</w:t>
                  </w:r>
                </w:p>
              </w:tc>
            </w:tr>
            <w:tr w14:paraId="3F2CB8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420" w:type="dxa"/>
                  <w:noWrap w:val="0"/>
                  <w:vAlign w:val="center"/>
                </w:tcPr>
                <w:p w14:paraId="1848989A">
                  <w:pPr>
                    <w:pStyle w:val="31"/>
                    <w:jc w:val="center"/>
                    <w:rPr>
                      <w:rFonts w:cs="Times New Roman"/>
                      <w:color w:val="000000"/>
                    </w:rPr>
                  </w:pPr>
                  <w:r>
                    <w:rPr>
                      <w:rFonts w:cs="Times New Roman"/>
                      <w:color w:val="000000"/>
                    </w:rPr>
                    <w:t>1</w:t>
                  </w:r>
                </w:p>
              </w:tc>
              <w:tc>
                <w:tcPr>
                  <w:tcW w:w="980" w:type="dxa"/>
                  <w:noWrap w:val="0"/>
                  <w:vAlign w:val="center"/>
                </w:tcPr>
                <w:p w14:paraId="15F42BC0">
                  <w:pPr>
                    <w:pStyle w:val="31"/>
                    <w:jc w:val="center"/>
                    <w:rPr>
                      <w:rFonts w:cs="Times New Roman"/>
                      <w:color w:val="000000"/>
                    </w:rPr>
                  </w:pPr>
                  <w:r>
                    <w:rPr>
                      <w:rFonts w:cs="Times New Roman"/>
                      <w:color w:val="000000"/>
                    </w:rPr>
                    <w:t>感染性废物</w:t>
                  </w:r>
                </w:p>
              </w:tc>
              <w:tc>
                <w:tcPr>
                  <w:tcW w:w="1818" w:type="dxa"/>
                  <w:noWrap w:val="0"/>
                  <w:vAlign w:val="center"/>
                </w:tcPr>
                <w:p w14:paraId="6D3F4354">
                  <w:pPr>
                    <w:pStyle w:val="31"/>
                    <w:jc w:val="center"/>
                    <w:rPr>
                      <w:rFonts w:cs="Times New Roman"/>
                      <w:color w:val="000000"/>
                    </w:rPr>
                  </w:pPr>
                  <w:r>
                    <w:rPr>
                      <w:rFonts w:cs="Times New Roman"/>
                      <w:color w:val="000000"/>
                    </w:rPr>
                    <w:t>携带病原微生物，具有引发感染性疾病传播危险的医疗废物</w:t>
                  </w:r>
                </w:p>
              </w:tc>
              <w:tc>
                <w:tcPr>
                  <w:tcW w:w="4699" w:type="dxa"/>
                  <w:noWrap w:val="0"/>
                  <w:vAlign w:val="center"/>
                </w:tcPr>
                <w:p w14:paraId="67D1DF04">
                  <w:pPr>
                    <w:pStyle w:val="31"/>
                    <w:jc w:val="both"/>
                    <w:rPr>
                      <w:rFonts w:cs="Times New Roman"/>
                      <w:color w:val="000000"/>
                      <w:highlight w:val="none"/>
                    </w:rPr>
                  </w:pPr>
                  <w:r>
                    <w:rPr>
                      <w:rFonts w:hint="eastAsia" w:ascii="宋体" w:hAnsi="宋体"/>
                      <w:color w:val="000000"/>
                      <w:highlight w:val="none"/>
                    </w:rPr>
                    <w:t>①</w:t>
                  </w:r>
                  <w:r>
                    <w:rPr>
                      <w:rFonts w:cs="Times New Roman"/>
                      <w:color w:val="000000"/>
                      <w:highlight w:val="none"/>
                    </w:rPr>
                    <w:t>被病人血液、体液、排泄物污染的物品，包括：棉球、棉签、引流棉条、纱布及其他各种敷料；一次性使用的卫生用品、医疗用品及医疗器械；废弃的被服；其他被病人血液、体液、排泄物污染的物品。</w:t>
                  </w:r>
                </w:p>
                <w:p w14:paraId="10619F5F">
                  <w:pPr>
                    <w:pStyle w:val="31"/>
                    <w:jc w:val="both"/>
                    <w:rPr>
                      <w:rFonts w:cs="Times New Roman"/>
                      <w:color w:val="000000"/>
                      <w:highlight w:val="none"/>
                    </w:rPr>
                  </w:pPr>
                  <w:r>
                    <w:rPr>
                      <w:rFonts w:hint="eastAsia" w:ascii="宋体" w:hAnsi="宋体"/>
                      <w:color w:val="000000"/>
                      <w:highlight w:val="none"/>
                    </w:rPr>
                    <w:t>②</w:t>
                  </w:r>
                  <w:r>
                    <w:rPr>
                      <w:rFonts w:cs="Times New Roman"/>
                      <w:color w:val="000000"/>
                      <w:highlight w:val="none"/>
                    </w:rPr>
                    <w:t>病原体的培养基、标本。</w:t>
                  </w:r>
                </w:p>
                <w:p w14:paraId="215BA080">
                  <w:pPr>
                    <w:pStyle w:val="31"/>
                    <w:jc w:val="both"/>
                    <w:rPr>
                      <w:rFonts w:cs="Times New Roman"/>
                      <w:color w:val="000000"/>
                      <w:highlight w:val="none"/>
                    </w:rPr>
                  </w:pPr>
                  <w:r>
                    <w:rPr>
                      <w:rFonts w:hint="eastAsia" w:ascii="宋体" w:hAnsi="宋体"/>
                      <w:color w:val="000000"/>
                      <w:highlight w:val="none"/>
                    </w:rPr>
                    <w:t>③</w:t>
                  </w:r>
                  <w:r>
                    <w:rPr>
                      <w:rFonts w:cs="Times New Roman"/>
                      <w:color w:val="000000"/>
                      <w:highlight w:val="none"/>
                    </w:rPr>
                    <w:t>各种废弃的医学标本。</w:t>
                  </w:r>
                </w:p>
                <w:p w14:paraId="1513919D">
                  <w:pPr>
                    <w:pStyle w:val="31"/>
                    <w:jc w:val="both"/>
                    <w:rPr>
                      <w:rFonts w:cs="Times New Roman"/>
                      <w:color w:val="000000"/>
                      <w:highlight w:val="none"/>
                    </w:rPr>
                  </w:pPr>
                  <w:r>
                    <w:rPr>
                      <w:rFonts w:hint="eastAsia" w:ascii="宋体" w:hAnsi="宋体"/>
                      <w:color w:val="000000"/>
                      <w:highlight w:val="none"/>
                    </w:rPr>
                    <w:t>④</w:t>
                  </w:r>
                  <w:r>
                    <w:rPr>
                      <w:rFonts w:cs="Times New Roman"/>
                      <w:color w:val="000000"/>
                      <w:highlight w:val="none"/>
                    </w:rPr>
                    <w:t>废弃的血液、血清。</w:t>
                  </w:r>
                </w:p>
                <w:p w14:paraId="63BA4AB8">
                  <w:pPr>
                    <w:pStyle w:val="31"/>
                    <w:jc w:val="both"/>
                    <w:rPr>
                      <w:rFonts w:cs="Times New Roman"/>
                      <w:color w:val="000000"/>
                      <w:highlight w:val="none"/>
                    </w:rPr>
                  </w:pPr>
                  <w:r>
                    <w:rPr>
                      <w:rFonts w:hint="eastAsia" w:ascii="宋体" w:hAnsi="宋体"/>
                      <w:color w:val="000000"/>
                      <w:highlight w:val="none"/>
                    </w:rPr>
                    <w:t>⑤</w:t>
                  </w:r>
                  <w:r>
                    <w:rPr>
                      <w:rFonts w:cs="Times New Roman"/>
                      <w:color w:val="000000"/>
                      <w:highlight w:val="none"/>
                    </w:rPr>
                    <w:t>使用后的一次性医疗用品、医疗器械。</w:t>
                  </w:r>
                </w:p>
                <w:p w14:paraId="3F5247FD">
                  <w:pPr>
                    <w:pStyle w:val="31"/>
                    <w:jc w:val="both"/>
                    <w:rPr>
                      <w:rFonts w:cs="Times New Roman"/>
                      <w:color w:val="000000"/>
                      <w:highlight w:val="none"/>
                    </w:rPr>
                  </w:pPr>
                  <w:r>
                    <w:rPr>
                      <w:rFonts w:hint="eastAsia" w:ascii="宋体" w:hAnsi="宋体"/>
                      <w:color w:val="000000"/>
                      <w:highlight w:val="none"/>
                    </w:rPr>
                    <w:t>⑥</w:t>
                  </w:r>
                  <w:r>
                    <w:rPr>
                      <w:rFonts w:cs="Times New Roman"/>
                      <w:color w:val="000000"/>
                      <w:highlight w:val="none"/>
                    </w:rPr>
                    <w:t>医疗机构收治的隔离传染病病人或者疑似传染病病人产生的生活垃圾。</w:t>
                  </w:r>
                </w:p>
              </w:tc>
              <w:tc>
                <w:tcPr>
                  <w:tcW w:w="959" w:type="dxa"/>
                  <w:vMerge w:val="restart"/>
                  <w:noWrap w:val="0"/>
                  <w:vAlign w:val="center"/>
                </w:tcPr>
                <w:p w14:paraId="46F6FD5F">
                  <w:pPr>
                    <w:pStyle w:val="31"/>
                    <w:rPr>
                      <w:rFonts w:cs="Times New Roman"/>
                      <w:color w:val="000000"/>
                      <w:highlight w:val="none"/>
                    </w:rPr>
                  </w:pPr>
                  <w:r>
                    <w:rPr>
                      <w:rFonts w:cs="Times New Roman"/>
                      <w:color w:val="000000"/>
                      <w:highlight w:val="none"/>
                    </w:rPr>
                    <w:t>分类收集后存放在</w:t>
                  </w:r>
                  <w:r>
                    <w:rPr>
                      <w:rFonts w:hint="eastAsia" w:cs="Times New Roman"/>
                      <w:color w:val="000000"/>
                      <w:highlight w:val="none"/>
                      <w:lang w:eastAsia="zh-CN"/>
                    </w:rPr>
                    <w:t>医院医疗废物暂存间</w:t>
                  </w:r>
                  <w:r>
                    <w:rPr>
                      <w:rFonts w:cs="Times New Roman"/>
                      <w:color w:val="000000"/>
                      <w:highlight w:val="none"/>
                    </w:rPr>
                    <w:t>，定期委托有资质单位处理。</w:t>
                  </w:r>
                </w:p>
              </w:tc>
            </w:tr>
            <w:tr w14:paraId="4E5637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420" w:type="dxa"/>
                  <w:noWrap w:val="0"/>
                  <w:vAlign w:val="center"/>
                </w:tcPr>
                <w:p w14:paraId="51ED9384">
                  <w:pPr>
                    <w:pStyle w:val="31"/>
                    <w:jc w:val="center"/>
                    <w:rPr>
                      <w:rFonts w:hint="eastAsia" w:eastAsia="宋体" w:cs="Times New Roman"/>
                      <w:color w:val="000000"/>
                      <w:lang w:eastAsia="zh-CN"/>
                    </w:rPr>
                  </w:pPr>
                  <w:r>
                    <w:rPr>
                      <w:rFonts w:hint="eastAsia" w:cs="Times New Roman"/>
                      <w:color w:val="000000"/>
                      <w:lang w:val="en-US" w:eastAsia="zh-CN"/>
                    </w:rPr>
                    <w:t>2</w:t>
                  </w:r>
                </w:p>
              </w:tc>
              <w:tc>
                <w:tcPr>
                  <w:tcW w:w="980" w:type="dxa"/>
                  <w:noWrap w:val="0"/>
                  <w:vAlign w:val="center"/>
                </w:tcPr>
                <w:p w14:paraId="25F59E49">
                  <w:pPr>
                    <w:pStyle w:val="31"/>
                    <w:jc w:val="center"/>
                    <w:rPr>
                      <w:rFonts w:cs="Times New Roman"/>
                      <w:color w:val="000000"/>
                    </w:rPr>
                  </w:pPr>
                  <w:r>
                    <w:rPr>
                      <w:rFonts w:cs="Times New Roman"/>
                      <w:color w:val="000000"/>
                    </w:rPr>
                    <w:t>损伤性废物</w:t>
                  </w:r>
                </w:p>
              </w:tc>
              <w:tc>
                <w:tcPr>
                  <w:tcW w:w="1818" w:type="dxa"/>
                  <w:noWrap w:val="0"/>
                  <w:vAlign w:val="center"/>
                </w:tcPr>
                <w:p w14:paraId="625C022E">
                  <w:pPr>
                    <w:pStyle w:val="31"/>
                    <w:jc w:val="center"/>
                    <w:rPr>
                      <w:rFonts w:cs="Times New Roman"/>
                      <w:color w:val="000000"/>
                    </w:rPr>
                  </w:pPr>
                  <w:r>
                    <w:rPr>
                      <w:rFonts w:cs="Times New Roman"/>
                      <w:color w:val="000000"/>
                      <w:kern w:val="0"/>
                      <w:szCs w:val="21"/>
                    </w:rPr>
                    <w:t>能够刺伤或者割伤人体的废弃的医用锐器</w:t>
                  </w:r>
                </w:p>
              </w:tc>
              <w:tc>
                <w:tcPr>
                  <w:tcW w:w="4699" w:type="dxa"/>
                  <w:noWrap w:val="0"/>
                  <w:vAlign w:val="center"/>
                </w:tcPr>
                <w:p w14:paraId="1810D440">
                  <w:pPr>
                    <w:pStyle w:val="31"/>
                    <w:jc w:val="both"/>
                    <w:rPr>
                      <w:rFonts w:cs="Times New Roman"/>
                      <w:color w:val="000000"/>
                    </w:rPr>
                  </w:pPr>
                  <w:r>
                    <w:rPr>
                      <w:rFonts w:hint="eastAsia" w:ascii="宋体" w:hAnsi="宋体"/>
                      <w:color w:val="000000"/>
                    </w:rPr>
                    <w:t>①</w:t>
                  </w:r>
                  <w:r>
                    <w:rPr>
                      <w:rFonts w:cs="Times New Roman"/>
                      <w:color w:val="000000"/>
                    </w:rPr>
                    <w:t>医用针头、缝合针。</w:t>
                  </w:r>
                </w:p>
                <w:p w14:paraId="112063C2">
                  <w:pPr>
                    <w:pStyle w:val="31"/>
                    <w:jc w:val="both"/>
                    <w:rPr>
                      <w:rFonts w:cs="Times New Roman"/>
                      <w:color w:val="000000"/>
                    </w:rPr>
                  </w:pPr>
                  <w:r>
                    <w:rPr>
                      <w:rFonts w:hint="eastAsia" w:ascii="宋体" w:hAnsi="宋体"/>
                      <w:color w:val="000000"/>
                    </w:rPr>
                    <w:t>②</w:t>
                  </w:r>
                  <w:r>
                    <w:rPr>
                      <w:rFonts w:cs="Times New Roman"/>
                      <w:color w:val="000000"/>
                    </w:rPr>
                    <w:t>各类医用锐器，包括：手术刀具、备皮刀等。</w:t>
                  </w:r>
                </w:p>
                <w:p w14:paraId="263B948E">
                  <w:pPr>
                    <w:pStyle w:val="31"/>
                    <w:jc w:val="both"/>
                    <w:rPr>
                      <w:rFonts w:cs="Times New Roman"/>
                      <w:color w:val="000000"/>
                    </w:rPr>
                  </w:pPr>
                  <w:r>
                    <w:rPr>
                      <w:rFonts w:hint="eastAsia" w:ascii="宋体" w:hAnsi="宋体"/>
                      <w:color w:val="000000"/>
                    </w:rPr>
                    <w:t>③</w:t>
                  </w:r>
                  <w:r>
                    <w:rPr>
                      <w:rFonts w:cs="Times New Roman"/>
                      <w:color w:val="000000"/>
                    </w:rPr>
                    <w:t>载玻片、玻璃试管、玻璃安瓿等。</w:t>
                  </w:r>
                </w:p>
              </w:tc>
              <w:tc>
                <w:tcPr>
                  <w:tcW w:w="959" w:type="dxa"/>
                  <w:vMerge w:val="continue"/>
                  <w:noWrap w:val="0"/>
                  <w:vAlign w:val="center"/>
                </w:tcPr>
                <w:p w14:paraId="3CB47A25">
                  <w:pPr>
                    <w:pStyle w:val="31"/>
                    <w:rPr>
                      <w:rFonts w:cs="Times New Roman"/>
                      <w:color w:val="000000"/>
                    </w:rPr>
                  </w:pPr>
                </w:p>
              </w:tc>
            </w:tr>
            <w:tr w14:paraId="43DD09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420" w:type="dxa"/>
                  <w:noWrap w:val="0"/>
                  <w:vAlign w:val="center"/>
                </w:tcPr>
                <w:p w14:paraId="55CC57EC">
                  <w:pPr>
                    <w:pStyle w:val="31"/>
                    <w:jc w:val="center"/>
                    <w:rPr>
                      <w:rFonts w:hint="default" w:cs="Times New Roman"/>
                      <w:color w:val="000000"/>
                      <w:lang w:val="en-US" w:eastAsia="zh-CN"/>
                    </w:rPr>
                  </w:pPr>
                  <w:r>
                    <w:rPr>
                      <w:rFonts w:hint="eastAsia" w:cs="Times New Roman"/>
                      <w:color w:val="000000"/>
                      <w:lang w:val="en-US" w:eastAsia="zh-CN"/>
                    </w:rPr>
                    <w:t>3</w:t>
                  </w:r>
                </w:p>
              </w:tc>
              <w:tc>
                <w:tcPr>
                  <w:tcW w:w="980" w:type="dxa"/>
                  <w:noWrap w:val="0"/>
                  <w:vAlign w:val="center"/>
                </w:tcPr>
                <w:p w14:paraId="0FCF79FE">
                  <w:pPr>
                    <w:pStyle w:val="31"/>
                    <w:jc w:val="center"/>
                    <w:rPr>
                      <w:rFonts w:cs="Times New Roman"/>
                      <w:color w:val="000000"/>
                    </w:rPr>
                  </w:pPr>
                  <w:r>
                    <w:rPr>
                      <w:rFonts w:hint="eastAsia" w:cs="Times New Roman"/>
                      <w:color w:val="000000"/>
                    </w:rPr>
                    <w:t>病理性废物</w:t>
                  </w:r>
                </w:p>
              </w:tc>
              <w:tc>
                <w:tcPr>
                  <w:tcW w:w="1818" w:type="dxa"/>
                  <w:noWrap w:val="0"/>
                  <w:vAlign w:val="center"/>
                </w:tcPr>
                <w:p w14:paraId="5E1DB657">
                  <w:pPr>
                    <w:pStyle w:val="31"/>
                    <w:jc w:val="center"/>
                    <w:rPr>
                      <w:rFonts w:cs="Times New Roman"/>
                      <w:color w:val="000000"/>
                      <w:kern w:val="0"/>
                      <w:szCs w:val="21"/>
                    </w:rPr>
                  </w:pPr>
                  <w:r>
                    <w:rPr>
                      <w:rFonts w:hint="eastAsia" w:cs="Times New Roman"/>
                      <w:color w:val="000000"/>
                      <w:kern w:val="0"/>
                      <w:szCs w:val="21"/>
                    </w:rPr>
                    <w:t>诊疗过程中产生的人体废弃物和医学实验动物尸体等</w:t>
                  </w:r>
                </w:p>
              </w:tc>
              <w:tc>
                <w:tcPr>
                  <w:tcW w:w="4699" w:type="dxa"/>
                  <w:noWrap w:val="0"/>
                  <w:vAlign w:val="center"/>
                </w:tcPr>
                <w:p w14:paraId="2C1737DF">
                  <w:pPr>
                    <w:pStyle w:val="31"/>
                    <w:jc w:val="both"/>
                    <w:rPr>
                      <w:rFonts w:hint="eastAsia" w:ascii="宋体" w:hAnsi="宋体"/>
                      <w:color w:val="000000"/>
                    </w:rPr>
                  </w:pPr>
                  <w:r>
                    <w:rPr>
                      <w:rFonts w:hint="eastAsia" w:ascii="宋体" w:hAnsi="宋体"/>
                      <w:color w:val="000000"/>
                    </w:rPr>
                    <w:t>①手术及其他医学服务过程中产生的废弃的人体组织、器官。②病理切片后废弃的人体组织、病理蜡块。</w:t>
                  </w:r>
                </w:p>
              </w:tc>
              <w:tc>
                <w:tcPr>
                  <w:tcW w:w="959" w:type="dxa"/>
                  <w:vMerge w:val="continue"/>
                  <w:noWrap w:val="0"/>
                  <w:vAlign w:val="center"/>
                </w:tcPr>
                <w:p w14:paraId="43DC38CB">
                  <w:pPr>
                    <w:pStyle w:val="31"/>
                    <w:rPr>
                      <w:rFonts w:cs="Times New Roman"/>
                      <w:color w:val="000000"/>
                    </w:rPr>
                  </w:pPr>
                </w:p>
              </w:tc>
            </w:tr>
            <w:tr w14:paraId="08D915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420" w:type="dxa"/>
                  <w:noWrap w:val="0"/>
                  <w:vAlign w:val="center"/>
                </w:tcPr>
                <w:p w14:paraId="2D5C881D">
                  <w:pPr>
                    <w:pStyle w:val="31"/>
                    <w:jc w:val="center"/>
                    <w:rPr>
                      <w:rFonts w:hint="eastAsia" w:eastAsia="宋体" w:cs="Times New Roman"/>
                      <w:color w:val="000000"/>
                      <w:lang w:eastAsia="zh-CN"/>
                    </w:rPr>
                  </w:pPr>
                  <w:r>
                    <w:rPr>
                      <w:rFonts w:hint="eastAsia" w:cs="Times New Roman"/>
                      <w:color w:val="000000"/>
                      <w:lang w:val="en-US" w:eastAsia="zh-CN"/>
                    </w:rPr>
                    <w:t>4</w:t>
                  </w:r>
                </w:p>
              </w:tc>
              <w:tc>
                <w:tcPr>
                  <w:tcW w:w="980" w:type="dxa"/>
                  <w:noWrap w:val="0"/>
                  <w:vAlign w:val="center"/>
                </w:tcPr>
                <w:p w14:paraId="712F744C">
                  <w:pPr>
                    <w:pStyle w:val="31"/>
                    <w:jc w:val="center"/>
                    <w:rPr>
                      <w:rFonts w:cs="Times New Roman"/>
                      <w:color w:val="000000"/>
                    </w:rPr>
                  </w:pPr>
                  <w:r>
                    <w:rPr>
                      <w:rFonts w:cs="Times New Roman"/>
                      <w:color w:val="000000"/>
                    </w:rPr>
                    <w:t>药物性废物</w:t>
                  </w:r>
                </w:p>
              </w:tc>
              <w:tc>
                <w:tcPr>
                  <w:tcW w:w="1818" w:type="dxa"/>
                  <w:noWrap w:val="0"/>
                  <w:vAlign w:val="center"/>
                </w:tcPr>
                <w:p w14:paraId="7D4F4F74">
                  <w:pPr>
                    <w:pStyle w:val="31"/>
                    <w:jc w:val="center"/>
                    <w:rPr>
                      <w:rFonts w:cs="Times New Roman"/>
                      <w:color w:val="000000"/>
                    </w:rPr>
                  </w:pPr>
                  <w:r>
                    <w:rPr>
                      <w:rFonts w:cs="Times New Roman"/>
                      <w:color w:val="000000"/>
                      <w:kern w:val="0"/>
                      <w:szCs w:val="21"/>
                    </w:rPr>
                    <w:t>过期、淘汰、变质或者被污染的废弃的药品</w:t>
                  </w:r>
                </w:p>
              </w:tc>
              <w:tc>
                <w:tcPr>
                  <w:tcW w:w="4699" w:type="dxa"/>
                  <w:noWrap w:val="0"/>
                  <w:vAlign w:val="center"/>
                </w:tcPr>
                <w:p w14:paraId="04B84C78">
                  <w:pPr>
                    <w:pStyle w:val="31"/>
                    <w:jc w:val="both"/>
                    <w:rPr>
                      <w:rFonts w:cs="Times New Roman"/>
                      <w:color w:val="000000"/>
                    </w:rPr>
                  </w:pPr>
                  <w:r>
                    <w:rPr>
                      <w:rFonts w:hint="eastAsia" w:ascii="宋体" w:hAnsi="宋体"/>
                      <w:color w:val="000000"/>
                    </w:rPr>
                    <w:t>①</w:t>
                  </w:r>
                  <w:r>
                    <w:rPr>
                      <w:rFonts w:cs="Times New Roman"/>
                      <w:color w:val="000000"/>
                    </w:rPr>
                    <w:t>废弃的一般性药品。</w:t>
                  </w:r>
                </w:p>
                <w:p w14:paraId="67AA0F1A">
                  <w:pPr>
                    <w:pStyle w:val="31"/>
                    <w:jc w:val="both"/>
                    <w:rPr>
                      <w:rFonts w:cs="Times New Roman"/>
                      <w:color w:val="000000"/>
                    </w:rPr>
                  </w:pPr>
                  <w:r>
                    <w:rPr>
                      <w:rFonts w:hint="eastAsia" w:ascii="宋体" w:hAnsi="宋体"/>
                      <w:color w:val="000000"/>
                    </w:rPr>
                    <w:t>②</w:t>
                  </w:r>
                  <w:r>
                    <w:rPr>
                      <w:rFonts w:cs="Times New Roman"/>
                      <w:color w:val="000000"/>
                    </w:rPr>
                    <w:t>废弃的疫苗、血液制品等</w:t>
                  </w:r>
                </w:p>
              </w:tc>
              <w:tc>
                <w:tcPr>
                  <w:tcW w:w="959" w:type="dxa"/>
                  <w:vMerge w:val="continue"/>
                  <w:noWrap w:val="0"/>
                  <w:vAlign w:val="center"/>
                </w:tcPr>
                <w:p w14:paraId="57F8C386">
                  <w:pPr>
                    <w:pStyle w:val="31"/>
                    <w:rPr>
                      <w:rFonts w:cs="Times New Roman"/>
                      <w:color w:val="000000"/>
                    </w:rPr>
                  </w:pPr>
                </w:p>
              </w:tc>
            </w:tr>
            <w:tr w14:paraId="7A2C86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jc w:val="center"/>
              </w:trPr>
              <w:tc>
                <w:tcPr>
                  <w:tcW w:w="420" w:type="dxa"/>
                  <w:noWrap w:val="0"/>
                  <w:vAlign w:val="center"/>
                </w:tcPr>
                <w:p w14:paraId="333088B4">
                  <w:pPr>
                    <w:pStyle w:val="31"/>
                    <w:jc w:val="center"/>
                    <w:rPr>
                      <w:rFonts w:hint="eastAsia" w:eastAsia="宋体" w:cs="Times New Roman"/>
                      <w:color w:val="000000"/>
                      <w:lang w:eastAsia="zh-CN"/>
                    </w:rPr>
                  </w:pPr>
                  <w:r>
                    <w:rPr>
                      <w:rFonts w:hint="eastAsia" w:cs="Times New Roman"/>
                      <w:color w:val="000000"/>
                      <w:lang w:val="en-US" w:eastAsia="zh-CN"/>
                    </w:rPr>
                    <w:t>5</w:t>
                  </w:r>
                </w:p>
              </w:tc>
              <w:tc>
                <w:tcPr>
                  <w:tcW w:w="980" w:type="dxa"/>
                  <w:noWrap w:val="0"/>
                  <w:vAlign w:val="center"/>
                </w:tcPr>
                <w:p w14:paraId="46EA0D21">
                  <w:pPr>
                    <w:pStyle w:val="31"/>
                    <w:jc w:val="center"/>
                    <w:rPr>
                      <w:rFonts w:cs="Times New Roman"/>
                      <w:color w:val="000000"/>
                    </w:rPr>
                  </w:pPr>
                  <w:r>
                    <w:rPr>
                      <w:rFonts w:cs="Times New Roman"/>
                      <w:color w:val="000000"/>
                    </w:rPr>
                    <w:t>化学性废物</w:t>
                  </w:r>
                </w:p>
              </w:tc>
              <w:tc>
                <w:tcPr>
                  <w:tcW w:w="1818" w:type="dxa"/>
                  <w:noWrap w:val="0"/>
                  <w:vAlign w:val="center"/>
                </w:tcPr>
                <w:p w14:paraId="2251AA0D">
                  <w:pPr>
                    <w:pStyle w:val="31"/>
                    <w:jc w:val="center"/>
                    <w:rPr>
                      <w:rFonts w:cs="Times New Roman"/>
                      <w:color w:val="000000"/>
                    </w:rPr>
                  </w:pPr>
                  <w:r>
                    <w:rPr>
                      <w:rFonts w:cs="Times New Roman"/>
                      <w:color w:val="000000"/>
                      <w:kern w:val="0"/>
                      <w:szCs w:val="21"/>
                    </w:rPr>
                    <w:t>具有毒性、腐蚀性、易燃易爆性的废弃的化学物品</w:t>
                  </w:r>
                </w:p>
              </w:tc>
              <w:tc>
                <w:tcPr>
                  <w:tcW w:w="4699" w:type="dxa"/>
                  <w:noWrap w:val="0"/>
                  <w:vAlign w:val="center"/>
                </w:tcPr>
                <w:p w14:paraId="3E07ED66">
                  <w:pPr>
                    <w:pStyle w:val="31"/>
                    <w:jc w:val="both"/>
                    <w:rPr>
                      <w:rFonts w:cs="Times New Roman"/>
                      <w:color w:val="000000"/>
                    </w:rPr>
                  </w:pPr>
                  <w:r>
                    <w:rPr>
                      <w:rFonts w:hint="eastAsia" w:ascii="宋体" w:hAnsi="宋体"/>
                      <w:color w:val="000000"/>
                    </w:rPr>
                    <w:t>①</w:t>
                  </w:r>
                  <w:r>
                    <w:rPr>
                      <w:rFonts w:cs="Times New Roman"/>
                      <w:color w:val="000000"/>
                    </w:rPr>
                    <w:t>实验室废弃的化学试剂。</w:t>
                  </w:r>
                </w:p>
                <w:p w14:paraId="17508393">
                  <w:pPr>
                    <w:pStyle w:val="31"/>
                    <w:jc w:val="both"/>
                    <w:rPr>
                      <w:rFonts w:cs="Times New Roman"/>
                      <w:color w:val="000000"/>
                    </w:rPr>
                  </w:pPr>
                  <w:r>
                    <w:rPr>
                      <w:rFonts w:hint="eastAsia" w:ascii="宋体" w:hAnsi="宋体"/>
                      <w:color w:val="000000"/>
                    </w:rPr>
                    <w:t>②</w:t>
                  </w:r>
                  <w:r>
                    <w:rPr>
                      <w:rFonts w:cs="Times New Roman"/>
                      <w:color w:val="000000"/>
                    </w:rPr>
                    <w:t>废弃的过氧乙酸、戊二醛等化学消毒剂。</w:t>
                  </w:r>
                </w:p>
                <w:p w14:paraId="5F9BA440">
                  <w:pPr>
                    <w:pStyle w:val="31"/>
                    <w:jc w:val="both"/>
                    <w:rPr>
                      <w:rFonts w:cs="Times New Roman"/>
                      <w:color w:val="000000"/>
                    </w:rPr>
                  </w:pPr>
                  <w:r>
                    <w:rPr>
                      <w:rFonts w:hint="eastAsia" w:ascii="宋体" w:hAnsi="宋体"/>
                      <w:color w:val="000000"/>
                    </w:rPr>
                    <w:t>③</w:t>
                  </w:r>
                  <w:r>
                    <w:rPr>
                      <w:rFonts w:cs="Times New Roman"/>
                      <w:color w:val="000000"/>
                    </w:rPr>
                    <w:t>废弃的汞血压计、汞温度计。</w:t>
                  </w:r>
                </w:p>
              </w:tc>
              <w:tc>
                <w:tcPr>
                  <w:tcW w:w="959" w:type="dxa"/>
                  <w:vMerge w:val="continue"/>
                  <w:noWrap w:val="0"/>
                  <w:vAlign w:val="center"/>
                </w:tcPr>
                <w:p w14:paraId="4E79383D">
                  <w:pPr>
                    <w:pStyle w:val="31"/>
                    <w:rPr>
                      <w:rFonts w:cs="Times New Roman"/>
                      <w:color w:val="000000"/>
                    </w:rPr>
                  </w:pPr>
                </w:p>
              </w:tc>
            </w:tr>
          </w:tbl>
          <w:p w14:paraId="79A93E7D">
            <w:pPr>
              <w:pStyle w:val="20"/>
              <w:spacing w:line="360" w:lineRule="auto"/>
              <w:ind w:firstLine="480"/>
              <w:rPr>
                <w:rFonts w:hint="eastAsia" w:ascii="Times New Roman" w:hAnsi="Times New Roman"/>
              </w:rPr>
            </w:pPr>
            <w:r>
              <w:rPr>
                <w:rFonts w:hint="default" w:ascii="Times New Roman" w:hAnsi="Times New Roman" w:cs="Times New Roman"/>
              </w:rPr>
              <w:t>本项目建成后全院床位</w:t>
            </w:r>
            <w:r>
              <w:rPr>
                <w:rFonts w:hint="eastAsia" w:cs="Times New Roman"/>
                <w:lang w:val="en-US" w:eastAsia="zh-CN"/>
              </w:rPr>
              <w:t>220</w:t>
            </w:r>
            <w:r>
              <w:rPr>
                <w:rFonts w:hint="default" w:ascii="Times New Roman" w:hAnsi="Times New Roman" w:cs="Times New Roman"/>
              </w:rPr>
              <w:t>张，门诊量</w:t>
            </w:r>
            <w:r>
              <w:rPr>
                <w:rFonts w:hint="default" w:ascii="Times New Roman" w:hAnsi="Times New Roman" w:cs="Times New Roman"/>
                <w:lang w:val="en-US" w:eastAsia="zh-CN"/>
              </w:rPr>
              <w:t>150</w:t>
            </w:r>
            <w:r>
              <w:rPr>
                <w:rFonts w:hint="default" w:ascii="Times New Roman" w:hAnsi="Times New Roman" w:cs="Times New Roman"/>
              </w:rPr>
              <w:t>人/天，参考同类型医院，医疗废物量按0.5kg/（床·d），门诊按0.1kg/（人·d）进行估算，</w:t>
            </w:r>
            <w:r>
              <w:rPr>
                <w:rFonts w:ascii="Times New Roman" w:hAnsi="Times New Roman" w:eastAsia="Segoe UI" w:cs="Times New Roman"/>
                <w:i w:val="0"/>
                <w:iCs w:val="0"/>
                <w:caps w:val="0"/>
                <w:color w:val="0F1115"/>
                <w:spacing w:val="0"/>
                <w:sz w:val="24"/>
                <w:szCs w:val="24"/>
                <w:shd w:val="clear" w:color="auto" w:fill="FFFFFF"/>
              </w:rPr>
              <w:t>则本项目医疗废物产生量约为</w:t>
            </w:r>
            <w:r>
              <w:rPr>
                <w:rFonts w:hint="eastAsia" w:eastAsia="宋体" w:cs="Times New Roman"/>
                <w:b/>
                <w:bCs/>
                <w:i w:val="0"/>
                <w:iCs w:val="0"/>
                <w:caps w:val="0"/>
                <w:color w:val="0F1115"/>
                <w:spacing w:val="0"/>
                <w:sz w:val="24"/>
                <w:szCs w:val="24"/>
                <w:shd w:val="clear" w:color="auto" w:fill="FFFFFF"/>
                <w:lang w:val="en-US" w:eastAsia="zh-CN"/>
              </w:rPr>
              <w:t>45.625</w:t>
            </w:r>
            <w:r>
              <w:rPr>
                <w:rFonts w:hint="default" w:ascii="Times New Roman" w:hAnsi="Times New Roman" w:eastAsia="Segoe UI" w:cs="Times New Roman"/>
                <w:b/>
                <w:bCs/>
                <w:i w:val="0"/>
                <w:iCs w:val="0"/>
                <w:caps w:val="0"/>
                <w:color w:val="0F1115"/>
                <w:spacing w:val="0"/>
                <w:sz w:val="24"/>
                <w:szCs w:val="24"/>
                <w:shd w:val="clear" w:color="auto" w:fill="FFFFFF"/>
              </w:rPr>
              <w:t>t/a</w:t>
            </w:r>
            <w:r>
              <w:rPr>
                <w:rFonts w:hint="default" w:ascii="Times New Roman" w:hAnsi="Times New Roman" w:eastAsia="Segoe UI" w:cs="Times New Roman"/>
                <w:i w:val="0"/>
                <w:iCs w:val="0"/>
                <w:caps w:val="0"/>
                <w:color w:val="0F1115"/>
                <w:spacing w:val="0"/>
                <w:sz w:val="24"/>
                <w:szCs w:val="24"/>
                <w:shd w:val="clear" w:color="auto" w:fill="FFFFFF"/>
              </w:rPr>
              <w:t>。</w:t>
            </w:r>
          </w:p>
          <w:p w14:paraId="3BB3ED39">
            <w:pPr>
              <w:pStyle w:val="20"/>
              <w:spacing w:line="360" w:lineRule="auto"/>
              <w:ind w:firstLine="480"/>
              <w:rPr>
                <w:rFonts w:hint="eastAsia" w:ascii="Times New Roman" w:hAnsi="Times New Roman"/>
              </w:rPr>
            </w:pPr>
            <w:r>
              <w:rPr>
                <w:rFonts w:hint="eastAsia" w:ascii="Times New Roman" w:hAnsi="Times New Roman"/>
              </w:rPr>
              <w:t>根据《医疗废物管理条例》，医疗废物暂时贮存的时间不超过2天。医院设有1座医疗废物暂存间，建筑面积30m²，医疗废物暂存满足《医疗废物管理条例</w:t>
            </w:r>
            <w:r>
              <w:rPr>
                <w:rFonts w:hint="eastAsia"/>
                <w:lang w:eastAsia="zh-CN"/>
              </w:rPr>
              <w:t>》《</w:t>
            </w:r>
            <w:r>
              <w:rPr>
                <w:rFonts w:hint="eastAsia" w:ascii="Times New Roman" w:hAnsi="Times New Roman"/>
              </w:rPr>
              <w:t>医疗废物专用包装袋、容器和警示标志标准》（HJ421-2008）、《医疗废物集中处理技术规范》及《危险废物贮存污染控制标准》（GB18597-2023）中的相关规定。</w:t>
            </w:r>
          </w:p>
          <w:p w14:paraId="66B9ED53">
            <w:pPr>
              <w:pStyle w:val="20"/>
              <w:spacing w:line="360" w:lineRule="auto"/>
              <w:ind w:firstLine="480"/>
              <w:rPr>
                <w:rFonts w:hint="eastAsia" w:ascii="Times New Roman" w:hAnsi="Times New Roman"/>
              </w:rPr>
            </w:pPr>
            <w:r>
              <w:rPr>
                <w:rFonts w:hint="eastAsia" w:ascii="Times New Roman" w:hAnsi="Times New Roman"/>
              </w:rPr>
              <w:t>暂存间内按危险废物类别设置感染性废物、损伤性废物、病理性废物、药物性废物及化学性废物贮存分区，各分区之间采取隔离措施，避免不相容的废物接触、混合。其中，病理性废物贮存区配备专用冷藏柜（温度控制在0~5℃），满足《医疗卫生机构医疗废物管理办法》第二十二条关于“暂时贮存病理性废物，应当具备低温贮存或者防腐条件”的要求。</w:t>
            </w:r>
          </w:p>
          <w:p w14:paraId="406CD646">
            <w:pPr>
              <w:pStyle w:val="20"/>
              <w:spacing w:line="360" w:lineRule="auto"/>
              <w:ind w:firstLine="480"/>
              <w:rPr>
                <w:rFonts w:hint="eastAsia" w:ascii="Times New Roman" w:hAnsi="Times New Roman" w:eastAsia="宋体"/>
                <w:lang w:eastAsia="zh-CN"/>
              </w:rPr>
            </w:pPr>
            <w:r>
              <w:rPr>
                <w:rFonts w:hint="eastAsia" w:ascii="Times New Roman" w:hAnsi="Times New Roman"/>
              </w:rPr>
              <w:t>各类医疗废物分类收集后暂存于对应贮存区内，定期委托有资质单位清运处置。医疗废物暂存间地面及1.0m高墙裙进行防渗处理</w:t>
            </w:r>
            <w:r>
              <w:rPr>
                <w:rFonts w:hint="eastAsia" w:ascii="Times New Roman" w:hAnsi="Times New Roman"/>
                <w:lang w:eastAsia="zh-CN"/>
              </w:rPr>
              <w:t>。</w:t>
            </w:r>
          </w:p>
          <w:p w14:paraId="59EAB6C3">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eastAsia="宋体"/>
                <w:color w:val="auto"/>
                <w:sz w:val="24"/>
                <w:highlight w:val="none"/>
                <w:lang w:val="en-US" w:eastAsia="zh-CN"/>
              </w:rPr>
            </w:pPr>
            <w:r>
              <w:rPr>
                <w:rFonts w:hint="eastAsia" w:ascii="Times New Roman" w:hAnsi="Times New Roman"/>
                <w:b w:val="0"/>
                <w:color w:val="auto"/>
                <w:sz w:val="24"/>
                <w:highlight w:val="none"/>
              </w:rPr>
              <w:t>③</w:t>
            </w:r>
            <w:r>
              <w:rPr>
                <w:rFonts w:hint="eastAsia"/>
                <w:color w:val="auto"/>
                <w:sz w:val="24"/>
                <w:highlight w:val="none"/>
                <w:lang w:val="en-US" w:eastAsia="zh-CN"/>
              </w:rPr>
              <w:t>栅渣</w:t>
            </w:r>
          </w:p>
          <w:p w14:paraId="3BB2B897">
            <w:pPr>
              <w:pStyle w:val="20"/>
              <w:ind w:firstLine="480"/>
              <w:rPr>
                <w:rFonts w:hint="eastAsia" w:ascii="Times New Roman" w:hAnsi="Times New Roman"/>
              </w:rPr>
            </w:pPr>
            <w:r>
              <w:rPr>
                <w:rFonts w:hint="eastAsia" w:ascii="Times New Roman" w:hAnsi="Times New Roman"/>
              </w:rPr>
              <w:t>根据《污水处理厂工艺设计手册》（高俊发，王社平主编，化学工业出版社，2003年），污水处理厂栅渣产生量一般为0.05-0.1m</w:t>
            </w:r>
            <w:r>
              <w:rPr>
                <w:rFonts w:hint="eastAsia" w:ascii="Times New Roman" w:hAnsi="Times New Roman"/>
                <w:vertAlign w:val="superscript"/>
              </w:rPr>
              <w:t>3</w:t>
            </w:r>
            <w:r>
              <w:rPr>
                <w:rFonts w:hint="eastAsia" w:ascii="Times New Roman" w:hAnsi="Times New Roman"/>
              </w:rPr>
              <w:t>/1000m</w:t>
            </w:r>
            <w:r>
              <w:rPr>
                <w:rFonts w:hint="eastAsia" w:ascii="Times New Roman" w:hAnsi="Times New Roman"/>
                <w:vertAlign w:val="superscript"/>
              </w:rPr>
              <w:t>3</w:t>
            </w:r>
            <w:r>
              <w:rPr>
                <w:rFonts w:hint="eastAsia" w:ascii="Times New Roman" w:hAnsi="Times New Roman"/>
              </w:rPr>
              <w:t>·污水，结合项目特点，本项目污水处理站栅渣产量按0.065kg/m</w:t>
            </w:r>
            <w:r>
              <w:rPr>
                <w:rFonts w:hint="eastAsia" w:ascii="Times New Roman" w:hAnsi="Times New Roman"/>
                <w:vertAlign w:val="superscript"/>
              </w:rPr>
              <w:t>3</w:t>
            </w:r>
            <w:r>
              <w:rPr>
                <w:rFonts w:hint="eastAsia" w:ascii="Times New Roman" w:hAnsi="Times New Roman"/>
              </w:rPr>
              <w:t>（污水）计，污水处理量为</w:t>
            </w:r>
            <w:r>
              <w:rPr>
                <w:rFonts w:hint="eastAsia"/>
                <w:lang w:val="en-US" w:eastAsia="zh-CN"/>
              </w:rPr>
              <w:t>19901.009</w:t>
            </w:r>
            <w:r>
              <w:rPr>
                <w:rFonts w:hint="eastAsia" w:ascii="Times New Roman" w:hAnsi="Times New Roman"/>
              </w:rPr>
              <w:t>m</w:t>
            </w:r>
            <w:r>
              <w:rPr>
                <w:rFonts w:hint="eastAsia" w:ascii="Times New Roman" w:hAnsi="Times New Roman"/>
                <w:vertAlign w:val="superscript"/>
              </w:rPr>
              <w:t>3</w:t>
            </w:r>
            <w:r>
              <w:rPr>
                <w:rFonts w:hint="eastAsia" w:ascii="Times New Roman" w:hAnsi="Times New Roman"/>
              </w:rPr>
              <w:t>/a，则栅渣产生量为</w:t>
            </w:r>
            <w:r>
              <w:rPr>
                <w:rFonts w:hint="eastAsia"/>
                <w:lang w:val="en-US" w:eastAsia="zh-CN"/>
              </w:rPr>
              <w:t>1.294</w:t>
            </w:r>
            <w:r>
              <w:rPr>
                <w:rFonts w:hint="eastAsia" w:ascii="Times New Roman" w:hAnsi="Times New Roman"/>
                <w:lang w:val="en-US" w:eastAsia="zh-CN"/>
              </w:rPr>
              <w:t>t</w:t>
            </w:r>
            <w:r>
              <w:rPr>
                <w:rFonts w:hint="eastAsia" w:ascii="Times New Roman" w:hAnsi="Times New Roman"/>
              </w:rPr>
              <w:t>/a。</w:t>
            </w:r>
          </w:p>
          <w:p w14:paraId="0A57BAF5">
            <w:pPr>
              <w:pStyle w:val="23"/>
              <w:snapToGrid w:val="0"/>
              <w:spacing w:line="360" w:lineRule="auto"/>
              <w:ind w:firstLine="480" w:firstLineChars="200"/>
              <w:rPr>
                <w:rFonts w:hint="eastAsia" w:ascii="宋体" w:hAnsi="宋体" w:cs="宋体"/>
                <w:b w:val="0"/>
                <w:bCs/>
                <w:lang w:eastAsia="zh-CN"/>
              </w:rPr>
            </w:pPr>
            <w:bookmarkStart w:id="8" w:name="OLE_LINK6"/>
            <w:r>
              <w:rPr>
                <w:rFonts w:hint="eastAsia" w:ascii="宋体" w:hAnsi="宋体" w:eastAsia="宋体" w:cs="宋体"/>
                <w:b w:val="0"/>
                <w:bCs/>
              </w:rPr>
              <w:t>④</w:t>
            </w:r>
            <w:r>
              <w:rPr>
                <w:rFonts w:hint="eastAsia"/>
                <w:b w:val="0"/>
                <w:bCs/>
                <w:color w:val="auto"/>
                <w:sz w:val="24"/>
                <w:highlight w:val="none"/>
                <w:lang w:val="en-US" w:eastAsia="zh-CN"/>
              </w:rPr>
              <w:t>检验废液</w:t>
            </w:r>
          </w:p>
          <w:p w14:paraId="43969076">
            <w:pPr>
              <w:spacing w:line="360" w:lineRule="auto"/>
              <w:ind w:firstLine="480" w:firstLineChars="200"/>
              <w:jc w:val="left"/>
              <w:rPr>
                <w:rFonts w:hint="default" w:ascii="Times New Roman" w:hAnsi="Times New Roman"/>
                <w:b w:val="0"/>
                <w:bCs/>
                <w:sz w:val="24"/>
                <w:lang w:eastAsia="zh-CN"/>
              </w:rPr>
            </w:pPr>
            <w:bookmarkStart w:id="9" w:name="OLE_LINK9"/>
            <w:r>
              <w:rPr>
                <w:rFonts w:hint="default" w:ascii="Times New Roman" w:hAnsi="Times New Roman"/>
                <w:b w:val="0"/>
                <w:bCs/>
                <w:sz w:val="24"/>
                <w:lang w:eastAsia="zh-CN"/>
              </w:rPr>
              <w:t>本项目</w:t>
            </w:r>
            <w:r>
              <w:rPr>
                <w:rFonts w:hint="eastAsia" w:ascii="Times New Roman" w:hAnsi="Times New Roman"/>
                <w:b w:val="0"/>
                <w:bCs/>
                <w:sz w:val="24"/>
                <w:lang w:eastAsia="zh-CN"/>
              </w:rPr>
              <w:t>血液采集中心</w:t>
            </w:r>
            <w:r>
              <w:rPr>
                <w:rFonts w:hint="default" w:ascii="Times New Roman" w:hAnsi="Times New Roman"/>
                <w:b w:val="0"/>
                <w:bCs/>
                <w:sz w:val="24"/>
                <w:lang w:eastAsia="zh-CN"/>
              </w:rPr>
              <w:t>主要进行血常规及尿常规监测，采用全自动检测仪器和商品试剂盒，不需要自行配置检验试剂，不使用含汞、铬、镉、砷、铅、镍等第一类污染物的药品，日常检测结束后的废液产生量约为</w:t>
            </w:r>
            <w:r>
              <w:rPr>
                <w:rFonts w:hint="eastAsia" w:ascii="Times New Roman" w:hAnsi="Times New Roman"/>
                <w:b w:val="0"/>
                <w:bCs/>
                <w:sz w:val="24"/>
                <w:lang w:val="en-US" w:eastAsia="zh-CN"/>
              </w:rPr>
              <w:t>1.2</w:t>
            </w:r>
            <w:r>
              <w:rPr>
                <w:rFonts w:hint="default" w:ascii="Times New Roman" w:hAnsi="Times New Roman"/>
                <w:b w:val="0"/>
                <w:bCs/>
                <w:sz w:val="24"/>
                <w:lang w:eastAsia="zh-CN"/>
              </w:rPr>
              <w:t>t/a，根据《国家危险废物名录》（2025年版）可知废物类别为HW01（感染性废物），废物代码为841-001-01。采用专用收纳桶封装，在收纳桶外标签上写明内装物体名称、废物性质后，暂存于</w:t>
            </w:r>
            <w:r>
              <w:rPr>
                <w:rFonts w:hint="eastAsia" w:ascii="Times New Roman" w:hAnsi="Times New Roman"/>
                <w:b w:val="0"/>
                <w:bCs/>
                <w:sz w:val="24"/>
                <w:lang w:eastAsia="zh-CN"/>
              </w:rPr>
              <w:t>医疗废物暂存间</w:t>
            </w:r>
            <w:r>
              <w:rPr>
                <w:rFonts w:hint="default" w:ascii="Times New Roman" w:hAnsi="Times New Roman"/>
                <w:b w:val="0"/>
                <w:bCs/>
                <w:sz w:val="24"/>
                <w:lang w:eastAsia="zh-CN"/>
              </w:rPr>
              <w:t>，交由资质单位处置。</w:t>
            </w:r>
            <w:bookmarkEnd w:id="8"/>
            <w:bookmarkEnd w:id="9"/>
          </w:p>
          <w:p w14:paraId="499F3303">
            <w:pPr>
              <w:spacing w:line="360" w:lineRule="auto"/>
              <w:ind w:firstLine="480" w:firstLineChars="200"/>
              <w:jc w:val="left"/>
              <w:rPr>
                <w:rFonts w:hint="eastAsia" w:ascii="Times New Roman" w:hAnsi="Times New Roman"/>
                <w:b w:val="0"/>
                <w:bCs/>
                <w:sz w:val="24"/>
                <w:lang w:eastAsia="zh-CN"/>
              </w:rPr>
            </w:pPr>
            <w:r>
              <w:rPr>
                <w:rFonts w:hint="eastAsia" w:ascii="宋体" w:hAnsi="宋体" w:eastAsia="宋体" w:cs="宋体"/>
                <w:b w:val="0"/>
                <w:bCs/>
                <w:sz w:val="24"/>
                <w:lang w:eastAsia="zh-CN"/>
              </w:rPr>
              <w:t>⑤</w:t>
            </w:r>
            <w:r>
              <w:rPr>
                <w:rFonts w:hint="eastAsia" w:ascii="Times New Roman" w:hAnsi="Times New Roman"/>
                <w:b w:val="0"/>
                <w:bCs/>
                <w:sz w:val="24"/>
                <w:lang w:eastAsia="zh-CN"/>
              </w:rPr>
              <w:t>废活性炭</w:t>
            </w:r>
          </w:p>
          <w:p w14:paraId="1E04B8D4">
            <w:pPr>
              <w:widowControl/>
              <w:adjustRightInd w:val="0"/>
              <w:snapToGrid w:val="0"/>
              <w:spacing w:line="360" w:lineRule="auto"/>
              <w:ind w:firstLine="480" w:firstLineChars="200"/>
              <w:rPr>
                <w:sz w:val="24"/>
              </w:rPr>
            </w:pPr>
            <w:r>
              <w:rPr>
                <w:sz w:val="24"/>
              </w:rPr>
              <w:t>本项目活性炭去除废气量按每吨活性炭</w:t>
            </w:r>
            <w:r>
              <w:rPr>
                <w:color w:val="auto"/>
                <w:sz w:val="24"/>
              </w:rPr>
              <w:t>吸附0.</w:t>
            </w:r>
            <w:r>
              <w:rPr>
                <w:rFonts w:hint="eastAsia"/>
                <w:color w:val="auto"/>
                <w:sz w:val="24"/>
              </w:rPr>
              <w:t>3</w:t>
            </w:r>
            <w:r>
              <w:rPr>
                <w:color w:val="auto"/>
                <w:sz w:val="24"/>
              </w:rPr>
              <w:t>t废气计，</w:t>
            </w:r>
            <w:r>
              <w:rPr>
                <w:rFonts w:hint="eastAsia"/>
                <w:sz w:val="24"/>
              </w:rPr>
              <w:t>本项目进入活性炭的废气量约为</w:t>
            </w:r>
            <w:r>
              <w:rPr>
                <w:rFonts w:hint="eastAsia"/>
                <w:sz w:val="24"/>
                <w:lang w:val="en-US" w:eastAsia="zh-CN"/>
              </w:rPr>
              <w:t>2.77kg</w:t>
            </w:r>
            <w:r>
              <w:rPr>
                <w:rFonts w:hint="eastAsia"/>
                <w:sz w:val="24"/>
              </w:rPr>
              <w:t>/a，则</w:t>
            </w:r>
            <w:r>
              <w:rPr>
                <w:sz w:val="24"/>
              </w:rPr>
              <w:t>活性炭</w:t>
            </w:r>
            <w:r>
              <w:rPr>
                <w:rFonts w:hint="eastAsia"/>
                <w:sz w:val="24"/>
              </w:rPr>
              <w:t>需求</w:t>
            </w:r>
            <w:r>
              <w:rPr>
                <w:sz w:val="24"/>
              </w:rPr>
              <w:t>量</w:t>
            </w:r>
            <w:r>
              <w:rPr>
                <w:rFonts w:hint="eastAsia"/>
                <w:sz w:val="24"/>
              </w:rPr>
              <w:t>约</w:t>
            </w:r>
            <w:r>
              <w:rPr>
                <w:sz w:val="24"/>
              </w:rPr>
              <w:t>为</w:t>
            </w:r>
            <w:r>
              <w:rPr>
                <w:rFonts w:hint="eastAsia"/>
                <w:sz w:val="24"/>
                <w:lang w:val="en-US" w:eastAsia="zh-CN"/>
              </w:rPr>
              <w:t>9.23kg</w:t>
            </w:r>
            <w:r>
              <w:rPr>
                <w:sz w:val="24"/>
              </w:rPr>
              <w:t>/a</w:t>
            </w:r>
            <w:r>
              <w:rPr>
                <w:rFonts w:hint="eastAsia"/>
                <w:sz w:val="24"/>
              </w:rPr>
              <w:t>，</w:t>
            </w:r>
            <w:r>
              <w:rPr>
                <w:sz w:val="24"/>
              </w:rPr>
              <w:t>故废活性炭（活性炭和吸收废气量）产生量</w:t>
            </w:r>
            <w:r>
              <w:rPr>
                <w:rFonts w:hint="eastAsia"/>
                <w:sz w:val="24"/>
              </w:rPr>
              <w:t>约</w:t>
            </w:r>
            <w:r>
              <w:rPr>
                <w:sz w:val="24"/>
              </w:rPr>
              <w:t>为</w:t>
            </w:r>
            <w:r>
              <w:rPr>
                <w:rFonts w:hint="eastAsia"/>
                <w:sz w:val="24"/>
                <w:lang w:val="en-US" w:eastAsia="zh-CN"/>
              </w:rPr>
              <w:t>0.012</w:t>
            </w:r>
            <w:r>
              <w:rPr>
                <w:sz w:val="24"/>
              </w:rPr>
              <w:t>t/a，</w:t>
            </w:r>
            <w:r>
              <w:rPr>
                <w:spacing w:val="-10"/>
                <w:sz w:val="24"/>
              </w:rPr>
              <w:t>收集后委托有资质单位处置</w:t>
            </w:r>
            <w:r>
              <w:rPr>
                <w:sz w:val="24"/>
              </w:rPr>
              <w:t>。</w:t>
            </w:r>
          </w:p>
          <w:p w14:paraId="2431D805">
            <w:pPr>
              <w:widowControl/>
              <w:jc w:val="center"/>
              <w:rPr>
                <w:b/>
                <w:bCs/>
                <w:szCs w:val="21"/>
                <w:highlight w:val="none"/>
              </w:rPr>
            </w:pPr>
            <w:r>
              <w:rPr>
                <w:rFonts w:hint="eastAsia"/>
                <w:b/>
                <w:bCs/>
                <w:szCs w:val="21"/>
                <w:highlight w:val="none"/>
              </w:rPr>
              <w:t>表4-1</w:t>
            </w:r>
            <w:r>
              <w:rPr>
                <w:rFonts w:hint="eastAsia"/>
                <w:b/>
                <w:bCs/>
                <w:szCs w:val="21"/>
                <w:highlight w:val="none"/>
                <w:lang w:val="en-US" w:eastAsia="zh-CN"/>
              </w:rPr>
              <w:t>4</w:t>
            </w:r>
            <w:r>
              <w:rPr>
                <w:rFonts w:hint="eastAsia"/>
                <w:b/>
                <w:bCs/>
                <w:szCs w:val="21"/>
                <w:highlight w:val="none"/>
              </w:rPr>
              <w:t xml:space="preserve">  项目固体废物产生及处置情况一览表</w:t>
            </w:r>
          </w:p>
          <w:tbl>
            <w:tblPr>
              <w:tblStyle w:val="14"/>
              <w:tblW w:w="499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97"/>
              <w:gridCol w:w="1132"/>
              <w:gridCol w:w="695"/>
              <w:gridCol w:w="600"/>
              <w:gridCol w:w="853"/>
              <w:gridCol w:w="1230"/>
              <w:gridCol w:w="1594"/>
              <w:gridCol w:w="1597"/>
            </w:tblGrid>
            <w:tr w14:paraId="393734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9" w:hRule="atLeast"/>
                <w:jc w:val="center"/>
              </w:trPr>
              <w:tc>
                <w:tcPr>
                  <w:tcW w:w="303" w:type="pct"/>
                  <w:noWrap w:val="0"/>
                  <w:vAlign w:val="center"/>
                </w:tcPr>
                <w:p w14:paraId="31DF78DF">
                  <w:pPr>
                    <w:pStyle w:val="19"/>
                    <w:spacing w:line="240" w:lineRule="auto"/>
                    <w:ind w:firstLine="0"/>
                    <w:jc w:val="center"/>
                    <w:rPr>
                      <w:rFonts w:ascii="Times New Roman"/>
                      <w:sz w:val="21"/>
                      <w:szCs w:val="21"/>
                    </w:rPr>
                  </w:pPr>
                  <w:r>
                    <w:rPr>
                      <w:rFonts w:hint="eastAsia" w:ascii="Times New Roman"/>
                      <w:sz w:val="21"/>
                      <w:szCs w:val="21"/>
                    </w:rPr>
                    <w:t>序号</w:t>
                  </w:r>
                </w:p>
              </w:tc>
              <w:tc>
                <w:tcPr>
                  <w:tcW w:w="690" w:type="pct"/>
                  <w:noWrap w:val="0"/>
                  <w:vAlign w:val="center"/>
                </w:tcPr>
                <w:p w14:paraId="5344F0F9">
                  <w:pPr>
                    <w:pStyle w:val="19"/>
                    <w:spacing w:line="240" w:lineRule="auto"/>
                    <w:ind w:firstLine="0"/>
                    <w:jc w:val="center"/>
                    <w:rPr>
                      <w:rFonts w:ascii="Times New Roman"/>
                      <w:sz w:val="21"/>
                      <w:szCs w:val="21"/>
                    </w:rPr>
                  </w:pPr>
                  <w:r>
                    <w:rPr>
                      <w:rFonts w:ascii="Times New Roman"/>
                      <w:sz w:val="21"/>
                      <w:szCs w:val="21"/>
                    </w:rPr>
                    <w:t>固废名称</w:t>
                  </w:r>
                </w:p>
              </w:tc>
              <w:tc>
                <w:tcPr>
                  <w:tcW w:w="423" w:type="pct"/>
                  <w:noWrap w:val="0"/>
                  <w:vAlign w:val="center"/>
                </w:tcPr>
                <w:p w14:paraId="2603A056">
                  <w:pPr>
                    <w:pStyle w:val="19"/>
                    <w:spacing w:line="240" w:lineRule="auto"/>
                    <w:ind w:firstLine="0"/>
                    <w:jc w:val="center"/>
                    <w:rPr>
                      <w:rFonts w:hint="eastAsia" w:ascii="Times New Roman"/>
                      <w:sz w:val="21"/>
                      <w:szCs w:val="21"/>
                    </w:rPr>
                  </w:pPr>
                  <w:r>
                    <w:rPr>
                      <w:rFonts w:hint="eastAsia" w:ascii="Times New Roman"/>
                      <w:sz w:val="21"/>
                      <w:szCs w:val="21"/>
                    </w:rPr>
                    <w:t>产生</w:t>
                  </w:r>
                </w:p>
                <w:p w14:paraId="74911083">
                  <w:pPr>
                    <w:pStyle w:val="19"/>
                    <w:spacing w:line="240" w:lineRule="auto"/>
                    <w:ind w:firstLine="0"/>
                    <w:jc w:val="center"/>
                    <w:rPr>
                      <w:rFonts w:hint="eastAsia" w:ascii="Times New Roman" w:eastAsia="宋体"/>
                      <w:sz w:val="21"/>
                      <w:szCs w:val="21"/>
                      <w:lang w:eastAsia="zh-CN"/>
                    </w:rPr>
                  </w:pPr>
                  <w:r>
                    <w:rPr>
                      <w:rFonts w:hint="eastAsia" w:ascii="Times New Roman"/>
                      <w:sz w:val="21"/>
                      <w:szCs w:val="21"/>
                      <w:lang w:eastAsia="zh-CN"/>
                    </w:rPr>
                    <w:t>环节</w:t>
                  </w:r>
                </w:p>
              </w:tc>
              <w:tc>
                <w:tcPr>
                  <w:tcW w:w="365" w:type="pct"/>
                  <w:noWrap w:val="0"/>
                  <w:vAlign w:val="center"/>
                </w:tcPr>
                <w:p w14:paraId="45935500">
                  <w:pPr>
                    <w:pStyle w:val="19"/>
                    <w:spacing w:line="240" w:lineRule="auto"/>
                    <w:ind w:firstLine="0"/>
                    <w:jc w:val="center"/>
                    <w:rPr>
                      <w:rFonts w:ascii="Times New Roman"/>
                      <w:sz w:val="21"/>
                      <w:szCs w:val="21"/>
                    </w:rPr>
                  </w:pPr>
                  <w:r>
                    <w:rPr>
                      <w:rFonts w:hint="eastAsia" w:ascii="Times New Roman"/>
                      <w:sz w:val="21"/>
                      <w:szCs w:val="21"/>
                    </w:rPr>
                    <w:t>形态</w:t>
                  </w:r>
                </w:p>
              </w:tc>
              <w:tc>
                <w:tcPr>
                  <w:tcW w:w="520" w:type="pct"/>
                  <w:noWrap w:val="0"/>
                  <w:vAlign w:val="center"/>
                </w:tcPr>
                <w:p w14:paraId="443EEFA0">
                  <w:pPr>
                    <w:pStyle w:val="19"/>
                    <w:spacing w:line="240" w:lineRule="auto"/>
                    <w:ind w:firstLine="0"/>
                    <w:jc w:val="center"/>
                    <w:rPr>
                      <w:rFonts w:hint="eastAsia" w:ascii="Times New Roman"/>
                      <w:sz w:val="21"/>
                      <w:szCs w:val="21"/>
                    </w:rPr>
                  </w:pPr>
                  <w:r>
                    <w:rPr>
                      <w:rFonts w:hint="eastAsia" w:ascii="Times New Roman"/>
                      <w:sz w:val="21"/>
                      <w:szCs w:val="21"/>
                    </w:rPr>
                    <w:t>主要</w:t>
                  </w:r>
                </w:p>
                <w:p w14:paraId="5EE5FA5A">
                  <w:pPr>
                    <w:pStyle w:val="19"/>
                    <w:spacing w:line="240" w:lineRule="auto"/>
                    <w:ind w:firstLine="0"/>
                    <w:jc w:val="center"/>
                    <w:rPr>
                      <w:rFonts w:ascii="Times New Roman"/>
                      <w:sz w:val="21"/>
                      <w:szCs w:val="21"/>
                    </w:rPr>
                  </w:pPr>
                  <w:r>
                    <w:rPr>
                      <w:rFonts w:hint="eastAsia" w:ascii="Times New Roman"/>
                      <w:sz w:val="21"/>
                      <w:szCs w:val="21"/>
                    </w:rPr>
                    <w:t>成分</w:t>
                  </w:r>
                </w:p>
              </w:tc>
              <w:tc>
                <w:tcPr>
                  <w:tcW w:w="750" w:type="pct"/>
                  <w:noWrap w:val="0"/>
                  <w:vAlign w:val="center"/>
                </w:tcPr>
                <w:p w14:paraId="60885151">
                  <w:pPr>
                    <w:pStyle w:val="19"/>
                    <w:spacing w:line="240" w:lineRule="auto"/>
                    <w:ind w:firstLine="0"/>
                    <w:jc w:val="center"/>
                    <w:rPr>
                      <w:rFonts w:ascii="Times New Roman"/>
                      <w:sz w:val="21"/>
                      <w:szCs w:val="21"/>
                    </w:rPr>
                  </w:pPr>
                  <w:r>
                    <w:rPr>
                      <w:rFonts w:hint="eastAsia" w:ascii="Times New Roman"/>
                      <w:sz w:val="21"/>
                      <w:szCs w:val="21"/>
                    </w:rPr>
                    <w:t>预测产生量（t/a）</w:t>
                  </w:r>
                </w:p>
              </w:tc>
              <w:tc>
                <w:tcPr>
                  <w:tcW w:w="972" w:type="pct"/>
                  <w:noWrap w:val="0"/>
                  <w:vAlign w:val="center"/>
                </w:tcPr>
                <w:p w14:paraId="66874EDB">
                  <w:pPr>
                    <w:pStyle w:val="19"/>
                    <w:spacing w:line="240" w:lineRule="auto"/>
                    <w:ind w:firstLine="0"/>
                    <w:jc w:val="center"/>
                    <w:rPr>
                      <w:rFonts w:ascii="Times New Roman"/>
                      <w:sz w:val="21"/>
                      <w:szCs w:val="21"/>
                    </w:rPr>
                  </w:pPr>
                  <w:r>
                    <w:rPr>
                      <w:rFonts w:hint="eastAsia" w:ascii="Times New Roman"/>
                      <w:sz w:val="21"/>
                      <w:szCs w:val="21"/>
                    </w:rPr>
                    <w:t>分类代码</w:t>
                  </w:r>
                </w:p>
              </w:tc>
              <w:tc>
                <w:tcPr>
                  <w:tcW w:w="974" w:type="pct"/>
                  <w:noWrap w:val="0"/>
                  <w:vAlign w:val="center"/>
                </w:tcPr>
                <w:p w14:paraId="34FEDAEA">
                  <w:pPr>
                    <w:pStyle w:val="19"/>
                    <w:spacing w:line="240" w:lineRule="auto"/>
                    <w:ind w:firstLine="0"/>
                    <w:jc w:val="center"/>
                    <w:rPr>
                      <w:rFonts w:ascii="Times New Roman"/>
                      <w:sz w:val="21"/>
                      <w:szCs w:val="21"/>
                    </w:rPr>
                  </w:pPr>
                  <w:r>
                    <w:rPr>
                      <w:rFonts w:hint="eastAsia" w:ascii="Times New Roman"/>
                      <w:sz w:val="21"/>
                      <w:szCs w:val="21"/>
                    </w:rPr>
                    <w:t>处置去向</w:t>
                  </w:r>
                </w:p>
              </w:tc>
            </w:tr>
            <w:tr w14:paraId="52D623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9" w:hRule="atLeast"/>
                <w:jc w:val="center"/>
              </w:trPr>
              <w:tc>
                <w:tcPr>
                  <w:tcW w:w="303" w:type="pct"/>
                  <w:noWrap w:val="0"/>
                  <w:vAlign w:val="center"/>
                </w:tcPr>
                <w:p w14:paraId="6D0840F1">
                  <w:pPr>
                    <w:pStyle w:val="19"/>
                    <w:spacing w:line="240" w:lineRule="auto"/>
                    <w:ind w:firstLine="0"/>
                    <w:jc w:val="center"/>
                    <w:rPr>
                      <w:rFonts w:hint="eastAsia" w:ascii="Times New Roman"/>
                      <w:sz w:val="21"/>
                      <w:szCs w:val="21"/>
                    </w:rPr>
                  </w:pPr>
                  <w:r>
                    <w:rPr>
                      <w:rFonts w:hint="eastAsia" w:ascii="Times New Roman"/>
                      <w:sz w:val="21"/>
                      <w:szCs w:val="21"/>
                    </w:rPr>
                    <w:t>1</w:t>
                  </w:r>
                </w:p>
              </w:tc>
              <w:tc>
                <w:tcPr>
                  <w:tcW w:w="690" w:type="pct"/>
                  <w:noWrap w:val="0"/>
                  <w:vAlign w:val="center"/>
                </w:tcPr>
                <w:p w14:paraId="2CD377C3">
                  <w:pPr>
                    <w:pStyle w:val="19"/>
                    <w:spacing w:line="240" w:lineRule="auto"/>
                    <w:ind w:firstLine="0"/>
                    <w:jc w:val="center"/>
                    <w:rPr>
                      <w:rFonts w:hint="default" w:ascii="Times New Roman" w:eastAsia="宋体"/>
                      <w:sz w:val="21"/>
                      <w:szCs w:val="21"/>
                      <w:lang w:val="en-US" w:eastAsia="zh-CN"/>
                    </w:rPr>
                  </w:pPr>
                  <w:r>
                    <w:rPr>
                      <w:rFonts w:hint="eastAsia" w:ascii="Times New Roman"/>
                      <w:sz w:val="21"/>
                      <w:szCs w:val="21"/>
                      <w:lang w:val="en-US" w:eastAsia="zh-CN"/>
                    </w:rPr>
                    <w:t>废包装材料</w:t>
                  </w:r>
                </w:p>
              </w:tc>
              <w:tc>
                <w:tcPr>
                  <w:tcW w:w="423" w:type="pct"/>
                  <w:noWrap w:val="0"/>
                  <w:vAlign w:val="center"/>
                </w:tcPr>
                <w:p w14:paraId="60D7EA2C">
                  <w:pPr>
                    <w:pStyle w:val="19"/>
                    <w:spacing w:line="240" w:lineRule="auto"/>
                    <w:ind w:firstLine="0"/>
                    <w:jc w:val="center"/>
                    <w:rPr>
                      <w:rFonts w:hint="eastAsia" w:ascii="Times New Roman" w:eastAsia="宋体"/>
                      <w:sz w:val="21"/>
                      <w:szCs w:val="21"/>
                      <w:lang w:eastAsia="zh-CN"/>
                    </w:rPr>
                  </w:pPr>
                  <w:r>
                    <w:rPr>
                      <w:rFonts w:hint="eastAsia" w:ascii="Times New Roman"/>
                      <w:sz w:val="21"/>
                      <w:szCs w:val="21"/>
                      <w:lang w:val="en-US" w:eastAsia="zh-CN"/>
                    </w:rPr>
                    <w:t>药品包装</w:t>
                  </w:r>
                </w:p>
              </w:tc>
              <w:tc>
                <w:tcPr>
                  <w:tcW w:w="365" w:type="pct"/>
                  <w:noWrap w:val="0"/>
                  <w:vAlign w:val="center"/>
                </w:tcPr>
                <w:p w14:paraId="7FD60C89">
                  <w:pPr>
                    <w:pStyle w:val="19"/>
                    <w:spacing w:line="240" w:lineRule="auto"/>
                    <w:ind w:firstLine="0"/>
                    <w:jc w:val="center"/>
                    <w:rPr>
                      <w:rFonts w:hint="eastAsia" w:ascii="Times New Roman"/>
                      <w:sz w:val="21"/>
                      <w:szCs w:val="21"/>
                    </w:rPr>
                  </w:pPr>
                  <w:r>
                    <w:rPr>
                      <w:rFonts w:hint="eastAsia" w:ascii="Times New Roman"/>
                      <w:sz w:val="21"/>
                      <w:szCs w:val="21"/>
                    </w:rPr>
                    <w:t>固态</w:t>
                  </w:r>
                </w:p>
              </w:tc>
              <w:tc>
                <w:tcPr>
                  <w:tcW w:w="520" w:type="pct"/>
                  <w:noWrap w:val="0"/>
                  <w:vAlign w:val="center"/>
                </w:tcPr>
                <w:p w14:paraId="6E993257">
                  <w:pPr>
                    <w:pStyle w:val="19"/>
                    <w:spacing w:line="240" w:lineRule="auto"/>
                    <w:ind w:firstLine="0"/>
                    <w:jc w:val="center"/>
                    <w:rPr>
                      <w:rFonts w:hint="default" w:ascii="Times New Roman" w:eastAsia="宋体"/>
                      <w:sz w:val="21"/>
                      <w:szCs w:val="21"/>
                      <w:lang w:val="en-US" w:eastAsia="zh-CN"/>
                    </w:rPr>
                  </w:pPr>
                  <w:r>
                    <w:rPr>
                      <w:rFonts w:hint="eastAsia" w:ascii="Times New Roman"/>
                      <w:sz w:val="21"/>
                      <w:szCs w:val="21"/>
                      <w:lang w:val="en-US" w:eastAsia="zh-CN"/>
                    </w:rPr>
                    <w:t>塑料、玻璃</w:t>
                  </w:r>
                </w:p>
              </w:tc>
              <w:tc>
                <w:tcPr>
                  <w:tcW w:w="750" w:type="pct"/>
                  <w:noWrap w:val="0"/>
                  <w:vAlign w:val="center"/>
                </w:tcPr>
                <w:p w14:paraId="44DD51A0">
                  <w:pPr>
                    <w:pStyle w:val="19"/>
                    <w:spacing w:line="240" w:lineRule="auto"/>
                    <w:ind w:firstLine="0"/>
                    <w:jc w:val="center"/>
                    <w:rPr>
                      <w:rFonts w:hint="default" w:ascii="Times New Roman" w:eastAsia="宋体"/>
                      <w:sz w:val="21"/>
                      <w:szCs w:val="21"/>
                      <w:lang w:val="en-US" w:eastAsia="zh-CN"/>
                    </w:rPr>
                  </w:pPr>
                  <w:r>
                    <w:rPr>
                      <w:rFonts w:hint="eastAsia" w:ascii="Times New Roman"/>
                      <w:sz w:val="21"/>
                      <w:szCs w:val="21"/>
                      <w:lang w:val="en-US" w:eastAsia="zh-CN"/>
                    </w:rPr>
                    <w:t>1.2</w:t>
                  </w:r>
                </w:p>
              </w:tc>
              <w:tc>
                <w:tcPr>
                  <w:tcW w:w="972" w:type="pct"/>
                  <w:noWrap w:val="0"/>
                  <w:vAlign w:val="center"/>
                </w:tcPr>
                <w:p w14:paraId="141515FF">
                  <w:pPr>
                    <w:pStyle w:val="19"/>
                    <w:spacing w:line="240" w:lineRule="auto"/>
                    <w:ind w:firstLine="0"/>
                    <w:jc w:val="center"/>
                    <w:rPr>
                      <w:rFonts w:hint="eastAsia" w:ascii="Times New Roman"/>
                      <w:sz w:val="21"/>
                      <w:szCs w:val="21"/>
                      <w:highlight w:val="none"/>
                    </w:rPr>
                  </w:pPr>
                  <w:r>
                    <w:rPr>
                      <w:rFonts w:hint="eastAsia" w:ascii="Times New Roman"/>
                      <w:sz w:val="21"/>
                      <w:szCs w:val="21"/>
                      <w:highlight w:val="none"/>
                    </w:rPr>
                    <w:t>SW17</w:t>
                  </w:r>
                </w:p>
                <w:p w14:paraId="69FF76FC">
                  <w:pPr>
                    <w:pStyle w:val="19"/>
                    <w:spacing w:line="240" w:lineRule="auto"/>
                    <w:ind w:firstLine="0"/>
                    <w:jc w:val="center"/>
                    <w:rPr>
                      <w:rFonts w:hint="eastAsia" w:ascii="Times New Roman"/>
                      <w:sz w:val="21"/>
                      <w:szCs w:val="21"/>
                      <w:highlight w:val="none"/>
                    </w:rPr>
                  </w:pPr>
                  <w:r>
                    <w:rPr>
                      <w:rFonts w:hint="eastAsia" w:ascii="Times New Roman"/>
                      <w:sz w:val="21"/>
                      <w:szCs w:val="21"/>
                      <w:highlight w:val="none"/>
                    </w:rPr>
                    <w:t>900-003-S17</w:t>
                  </w:r>
                </w:p>
                <w:p w14:paraId="30D6144C">
                  <w:pPr>
                    <w:pStyle w:val="19"/>
                    <w:spacing w:line="240" w:lineRule="auto"/>
                    <w:ind w:firstLine="0"/>
                    <w:jc w:val="center"/>
                    <w:rPr>
                      <w:rFonts w:hint="default" w:ascii="Times New Roman" w:eastAsia="宋体"/>
                      <w:sz w:val="21"/>
                      <w:szCs w:val="21"/>
                      <w:highlight w:val="none"/>
                      <w:lang w:val="en-US" w:eastAsia="zh-CN"/>
                    </w:rPr>
                  </w:pPr>
                  <w:r>
                    <w:rPr>
                      <w:rFonts w:hint="eastAsia" w:ascii="Times New Roman"/>
                      <w:sz w:val="21"/>
                      <w:szCs w:val="21"/>
                      <w:highlight w:val="none"/>
                      <w:lang w:val="en-US" w:eastAsia="zh-CN"/>
                    </w:rPr>
                    <w:t>900-005-S17</w:t>
                  </w:r>
                </w:p>
              </w:tc>
              <w:tc>
                <w:tcPr>
                  <w:tcW w:w="974" w:type="pct"/>
                  <w:noWrap w:val="0"/>
                  <w:vAlign w:val="center"/>
                </w:tcPr>
                <w:p w14:paraId="6F2F2E7C">
                  <w:pPr>
                    <w:pStyle w:val="19"/>
                    <w:spacing w:line="240" w:lineRule="auto"/>
                    <w:ind w:firstLine="0"/>
                    <w:jc w:val="center"/>
                    <w:rPr>
                      <w:rFonts w:hint="eastAsia" w:ascii="Times New Roman" w:eastAsia="宋体"/>
                      <w:sz w:val="21"/>
                      <w:szCs w:val="21"/>
                      <w:lang w:eastAsia="zh-CN"/>
                    </w:rPr>
                  </w:pPr>
                  <w:r>
                    <w:rPr>
                      <w:rFonts w:hint="eastAsia" w:ascii="Times New Roman"/>
                      <w:sz w:val="21"/>
                      <w:szCs w:val="21"/>
                      <w:lang w:eastAsia="zh-CN"/>
                    </w:rPr>
                    <w:t>外售综合利用</w:t>
                  </w:r>
                </w:p>
              </w:tc>
            </w:tr>
            <w:tr w14:paraId="511D88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9" w:hRule="atLeast"/>
                <w:jc w:val="center"/>
              </w:trPr>
              <w:tc>
                <w:tcPr>
                  <w:tcW w:w="303" w:type="pct"/>
                  <w:noWrap w:val="0"/>
                  <w:vAlign w:val="center"/>
                </w:tcPr>
                <w:p w14:paraId="2D07055A">
                  <w:pPr>
                    <w:pStyle w:val="19"/>
                    <w:spacing w:line="240" w:lineRule="auto"/>
                    <w:ind w:firstLine="0"/>
                    <w:jc w:val="center"/>
                    <w:rPr>
                      <w:rFonts w:hint="eastAsia" w:ascii="Times New Roman" w:eastAsia="宋体"/>
                      <w:sz w:val="21"/>
                      <w:szCs w:val="21"/>
                      <w:lang w:val="en-US" w:eastAsia="zh-CN"/>
                    </w:rPr>
                  </w:pPr>
                  <w:r>
                    <w:rPr>
                      <w:rFonts w:hint="eastAsia" w:ascii="Times New Roman"/>
                      <w:sz w:val="21"/>
                      <w:szCs w:val="21"/>
                      <w:lang w:val="en-US" w:eastAsia="zh-CN"/>
                    </w:rPr>
                    <w:t>2</w:t>
                  </w:r>
                </w:p>
              </w:tc>
              <w:tc>
                <w:tcPr>
                  <w:tcW w:w="690" w:type="pct"/>
                  <w:noWrap w:val="0"/>
                  <w:vAlign w:val="center"/>
                </w:tcPr>
                <w:p w14:paraId="5C84B622">
                  <w:pPr>
                    <w:jc w:val="center"/>
                    <w:rPr>
                      <w:rFonts w:hint="eastAsia" w:ascii="Times New Roman"/>
                      <w:sz w:val="21"/>
                      <w:szCs w:val="21"/>
                      <w:highlight w:val="none"/>
                      <w:lang w:val="en-US" w:eastAsia="zh-CN"/>
                    </w:rPr>
                  </w:pPr>
                  <w:r>
                    <w:rPr>
                      <w:rFonts w:hint="eastAsia"/>
                      <w:szCs w:val="21"/>
                      <w:highlight w:val="none"/>
                      <w:lang w:eastAsia="zh-CN"/>
                    </w:rPr>
                    <w:t>化粪池污泥、污水处理污泥</w:t>
                  </w:r>
                </w:p>
              </w:tc>
              <w:tc>
                <w:tcPr>
                  <w:tcW w:w="423" w:type="pct"/>
                  <w:noWrap w:val="0"/>
                  <w:vAlign w:val="center"/>
                </w:tcPr>
                <w:p w14:paraId="6C4B6771">
                  <w:pPr>
                    <w:pStyle w:val="19"/>
                    <w:spacing w:line="240" w:lineRule="auto"/>
                    <w:ind w:firstLine="0" w:firstLineChars="0"/>
                    <w:jc w:val="center"/>
                    <w:rPr>
                      <w:rFonts w:hint="eastAsia" w:ascii="Times New Roman"/>
                      <w:sz w:val="21"/>
                      <w:szCs w:val="21"/>
                      <w:highlight w:val="none"/>
                      <w:lang w:val="en-US" w:eastAsia="zh-CN"/>
                    </w:rPr>
                  </w:pPr>
                  <w:r>
                    <w:rPr>
                      <w:rFonts w:hint="eastAsia" w:ascii="Times New Roman"/>
                      <w:sz w:val="21"/>
                      <w:szCs w:val="21"/>
                      <w:highlight w:val="none"/>
                      <w:lang w:eastAsia="zh-CN"/>
                    </w:rPr>
                    <w:t>污水处理</w:t>
                  </w:r>
                </w:p>
              </w:tc>
              <w:tc>
                <w:tcPr>
                  <w:tcW w:w="365" w:type="pct"/>
                  <w:noWrap w:val="0"/>
                  <w:vAlign w:val="center"/>
                </w:tcPr>
                <w:p w14:paraId="01B0F2D4">
                  <w:pPr>
                    <w:adjustRightInd w:val="0"/>
                    <w:jc w:val="center"/>
                    <w:rPr>
                      <w:rFonts w:hint="eastAsia" w:ascii="Times New Roman"/>
                      <w:sz w:val="21"/>
                      <w:szCs w:val="21"/>
                      <w:highlight w:val="none"/>
                    </w:rPr>
                  </w:pPr>
                  <w:r>
                    <w:rPr>
                      <w:rFonts w:hint="eastAsia"/>
                      <w:szCs w:val="21"/>
                      <w:highlight w:val="none"/>
                      <w:lang w:eastAsia="zh-CN"/>
                    </w:rPr>
                    <w:t>固态</w:t>
                  </w:r>
                </w:p>
              </w:tc>
              <w:tc>
                <w:tcPr>
                  <w:tcW w:w="520" w:type="pct"/>
                  <w:noWrap w:val="0"/>
                  <w:vAlign w:val="center"/>
                </w:tcPr>
                <w:p w14:paraId="78094D82">
                  <w:pPr>
                    <w:pStyle w:val="19"/>
                    <w:spacing w:line="240" w:lineRule="auto"/>
                    <w:ind w:firstLine="0" w:firstLineChars="0"/>
                    <w:jc w:val="center"/>
                    <w:rPr>
                      <w:rFonts w:hint="eastAsia" w:ascii="Times New Roman"/>
                      <w:sz w:val="21"/>
                      <w:szCs w:val="21"/>
                      <w:highlight w:val="none"/>
                      <w:lang w:val="en-US" w:eastAsia="zh-CN"/>
                    </w:rPr>
                  </w:pPr>
                  <w:r>
                    <w:rPr>
                      <w:rFonts w:hint="eastAsia" w:ascii="Times New Roman"/>
                      <w:sz w:val="21"/>
                      <w:szCs w:val="21"/>
                      <w:highlight w:val="none"/>
                      <w:lang w:eastAsia="zh-CN"/>
                    </w:rPr>
                    <w:t>致病菌、危化品</w:t>
                  </w:r>
                </w:p>
              </w:tc>
              <w:tc>
                <w:tcPr>
                  <w:tcW w:w="750" w:type="pct"/>
                  <w:noWrap w:val="0"/>
                  <w:vAlign w:val="center"/>
                </w:tcPr>
                <w:p w14:paraId="1C3313D7">
                  <w:pPr>
                    <w:jc w:val="center"/>
                    <w:rPr>
                      <w:rFonts w:hint="default" w:ascii="Times New Roman"/>
                      <w:sz w:val="21"/>
                      <w:szCs w:val="21"/>
                      <w:highlight w:val="none"/>
                      <w:lang w:val="en-US" w:eastAsia="zh-CN"/>
                    </w:rPr>
                  </w:pPr>
                  <w:r>
                    <w:rPr>
                      <w:rFonts w:hint="eastAsia"/>
                      <w:szCs w:val="21"/>
                      <w:highlight w:val="none"/>
                      <w:lang w:val="en-US" w:eastAsia="zh-CN"/>
                    </w:rPr>
                    <w:t>37.708</w:t>
                  </w:r>
                </w:p>
              </w:tc>
              <w:tc>
                <w:tcPr>
                  <w:tcW w:w="972" w:type="pct"/>
                  <w:noWrap w:val="0"/>
                  <w:vAlign w:val="center"/>
                </w:tcPr>
                <w:p w14:paraId="26EF3658">
                  <w:pPr>
                    <w:jc w:val="center"/>
                    <w:rPr>
                      <w:rFonts w:hint="default" w:ascii="Times New Roman" w:hAnsi="Times New Roman" w:eastAsia="宋体" w:cs="Times New Roman"/>
                      <w:b w:val="0"/>
                      <w:bCs w:val="0"/>
                      <w:i w:val="0"/>
                      <w:iCs w:val="0"/>
                      <w:caps w:val="0"/>
                      <w:color w:val="0F1115"/>
                      <w:spacing w:val="0"/>
                      <w:sz w:val="21"/>
                      <w:szCs w:val="21"/>
                      <w:shd w:val="clear" w:fill="FFFFFF"/>
                    </w:rPr>
                  </w:pPr>
                  <w:r>
                    <w:rPr>
                      <w:rFonts w:hint="default" w:ascii="Times New Roman" w:hAnsi="Times New Roman" w:eastAsia="宋体" w:cs="Times New Roman"/>
                      <w:b w:val="0"/>
                      <w:bCs w:val="0"/>
                      <w:i w:val="0"/>
                      <w:iCs w:val="0"/>
                      <w:caps w:val="0"/>
                      <w:color w:val="0F1115"/>
                      <w:spacing w:val="0"/>
                      <w:sz w:val="21"/>
                      <w:szCs w:val="21"/>
                      <w:shd w:val="clear" w:fill="FFFFFF"/>
                    </w:rPr>
                    <w:t>SW90</w:t>
                  </w:r>
                </w:p>
                <w:p w14:paraId="6AD4BE65">
                  <w:pPr>
                    <w:jc w:val="center"/>
                    <w:rPr>
                      <w:rFonts w:hint="eastAsia" w:ascii="Times New Roman"/>
                      <w:sz w:val="21"/>
                      <w:szCs w:val="21"/>
                      <w:highlight w:val="none"/>
                      <w:lang w:val="en-US" w:eastAsia="zh-CN"/>
                    </w:rPr>
                  </w:pPr>
                  <w:r>
                    <w:rPr>
                      <w:rFonts w:hint="default" w:ascii="Times New Roman" w:hAnsi="Times New Roman" w:eastAsia="宋体" w:cs="Times New Roman"/>
                      <w:b w:val="0"/>
                      <w:bCs w:val="0"/>
                      <w:i w:val="0"/>
                      <w:iCs w:val="0"/>
                      <w:caps w:val="0"/>
                      <w:color w:val="0F1115"/>
                      <w:spacing w:val="0"/>
                      <w:sz w:val="21"/>
                      <w:szCs w:val="21"/>
                      <w:shd w:val="clear" w:fill="FFFFFF"/>
                    </w:rPr>
                    <w:t>462-001-S90</w:t>
                  </w:r>
                </w:p>
              </w:tc>
              <w:tc>
                <w:tcPr>
                  <w:tcW w:w="974" w:type="pct"/>
                  <w:noWrap w:val="0"/>
                  <w:vAlign w:val="center"/>
                </w:tcPr>
                <w:p w14:paraId="3409C644">
                  <w:pPr>
                    <w:pStyle w:val="19"/>
                    <w:spacing w:line="240" w:lineRule="auto"/>
                    <w:ind w:firstLine="0"/>
                    <w:jc w:val="center"/>
                    <w:rPr>
                      <w:rFonts w:hint="eastAsia" w:ascii="Times New Roman"/>
                      <w:sz w:val="21"/>
                      <w:szCs w:val="21"/>
                      <w:lang w:eastAsia="zh-CN"/>
                    </w:rPr>
                  </w:pPr>
                  <w:r>
                    <w:rPr>
                      <w:rFonts w:ascii="Segoe UI" w:hAnsi="Segoe UI" w:eastAsia="Segoe UI" w:cs="Segoe UI"/>
                      <w:b w:val="0"/>
                      <w:bCs w:val="0"/>
                      <w:i w:val="0"/>
                      <w:iCs w:val="0"/>
                      <w:caps w:val="0"/>
                      <w:color w:val="0F1115"/>
                      <w:spacing w:val="0"/>
                      <w:sz w:val="21"/>
                      <w:szCs w:val="21"/>
                      <w:shd w:val="clear" w:fill="FFFFFF"/>
                    </w:rPr>
                    <w:t>委托有能力的单位进行处置</w:t>
                  </w:r>
                </w:p>
              </w:tc>
            </w:tr>
            <w:tr w14:paraId="327ECE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3" w:type="pct"/>
                  <w:noWrap w:val="0"/>
                  <w:vAlign w:val="center"/>
                </w:tcPr>
                <w:p w14:paraId="06A64F00">
                  <w:pPr>
                    <w:pStyle w:val="19"/>
                    <w:spacing w:line="240" w:lineRule="auto"/>
                    <w:ind w:firstLine="0"/>
                    <w:jc w:val="center"/>
                    <w:rPr>
                      <w:rFonts w:hint="eastAsia" w:ascii="Times New Roman" w:eastAsia="宋体"/>
                      <w:sz w:val="21"/>
                      <w:szCs w:val="21"/>
                      <w:lang w:eastAsia="zh-CN"/>
                    </w:rPr>
                  </w:pPr>
                  <w:r>
                    <w:rPr>
                      <w:rFonts w:hint="eastAsia" w:ascii="Times New Roman"/>
                      <w:sz w:val="21"/>
                      <w:szCs w:val="21"/>
                      <w:lang w:val="en-US" w:eastAsia="zh-CN"/>
                    </w:rPr>
                    <w:t>3</w:t>
                  </w:r>
                </w:p>
              </w:tc>
              <w:tc>
                <w:tcPr>
                  <w:tcW w:w="690" w:type="pct"/>
                  <w:noWrap w:val="0"/>
                  <w:vAlign w:val="center"/>
                </w:tcPr>
                <w:p w14:paraId="6971A4D5">
                  <w:pPr>
                    <w:jc w:val="center"/>
                    <w:rPr>
                      <w:szCs w:val="21"/>
                    </w:rPr>
                  </w:pPr>
                  <w:r>
                    <w:rPr>
                      <w:rFonts w:hint="eastAsia"/>
                      <w:szCs w:val="21"/>
                    </w:rPr>
                    <w:t>生活垃圾</w:t>
                  </w:r>
                </w:p>
              </w:tc>
              <w:tc>
                <w:tcPr>
                  <w:tcW w:w="423" w:type="pct"/>
                  <w:noWrap w:val="0"/>
                  <w:vAlign w:val="center"/>
                </w:tcPr>
                <w:p w14:paraId="171BC7E2">
                  <w:pPr>
                    <w:pStyle w:val="19"/>
                    <w:spacing w:line="240" w:lineRule="auto"/>
                    <w:ind w:firstLine="0"/>
                    <w:jc w:val="center"/>
                    <w:rPr>
                      <w:rFonts w:hint="eastAsia" w:ascii="Times New Roman" w:eastAsia="宋体"/>
                      <w:sz w:val="21"/>
                      <w:szCs w:val="21"/>
                      <w:lang w:eastAsia="zh-CN"/>
                    </w:rPr>
                  </w:pPr>
                  <w:r>
                    <w:rPr>
                      <w:rFonts w:hint="eastAsia" w:ascii="Times New Roman"/>
                      <w:sz w:val="21"/>
                      <w:szCs w:val="21"/>
                      <w:lang w:val="en-US" w:eastAsia="zh-CN"/>
                    </w:rPr>
                    <w:t>/</w:t>
                  </w:r>
                </w:p>
              </w:tc>
              <w:tc>
                <w:tcPr>
                  <w:tcW w:w="365" w:type="pct"/>
                  <w:noWrap w:val="0"/>
                  <w:vAlign w:val="center"/>
                </w:tcPr>
                <w:p w14:paraId="7A0EF500">
                  <w:pPr>
                    <w:adjustRightInd w:val="0"/>
                    <w:jc w:val="center"/>
                    <w:rPr>
                      <w:szCs w:val="21"/>
                    </w:rPr>
                  </w:pPr>
                  <w:r>
                    <w:rPr>
                      <w:rFonts w:hint="eastAsia"/>
                      <w:szCs w:val="21"/>
                    </w:rPr>
                    <w:t>固态</w:t>
                  </w:r>
                </w:p>
              </w:tc>
              <w:tc>
                <w:tcPr>
                  <w:tcW w:w="520" w:type="pct"/>
                  <w:noWrap w:val="0"/>
                  <w:vAlign w:val="center"/>
                </w:tcPr>
                <w:p w14:paraId="0AB8DAF4">
                  <w:pPr>
                    <w:pStyle w:val="19"/>
                    <w:spacing w:line="240" w:lineRule="auto"/>
                    <w:ind w:firstLine="0"/>
                    <w:jc w:val="center"/>
                    <w:rPr>
                      <w:rFonts w:ascii="Times New Roman"/>
                      <w:sz w:val="21"/>
                      <w:szCs w:val="21"/>
                    </w:rPr>
                  </w:pPr>
                  <w:r>
                    <w:rPr>
                      <w:rFonts w:hint="eastAsia" w:ascii="Times New Roman"/>
                      <w:sz w:val="21"/>
                      <w:szCs w:val="21"/>
                    </w:rPr>
                    <w:t>/</w:t>
                  </w:r>
                </w:p>
              </w:tc>
              <w:tc>
                <w:tcPr>
                  <w:tcW w:w="750" w:type="pct"/>
                  <w:noWrap w:val="0"/>
                  <w:vAlign w:val="center"/>
                </w:tcPr>
                <w:p w14:paraId="608F6830">
                  <w:pPr>
                    <w:jc w:val="center"/>
                    <w:rPr>
                      <w:rFonts w:hint="default" w:eastAsia="宋体"/>
                      <w:szCs w:val="21"/>
                      <w:lang w:val="en-US" w:eastAsia="zh-CN"/>
                    </w:rPr>
                  </w:pPr>
                  <w:r>
                    <w:rPr>
                      <w:rFonts w:hint="eastAsia"/>
                      <w:szCs w:val="21"/>
                      <w:lang w:val="en-US" w:eastAsia="zh-CN"/>
                    </w:rPr>
                    <w:t>106.945</w:t>
                  </w:r>
                </w:p>
              </w:tc>
              <w:tc>
                <w:tcPr>
                  <w:tcW w:w="972" w:type="pct"/>
                  <w:noWrap w:val="0"/>
                  <w:vAlign w:val="center"/>
                </w:tcPr>
                <w:p w14:paraId="192DCDA8">
                  <w:pPr>
                    <w:jc w:val="center"/>
                    <w:rPr>
                      <w:szCs w:val="21"/>
                    </w:rPr>
                  </w:pPr>
                  <w:r>
                    <w:rPr>
                      <w:rFonts w:hint="eastAsia"/>
                      <w:szCs w:val="21"/>
                    </w:rPr>
                    <w:t>--</w:t>
                  </w:r>
                </w:p>
              </w:tc>
              <w:tc>
                <w:tcPr>
                  <w:tcW w:w="974" w:type="pct"/>
                  <w:noWrap w:val="0"/>
                  <w:vAlign w:val="center"/>
                </w:tcPr>
                <w:p w14:paraId="6D86D6A8">
                  <w:pPr>
                    <w:jc w:val="center"/>
                    <w:rPr>
                      <w:szCs w:val="21"/>
                    </w:rPr>
                  </w:pPr>
                  <w:r>
                    <w:rPr>
                      <w:rFonts w:hint="eastAsia"/>
                      <w:szCs w:val="21"/>
                    </w:rPr>
                    <w:t>交环卫部门清运</w:t>
                  </w:r>
                </w:p>
              </w:tc>
            </w:tr>
            <w:tr w14:paraId="0FE38B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3" w:hRule="atLeast"/>
                <w:jc w:val="center"/>
              </w:trPr>
              <w:tc>
                <w:tcPr>
                  <w:tcW w:w="303" w:type="pct"/>
                  <w:noWrap w:val="0"/>
                  <w:vAlign w:val="center"/>
                </w:tcPr>
                <w:p w14:paraId="38465152">
                  <w:pPr>
                    <w:pStyle w:val="19"/>
                    <w:spacing w:line="240" w:lineRule="auto"/>
                    <w:ind w:firstLine="0"/>
                    <w:jc w:val="center"/>
                    <w:rPr>
                      <w:rFonts w:hint="eastAsia" w:ascii="Times New Roman" w:eastAsia="宋体"/>
                      <w:sz w:val="21"/>
                      <w:szCs w:val="21"/>
                      <w:lang w:eastAsia="zh-CN"/>
                    </w:rPr>
                  </w:pPr>
                  <w:r>
                    <w:rPr>
                      <w:rFonts w:hint="eastAsia" w:ascii="Times New Roman"/>
                      <w:sz w:val="21"/>
                      <w:szCs w:val="21"/>
                      <w:lang w:val="en-US" w:eastAsia="zh-CN"/>
                    </w:rPr>
                    <w:t>4</w:t>
                  </w:r>
                </w:p>
              </w:tc>
              <w:tc>
                <w:tcPr>
                  <w:tcW w:w="690" w:type="pct"/>
                  <w:noWrap w:val="0"/>
                  <w:vAlign w:val="center"/>
                </w:tcPr>
                <w:p w14:paraId="294436B5">
                  <w:pPr>
                    <w:jc w:val="center"/>
                    <w:rPr>
                      <w:rFonts w:hint="eastAsia" w:eastAsia="宋体"/>
                      <w:szCs w:val="21"/>
                      <w:lang w:eastAsia="zh-CN"/>
                    </w:rPr>
                  </w:pPr>
                  <w:r>
                    <w:rPr>
                      <w:rFonts w:hint="eastAsia"/>
                      <w:szCs w:val="21"/>
                      <w:lang w:eastAsia="zh-CN"/>
                    </w:rPr>
                    <w:t>废药品</w:t>
                  </w:r>
                </w:p>
              </w:tc>
              <w:tc>
                <w:tcPr>
                  <w:tcW w:w="423" w:type="pct"/>
                  <w:noWrap w:val="0"/>
                  <w:vAlign w:val="center"/>
                </w:tcPr>
                <w:p w14:paraId="43E069DF">
                  <w:pPr>
                    <w:pStyle w:val="19"/>
                    <w:spacing w:line="240" w:lineRule="auto"/>
                    <w:ind w:firstLine="0"/>
                    <w:jc w:val="center"/>
                    <w:rPr>
                      <w:rFonts w:hint="eastAsia" w:ascii="Times New Roman" w:eastAsia="宋体"/>
                      <w:sz w:val="21"/>
                      <w:szCs w:val="21"/>
                      <w:lang w:eastAsia="zh-CN"/>
                    </w:rPr>
                  </w:pPr>
                  <w:r>
                    <w:rPr>
                      <w:rFonts w:hint="eastAsia" w:ascii="Times New Roman"/>
                      <w:sz w:val="21"/>
                      <w:szCs w:val="21"/>
                      <w:lang w:eastAsia="zh-CN"/>
                    </w:rPr>
                    <w:t>药品</w:t>
                  </w:r>
                </w:p>
              </w:tc>
              <w:tc>
                <w:tcPr>
                  <w:tcW w:w="365" w:type="pct"/>
                  <w:noWrap w:val="0"/>
                  <w:vAlign w:val="center"/>
                </w:tcPr>
                <w:p w14:paraId="05565053">
                  <w:pPr>
                    <w:adjustRightInd w:val="0"/>
                    <w:jc w:val="center"/>
                    <w:rPr>
                      <w:rFonts w:hint="eastAsia"/>
                      <w:szCs w:val="21"/>
                    </w:rPr>
                  </w:pPr>
                  <w:r>
                    <w:rPr>
                      <w:rFonts w:hint="eastAsia"/>
                      <w:szCs w:val="21"/>
                    </w:rPr>
                    <w:t>固态</w:t>
                  </w:r>
                </w:p>
              </w:tc>
              <w:tc>
                <w:tcPr>
                  <w:tcW w:w="520" w:type="pct"/>
                  <w:noWrap w:val="0"/>
                  <w:vAlign w:val="center"/>
                </w:tcPr>
                <w:p w14:paraId="456D71E5">
                  <w:pPr>
                    <w:pStyle w:val="19"/>
                    <w:spacing w:line="240" w:lineRule="auto"/>
                    <w:ind w:firstLine="0"/>
                    <w:jc w:val="center"/>
                    <w:rPr>
                      <w:rFonts w:hint="eastAsia" w:ascii="Times New Roman" w:eastAsia="宋体"/>
                      <w:sz w:val="21"/>
                      <w:szCs w:val="21"/>
                      <w:lang w:eastAsia="zh-CN"/>
                    </w:rPr>
                  </w:pPr>
                  <w:r>
                    <w:rPr>
                      <w:rFonts w:hint="eastAsia" w:ascii="Times New Roman"/>
                      <w:sz w:val="21"/>
                      <w:szCs w:val="21"/>
                      <w:lang w:eastAsia="zh-CN"/>
                    </w:rPr>
                    <w:t>药品</w:t>
                  </w:r>
                </w:p>
              </w:tc>
              <w:tc>
                <w:tcPr>
                  <w:tcW w:w="750" w:type="pct"/>
                  <w:noWrap w:val="0"/>
                  <w:vAlign w:val="center"/>
                </w:tcPr>
                <w:p w14:paraId="3280949B">
                  <w:pPr>
                    <w:jc w:val="center"/>
                    <w:rPr>
                      <w:rFonts w:hint="default" w:eastAsia="宋体"/>
                      <w:szCs w:val="21"/>
                      <w:lang w:val="en-US" w:eastAsia="zh-CN"/>
                    </w:rPr>
                  </w:pPr>
                  <w:r>
                    <w:rPr>
                      <w:rFonts w:hint="eastAsia"/>
                      <w:szCs w:val="21"/>
                      <w:lang w:val="en-US" w:eastAsia="zh-CN"/>
                    </w:rPr>
                    <w:t>0.3</w:t>
                  </w:r>
                </w:p>
              </w:tc>
              <w:tc>
                <w:tcPr>
                  <w:tcW w:w="972" w:type="pct"/>
                  <w:noWrap w:val="0"/>
                  <w:vAlign w:val="center"/>
                </w:tcPr>
                <w:p w14:paraId="37A56009">
                  <w:pPr>
                    <w:jc w:val="center"/>
                    <w:rPr>
                      <w:rFonts w:hint="default" w:eastAsia="宋体"/>
                      <w:szCs w:val="21"/>
                      <w:lang w:val="en-US" w:eastAsia="zh-CN"/>
                    </w:rPr>
                  </w:pPr>
                  <w:r>
                    <w:rPr>
                      <w:rFonts w:hint="eastAsia"/>
                      <w:szCs w:val="21"/>
                    </w:rPr>
                    <w:t>HW</w:t>
                  </w:r>
                  <w:r>
                    <w:rPr>
                      <w:rFonts w:hint="eastAsia"/>
                      <w:szCs w:val="21"/>
                      <w:lang w:val="en-US" w:eastAsia="zh-CN"/>
                    </w:rPr>
                    <w:t>03</w:t>
                  </w:r>
                </w:p>
                <w:p w14:paraId="35C85CCC">
                  <w:pPr>
                    <w:jc w:val="center"/>
                    <w:rPr>
                      <w:rFonts w:hint="default" w:eastAsia="宋体"/>
                      <w:szCs w:val="21"/>
                      <w:lang w:val="en-US" w:eastAsia="zh-CN"/>
                    </w:rPr>
                  </w:pPr>
                  <w:r>
                    <w:rPr>
                      <w:rFonts w:hint="eastAsia"/>
                      <w:szCs w:val="21"/>
                    </w:rPr>
                    <w:t>900-</w:t>
                  </w:r>
                  <w:r>
                    <w:rPr>
                      <w:rFonts w:hint="eastAsia"/>
                      <w:szCs w:val="21"/>
                      <w:lang w:val="en-US" w:eastAsia="zh-CN"/>
                    </w:rPr>
                    <w:t>002-03</w:t>
                  </w:r>
                </w:p>
              </w:tc>
              <w:tc>
                <w:tcPr>
                  <w:tcW w:w="974" w:type="pct"/>
                  <w:noWrap w:val="0"/>
                  <w:vAlign w:val="center"/>
                </w:tcPr>
                <w:p w14:paraId="101139ED">
                  <w:pPr>
                    <w:jc w:val="center"/>
                    <w:rPr>
                      <w:rFonts w:hint="eastAsia" w:eastAsia="宋体"/>
                      <w:szCs w:val="21"/>
                      <w:lang w:eastAsia="zh-CN"/>
                    </w:rPr>
                  </w:pPr>
                  <w:r>
                    <w:rPr>
                      <w:rFonts w:hint="eastAsia" w:ascii="Times New Roman" w:hAnsi="Times New Roman" w:eastAsia="宋体" w:cs="Times New Roman"/>
                      <w:b w:val="0"/>
                      <w:bCs/>
                      <w:color w:val="auto"/>
                      <w:sz w:val="21"/>
                      <w:szCs w:val="21"/>
                      <w:highlight w:val="none"/>
                      <w:lang w:val="en-US" w:eastAsia="zh-CN"/>
                    </w:rPr>
                    <w:t>使用专用收纳袋封装，交由有相应医疗废物处理资质的单位处置。</w:t>
                  </w:r>
                </w:p>
              </w:tc>
            </w:tr>
            <w:tr w14:paraId="55156E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3" w:type="pct"/>
                  <w:noWrap w:val="0"/>
                  <w:vAlign w:val="center"/>
                </w:tcPr>
                <w:p w14:paraId="1822D41F">
                  <w:pPr>
                    <w:pStyle w:val="19"/>
                    <w:spacing w:line="240" w:lineRule="auto"/>
                    <w:ind w:firstLine="0"/>
                    <w:jc w:val="center"/>
                    <w:rPr>
                      <w:rFonts w:hint="eastAsia" w:ascii="Times New Roman" w:eastAsia="宋体"/>
                      <w:sz w:val="21"/>
                      <w:szCs w:val="21"/>
                      <w:lang w:eastAsia="zh-CN"/>
                    </w:rPr>
                  </w:pPr>
                  <w:r>
                    <w:rPr>
                      <w:rFonts w:hint="eastAsia" w:ascii="Times New Roman"/>
                      <w:sz w:val="21"/>
                      <w:szCs w:val="21"/>
                      <w:lang w:val="en-US" w:eastAsia="zh-CN"/>
                    </w:rPr>
                    <w:t>5</w:t>
                  </w:r>
                </w:p>
              </w:tc>
              <w:tc>
                <w:tcPr>
                  <w:tcW w:w="690" w:type="pct"/>
                  <w:noWrap w:val="0"/>
                  <w:vAlign w:val="center"/>
                </w:tcPr>
                <w:p w14:paraId="76799554">
                  <w:pPr>
                    <w:jc w:val="center"/>
                    <w:rPr>
                      <w:rFonts w:hint="eastAsia" w:eastAsia="宋体"/>
                      <w:szCs w:val="21"/>
                      <w:lang w:eastAsia="zh-CN"/>
                    </w:rPr>
                  </w:pPr>
                  <w:r>
                    <w:rPr>
                      <w:rFonts w:hint="eastAsia"/>
                      <w:szCs w:val="21"/>
                      <w:lang w:eastAsia="zh-CN"/>
                    </w:rPr>
                    <w:t>医疗废物</w:t>
                  </w:r>
                </w:p>
              </w:tc>
              <w:tc>
                <w:tcPr>
                  <w:tcW w:w="423" w:type="pct"/>
                  <w:noWrap w:val="0"/>
                  <w:vAlign w:val="center"/>
                </w:tcPr>
                <w:p w14:paraId="7FE230A8">
                  <w:pPr>
                    <w:pStyle w:val="19"/>
                    <w:spacing w:line="240" w:lineRule="auto"/>
                    <w:ind w:firstLine="0"/>
                    <w:jc w:val="center"/>
                    <w:rPr>
                      <w:rFonts w:hint="eastAsia" w:ascii="Times New Roman"/>
                      <w:sz w:val="21"/>
                      <w:szCs w:val="21"/>
                      <w:lang w:val="en-US" w:eastAsia="zh-CN"/>
                    </w:rPr>
                  </w:pPr>
                </w:p>
                <w:p w14:paraId="2705E4B0">
                  <w:pPr>
                    <w:pStyle w:val="19"/>
                    <w:spacing w:line="240" w:lineRule="auto"/>
                    <w:ind w:firstLine="0"/>
                    <w:jc w:val="center"/>
                    <w:rPr>
                      <w:rFonts w:hint="eastAsia" w:ascii="Times New Roman" w:eastAsia="宋体"/>
                      <w:sz w:val="21"/>
                      <w:szCs w:val="21"/>
                      <w:lang w:eastAsia="zh-CN"/>
                    </w:rPr>
                  </w:pPr>
                  <w:r>
                    <w:rPr>
                      <w:rFonts w:hint="eastAsia" w:ascii="Times New Roman"/>
                      <w:sz w:val="21"/>
                      <w:szCs w:val="21"/>
                      <w:lang w:val="en-US" w:eastAsia="zh-CN"/>
                    </w:rPr>
                    <w:t>/</w:t>
                  </w:r>
                </w:p>
              </w:tc>
              <w:tc>
                <w:tcPr>
                  <w:tcW w:w="365" w:type="pct"/>
                  <w:noWrap w:val="0"/>
                  <w:vAlign w:val="center"/>
                </w:tcPr>
                <w:p w14:paraId="440773EF">
                  <w:pPr>
                    <w:adjustRightInd w:val="0"/>
                    <w:jc w:val="center"/>
                    <w:rPr>
                      <w:rFonts w:hint="eastAsia"/>
                      <w:szCs w:val="21"/>
                    </w:rPr>
                  </w:pPr>
                  <w:r>
                    <w:rPr>
                      <w:rFonts w:hint="eastAsia"/>
                      <w:szCs w:val="21"/>
                    </w:rPr>
                    <w:t>固态</w:t>
                  </w:r>
                </w:p>
              </w:tc>
              <w:tc>
                <w:tcPr>
                  <w:tcW w:w="520" w:type="pct"/>
                  <w:noWrap w:val="0"/>
                  <w:vAlign w:val="center"/>
                </w:tcPr>
                <w:p w14:paraId="6330EF7E">
                  <w:pPr>
                    <w:pStyle w:val="19"/>
                    <w:spacing w:line="240" w:lineRule="auto"/>
                    <w:ind w:firstLine="0"/>
                    <w:jc w:val="center"/>
                    <w:rPr>
                      <w:rFonts w:hint="eastAsia" w:ascii="Times New Roman" w:eastAsia="宋体"/>
                      <w:sz w:val="21"/>
                      <w:szCs w:val="21"/>
                      <w:lang w:eastAsia="zh-CN"/>
                    </w:rPr>
                  </w:pPr>
                  <w:r>
                    <w:rPr>
                      <w:rFonts w:hint="eastAsia" w:ascii="Times New Roman"/>
                      <w:sz w:val="21"/>
                      <w:szCs w:val="21"/>
                      <w:lang w:eastAsia="zh-CN"/>
                    </w:rPr>
                    <w:t>致病菌、危化品</w:t>
                  </w:r>
                </w:p>
              </w:tc>
              <w:tc>
                <w:tcPr>
                  <w:tcW w:w="750" w:type="pct"/>
                  <w:noWrap w:val="0"/>
                  <w:vAlign w:val="center"/>
                </w:tcPr>
                <w:p w14:paraId="0937143A">
                  <w:pPr>
                    <w:jc w:val="center"/>
                    <w:rPr>
                      <w:rFonts w:hint="default" w:eastAsia="宋体"/>
                      <w:szCs w:val="21"/>
                      <w:lang w:val="en-US" w:eastAsia="zh-CN"/>
                    </w:rPr>
                  </w:pPr>
                  <w:r>
                    <w:rPr>
                      <w:rFonts w:hint="eastAsia"/>
                      <w:szCs w:val="21"/>
                      <w:lang w:val="en-US" w:eastAsia="zh-CN"/>
                    </w:rPr>
                    <w:t>45.625</w:t>
                  </w:r>
                </w:p>
              </w:tc>
              <w:tc>
                <w:tcPr>
                  <w:tcW w:w="972" w:type="pct"/>
                  <w:noWrap w:val="0"/>
                  <w:vAlign w:val="center"/>
                </w:tcPr>
                <w:p w14:paraId="466F66B9">
                  <w:pPr>
                    <w:jc w:val="center"/>
                    <w:rPr>
                      <w:rFonts w:hint="eastAsia"/>
                      <w:lang w:val="en-US" w:eastAsia="zh-CN"/>
                    </w:rPr>
                  </w:pPr>
                  <w:r>
                    <w:t>HW</w:t>
                  </w:r>
                  <w:r>
                    <w:rPr>
                      <w:rFonts w:hint="eastAsia"/>
                      <w:lang w:val="en-US" w:eastAsia="zh-CN"/>
                    </w:rPr>
                    <w:t>01</w:t>
                  </w:r>
                </w:p>
                <w:p w14:paraId="45C0D446">
                  <w:pPr>
                    <w:pStyle w:val="9"/>
                    <w:jc w:val="center"/>
                    <w:rPr>
                      <w:rFonts w:hint="eastAsia"/>
                      <w:sz w:val="21"/>
                      <w:szCs w:val="21"/>
                      <w:lang w:val="en-US" w:eastAsia="zh-CN"/>
                    </w:rPr>
                  </w:pPr>
                  <w:r>
                    <w:rPr>
                      <w:rFonts w:hint="eastAsia"/>
                      <w:sz w:val="21"/>
                      <w:szCs w:val="21"/>
                      <w:lang w:val="en-US" w:eastAsia="zh-CN"/>
                    </w:rPr>
                    <w:t>841-001-01</w:t>
                  </w:r>
                </w:p>
                <w:p w14:paraId="19E72D04">
                  <w:pPr>
                    <w:jc w:val="center"/>
                    <w:rPr>
                      <w:rFonts w:hint="eastAsia"/>
                      <w:szCs w:val="21"/>
                      <w:lang w:val="en-US" w:eastAsia="zh-CN"/>
                    </w:rPr>
                  </w:pPr>
                  <w:r>
                    <w:rPr>
                      <w:rFonts w:hint="eastAsia"/>
                      <w:szCs w:val="21"/>
                      <w:lang w:val="en-US" w:eastAsia="zh-CN"/>
                    </w:rPr>
                    <w:t>841-002-01</w:t>
                  </w:r>
                </w:p>
                <w:p w14:paraId="5DEE5121">
                  <w:pPr>
                    <w:jc w:val="center"/>
                    <w:rPr>
                      <w:rFonts w:hint="eastAsia"/>
                      <w:szCs w:val="21"/>
                      <w:lang w:val="en-US" w:eastAsia="zh-CN"/>
                    </w:rPr>
                  </w:pPr>
                  <w:r>
                    <w:rPr>
                      <w:rFonts w:hint="eastAsia"/>
                      <w:szCs w:val="21"/>
                      <w:lang w:val="en-US" w:eastAsia="zh-CN"/>
                    </w:rPr>
                    <w:t>841-003-01</w:t>
                  </w:r>
                </w:p>
                <w:p w14:paraId="31E3CF12">
                  <w:pPr>
                    <w:jc w:val="center"/>
                    <w:rPr>
                      <w:rFonts w:hint="eastAsia"/>
                      <w:szCs w:val="21"/>
                      <w:lang w:val="en-US" w:eastAsia="zh-CN"/>
                    </w:rPr>
                  </w:pPr>
                  <w:r>
                    <w:rPr>
                      <w:rFonts w:hint="eastAsia"/>
                      <w:szCs w:val="21"/>
                      <w:lang w:val="en-US" w:eastAsia="zh-CN"/>
                    </w:rPr>
                    <w:t>841-004-01</w:t>
                  </w:r>
                </w:p>
                <w:p w14:paraId="3973EB85">
                  <w:pPr>
                    <w:pStyle w:val="9"/>
                    <w:jc w:val="center"/>
                    <w:rPr>
                      <w:rFonts w:hint="default"/>
                      <w:lang w:val="en-US" w:eastAsia="zh-CN"/>
                    </w:rPr>
                  </w:pPr>
                  <w:r>
                    <w:rPr>
                      <w:rFonts w:hint="eastAsia"/>
                      <w:sz w:val="21"/>
                      <w:szCs w:val="21"/>
                      <w:lang w:val="en-US" w:eastAsia="zh-CN"/>
                    </w:rPr>
                    <w:t>841-005-01</w:t>
                  </w:r>
                </w:p>
              </w:tc>
              <w:tc>
                <w:tcPr>
                  <w:tcW w:w="974" w:type="pct"/>
                  <w:noWrap w:val="0"/>
                  <w:vAlign w:val="center"/>
                </w:tcPr>
                <w:p w14:paraId="6EDF2DA7">
                  <w:pPr>
                    <w:jc w:val="center"/>
                    <w:rPr>
                      <w:rFonts w:hint="eastAsia" w:eastAsia="宋体"/>
                      <w:szCs w:val="21"/>
                      <w:lang w:eastAsia="zh-CN"/>
                    </w:rPr>
                  </w:pPr>
                  <w:r>
                    <w:rPr>
                      <w:rFonts w:hint="eastAsia"/>
                      <w:szCs w:val="21"/>
                      <w:lang w:eastAsia="zh-CN"/>
                    </w:rPr>
                    <w:t>暂存于医疗废物暂存间，定期交有资质单位处理。</w:t>
                  </w:r>
                </w:p>
              </w:tc>
            </w:tr>
            <w:tr w14:paraId="7D5FFB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3" w:type="pct"/>
                  <w:noWrap w:val="0"/>
                  <w:vAlign w:val="center"/>
                </w:tcPr>
                <w:p w14:paraId="22FBC6A6">
                  <w:pPr>
                    <w:pStyle w:val="19"/>
                    <w:spacing w:line="240" w:lineRule="auto"/>
                    <w:ind w:firstLine="0"/>
                    <w:jc w:val="center"/>
                    <w:rPr>
                      <w:rFonts w:hint="eastAsia" w:ascii="Times New Roman" w:eastAsia="宋体"/>
                      <w:sz w:val="21"/>
                      <w:szCs w:val="21"/>
                      <w:highlight w:val="none"/>
                      <w:lang w:eastAsia="zh-CN"/>
                    </w:rPr>
                  </w:pPr>
                  <w:r>
                    <w:rPr>
                      <w:rFonts w:hint="eastAsia" w:ascii="Times New Roman"/>
                      <w:sz w:val="21"/>
                      <w:szCs w:val="21"/>
                      <w:highlight w:val="none"/>
                      <w:lang w:val="en-US" w:eastAsia="zh-CN"/>
                    </w:rPr>
                    <w:t>6</w:t>
                  </w:r>
                </w:p>
              </w:tc>
              <w:tc>
                <w:tcPr>
                  <w:tcW w:w="690" w:type="pct"/>
                  <w:noWrap w:val="0"/>
                  <w:vAlign w:val="center"/>
                </w:tcPr>
                <w:p w14:paraId="6D5BC1D2">
                  <w:pPr>
                    <w:jc w:val="center"/>
                    <w:rPr>
                      <w:rFonts w:hint="eastAsia" w:eastAsia="宋体"/>
                      <w:szCs w:val="21"/>
                      <w:highlight w:val="none"/>
                      <w:lang w:eastAsia="zh-CN"/>
                    </w:rPr>
                  </w:pPr>
                  <w:r>
                    <w:rPr>
                      <w:rFonts w:hint="eastAsia"/>
                      <w:szCs w:val="21"/>
                      <w:highlight w:val="none"/>
                      <w:lang w:val="en-US" w:eastAsia="zh-CN"/>
                    </w:rPr>
                    <w:t>格栅</w:t>
                  </w:r>
                </w:p>
              </w:tc>
              <w:tc>
                <w:tcPr>
                  <w:tcW w:w="423" w:type="pct"/>
                  <w:noWrap w:val="0"/>
                  <w:vAlign w:val="center"/>
                </w:tcPr>
                <w:p w14:paraId="62B1F07C">
                  <w:pPr>
                    <w:pStyle w:val="19"/>
                    <w:spacing w:line="240" w:lineRule="auto"/>
                    <w:ind w:firstLine="0"/>
                    <w:jc w:val="center"/>
                    <w:rPr>
                      <w:rFonts w:hint="eastAsia" w:ascii="Times New Roman" w:eastAsia="宋体"/>
                      <w:sz w:val="21"/>
                      <w:szCs w:val="21"/>
                      <w:highlight w:val="none"/>
                      <w:lang w:eastAsia="zh-CN"/>
                    </w:rPr>
                  </w:pPr>
                  <w:r>
                    <w:rPr>
                      <w:rFonts w:hint="eastAsia" w:ascii="Times New Roman"/>
                      <w:sz w:val="21"/>
                      <w:szCs w:val="21"/>
                      <w:highlight w:val="none"/>
                      <w:lang w:eastAsia="zh-CN"/>
                    </w:rPr>
                    <w:t>污水处理</w:t>
                  </w:r>
                </w:p>
              </w:tc>
              <w:tc>
                <w:tcPr>
                  <w:tcW w:w="365" w:type="pct"/>
                  <w:noWrap w:val="0"/>
                  <w:vAlign w:val="center"/>
                </w:tcPr>
                <w:p w14:paraId="623D2B28">
                  <w:pPr>
                    <w:adjustRightInd w:val="0"/>
                    <w:jc w:val="center"/>
                    <w:rPr>
                      <w:rFonts w:hint="eastAsia" w:eastAsia="宋体"/>
                      <w:szCs w:val="21"/>
                      <w:highlight w:val="none"/>
                      <w:lang w:eastAsia="zh-CN"/>
                    </w:rPr>
                  </w:pPr>
                  <w:r>
                    <w:rPr>
                      <w:rFonts w:hint="eastAsia"/>
                      <w:szCs w:val="21"/>
                      <w:highlight w:val="none"/>
                      <w:lang w:eastAsia="zh-CN"/>
                    </w:rPr>
                    <w:t>固态</w:t>
                  </w:r>
                </w:p>
              </w:tc>
              <w:tc>
                <w:tcPr>
                  <w:tcW w:w="520" w:type="pct"/>
                  <w:noWrap w:val="0"/>
                  <w:vAlign w:val="center"/>
                </w:tcPr>
                <w:p w14:paraId="4B102CE0">
                  <w:pPr>
                    <w:pStyle w:val="19"/>
                    <w:spacing w:line="240" w:lineRule="auto"/>
                    <w:ind w:firstLine="0"/>
                    <w:jc w:val="center"/>
                    <w:rPr>
                      <w:rFonts w:hint="eastAsia" w:ascii="Times New Roman"/>
                      <w:sz w:val="21"/>
                      <w:szCs w:val="21"/>
                      <w:highlight w:val="none"/>
                    </w:rPr>
                  </w:pPr>
                  <w:r>
                    <w:rPr>
                      <w:rFonts w:hint="eastAsia" w:ascii="Times New Roman"/>
                      <w:sz w:val="21"/>
                      <w:szCs w:val="21"/>
                      <w:highlight w:val="none"/>
                      <w:lang w:eastAsia="zh-CN"/>
                    </w:rPr>
                    <w:t>致病菌、危化品</w:t>
                  </w:r>
                </w:p>
              </w:tc>
              <w:tc>
                <w:tcPr>
                  <w:tcW w:w="750" w:type="pct"/>
                  <w:noWrap w:val="0"/>
                  <w:vAlign w:val="center"/>
                </w:tcPr>
                <w:p w14:paraId="69443EB5">
                  <w:pPr>
                    <w:jc w:val="center"/>
                    <w:rPr>
                      <w:rFonts w:hint="default" w:eastAsia="宋体"/>
                      <w:szCs w:val="21"/>
                      <w:highlight w:val="none"/>
                      <w:lang w:val="en-US" w:eastAsia="zh-CN"/>
                    </w:rPr>
                  </w:pPr>
                  <w:r>
                    <w:rPr>
                      <w:rFonts w:hint="eastAsia"/>
                      <w:szCs w:val="21"/>
                      <w:highlight w:val="none"/>
                      <w:lang w:val="en-US" w:eastAsia="zh-CN"/>
                    </w:rPr>
                    <w:t>1.294</w:t>
                  </w:r>
                </w:p>
              </w:tc>
              <w:tc>
                <w:tcPr>
                  <w:tcW w:w="972" w:type="pct"/>
                  <w:noWrap w:val="0"/>
                  <w:vAlign w:val="center"/>
                </w:tcPr>
                <w:p w14:paraId="70F3200F">
                  <w:pPr>
                    <w:jc w:val="center"/>
                    <w:rPr>
                      <w:rFonts w:hint="eastAsia" w:eastAsia="宋体"/>
                      <w:szCs w:val="21"/>
                      <w:highlight w:val="none"/>
                      <w:lang w:eastAsia="zh-CN"/>
                    </w:rPr>
                  </w:pPr>
                  <w:r>
                    <w:rPr>
                      <w:rFonts w:hint="eastAsia"/>
                      <w:szCs w:val="21"/>
                      <w:highlight w:val="none"/>
                    </w:rPr>
                    <w:t>HW0</w:t>
                  </w:r>
                  <w:r>
                    <w:rPr>
                      <w:rFonts w:hint="eastAsia"/>
                      <w:szCs w:val="21"/>
                      <w:highlight w:val="none"/>
                      <w:lang w:val="en-US" w:eastAsia="zh-CN"/>
                    </w:rPr>
                    <w:t>1</w:t>
                  </w:r>
                </w:p>
                <w:p w14:paraId="6DBC4918">
                  <w:pPr>
                    <w:jc w:val="center"/>
                    <w:rPr>
                      <w:rFonts w:hint="default" w:eastAsia="宋体"/>
                      <w:szCs w:val="21"/>
                      <w:highlight w:val="none"/>
                      <w:lang w:val="en-US" w:eastAsia="zh-CN"/>
                    </w:rPr>
                  </w:pPr>
                  <w:r>
                    <w:rPr>
                      <w:rFonts w:hint="eastAsia"/>
                      <w:szCs w:val="21"/>
                      <w:highlight w:val="none"/>
                      <w:lang w:val="en-US" w:eastAsia="zh-CN"/>
                    </w:rPr>
                    <w:t>841-001-01</w:t>
                  </w:r>
                </w:p>
              </w:tc>
              <w:tc>
                <w:tcPr>
                  <w:tcW w:w="974" w:type="pct"/>
                  <w:noWrap w:val="0"/>
                  <w:vAlign w:val="center"/>
                </w:tcPr>
                <w:p w14:paraId="5FE2A9B3">
                  <w:pPr>
                    <w:jc w:val="center"/>
                    <w:rPr>
                      <w:rFonts w:hint="eastAsia"/>
                      <w:szCs w:val="21"/>
                      <w:highlight w:val="none"/>
                    </w:rPr>
                  </w:pPr>
                  <w:r>
                    <w:rPr>
                      <w:rFonts w:hint="eastAsia"/>
                      <w:szCs w:val="21"/>
                      <w:highlight w:val="none"/>
                      <w:lang w:eastAsia="zh-CN"/>
                    </w:rPr>
                    <w:t>暂存于危废暂存间，定期交有资质单位处理。</w:t>
                  </w:r>
                </w:p>
              </w:tc>
            </w:tr>
            <w:tr w14:paraId="22E67D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6" w:hRule="atLeast"/>
                <w:jc w:val="center"/>
              </w:trPr>
              <w:tc>
                <w:tcPr>
                  <w:tcW w:w="303" w:type="pct"/>
                  <w:noWrap w:val="0"/>
                  <w:vAlign w:val="center"/>
                </w:tcPr>
                <w:p w14:paraId="70E3D050">
                  <w:pPr>
                    <w:pStyle w:val="19"/>
                    <w:spacing w:line="240" w:lineRule="auto"/>
                    <w:ind w:firstLine="0" w:firstLineChars="0"/>
                    <w:jc w:val="center"/>
                    <w:rPr>
                      <w:rFonts w:hint="default" w:ascii="Times New Roman"/>
                      <w:sz w:val="21"/>
                      <w:szCs w:val="21"/>
                      <w:lang w:val="en-US" w:eastAsia="zh-CN"/>
                    </w:rPr>
                  </w:pPr>
                  <w:r>
                    <w:rPr>
                      <w:rFonts w:hint="eastAsia" w:ascii="Times New Roman"/>
                      <w:sz w:val="21"/>
                      <w:szCs w:val="21"/>
                      <w:lang w:val="en-US" w:eastAsia="zh-CN"/>
                    </w:rPr>
                    <w:t>7</w:t>
                  </w:r>
                </w:p>
              </w:tc>
              <w:tc>
                <w:tcPr>
                  <w:tcW w:w="690" w:type="pct"/>
                  <w:noWrap w:val="0"/>
                  <w:vAlign w:val="center"/>
                </w:tcPr>
                <w:p w14:paraId="73416333">
                  <w:pPr>
                    <w:jc w:val="center"/>
                    <w:rPr>
                      <w:rFonts w:hint="eastAsia"/>
                      <w:szCs w:val="21"/>
                      <w:highlight w:val="none"/>
                      <w:lang w:eastAsia="zh-CN"/>
                    </w:rPr>
                  </w:pPr>
                  <w:r>
                    <w:rPr>
                      <w:rFonts w:hint="eastAsia"/>
                      <w:szCs w:val="21"/>
                      <w:highlight w:val="none"/>
                      <w:lang w:eastAsia="zh-CN"/>
                    </w:rPr>
                    <w:t>检验废液</w:t>
                  </w:r>
                </w:p>
              </w:tc>
              <w:tc>
                <w:tcPr>
                  <w:tcW w:w="423" w:type="pct"/>
                  <w:noWrap w:val="0"/>
                  <w:vAlign w:val="center"/>
                </w:tcPr>
                <w:p w14:paraId="0163C03B">
                  <w:pPr>
                    <w:pStyle w:val="19"/>
                    <w:spacing w:line="240" w:lineRule="auto"/>
                    <w:ind w:firstLine="0"/>
                    <w:jc w:val="center"/>
                    <w:rPr>
                      <w:rFonts w:hint="eastAsia" w:ascii="Times New Roman"/>
                      <w:sz w:val="21"/>
                      <w:szCs w:val="21"/>
                      <w:highlight w:val="none"/>
                      <w:lang w:eastAsia="zh-CN"/>
                    </w:rPr>
                  </w:pPr>
                  <w:r>
                    <w:rPr>
                      <w:rFonts w:hint="eastAsia" w:ascii="Times New Roman"/>
                      <w:sz w:val="21"/>
                      <w:szCs w:val="21"/>
                      <w:highlight w:val="none"/>
                      <w:lang w:eastAsia="zh-CN"/>
                    </w:rPr>
                    <w:t>检验</w:t>
                  </w:r>
                </w:p>
              </w:tc>
              <w:tc>
                <w:tcPr>
                  <w:tcW w:w="365" w:type="pct"/>
                  <w:noWrap w:val="0"/>
                  <w:vAlign w:val="center"/>
                </w:tcPr>
                <w:p w14:paraId="7D303E89">
                  <w:pPr>
                    <w:adjustRightInd w:val="0"/>
                    <w:jc w:val="center"/>
                    <w:rPr>
                      <w:rFonts w:hint="eastAsia"/>
                      <w:szCs w:val="21"/>
                      <w:highlight w:val="none"/>
                      <w:lang w:eastAsia="zh-CN"/>
                    </w:rPr>
                  </w:pPr>
                  <w:r>
                    <w:rPr>
                      <w:rFonts w:hint="eastAsia"/>
                      <w:szCs w:val="21"/>
                      <w:highlight w:val="none"/>
                      <w:lang w:eastAsia="zh-CN"/>
                    </w:rPr>
                    <w:t>液态</w:t>
                  </w:r>
                </w:p>
              </w:tc>
              <w:tc>
                <w:tcPr>
                  <w:tcW w:w="520" w:type="pct"/>
                  <w:noWrap w:val="0"/>
                  <w:vAlign w:val="center"/>
                </w:tcPr>
                <w:p w14:paraId="39B9ADCA">
                  <w:pPr>
                    <w:pStyle w:val="19"/>
                    <w:spacing w:line="240" w:lineRule="auto"/>
                    <w:ind w:firstLine="0" w:firstLineChars="0"/>
                    <w:jc w:val="center"/>
                    <w:rPr>
                      <w:rFonts w:hint="eastAsia" w:ascii="Times New Roman"/>
                      <w:sz w:val="21"/>
                      <w:szCs w:val="21"/>
                      <w:highlight w:val="none"/>
                      <w:lang w:val="en-US" w:eastAsia="zh-CN"/>
                    </w:rPr>
                  </w:pPr>
                  <w:r>
                    <w:rPr>
                      <w:rFonts w:hint="eastAsia" w:ascii="Times New Roman"/>
                      <w:sz w:val="21"/>
                      <w:szCs w:val="21"/>
                      <w:highlight w:val="none"/>
                      <w:lang w:eastAsia="zh-CN"/>
                    </w:rPr>
                    <w:t>致病菌、危化品</w:t>
                  </w:r>
                </w:p>
              </w:tc>
              <w:tc>
                <w:tcPr>
                  <w:tcW w:w="750" w:type="pct"/>
                  <w:noWrap w:val="0"/>
                  <w:vAlign w:val="center"/>
                </w:tcPr>
                <w:p w14:paraId="17AC7EC1">
                  <w:pPr>
                    <w:jc w:val="center"/>
                    <w:rPr>
                      <w:rFonts w:hint="default"/>
                      <w:szCs w:val="21"/>
                      <w:highlight w:val="none"/>
                      <w:lang w:val="en-US" w:eastAsia="zh-CN"/>
                    </w:rPr>
                  </w:pPr>
                  <w:r>
                    <w:rPr>
                      <w:rFonts w:hint="eastAsia"/>
                      <w:szCs w:val="21"/>
                      <w:highlight w:val="none"/>
                      <w:lang w:val="en-US" w:eastAsia="zh-CN"/>
                    </w:rPr>
                    <w:t>1.2</w:t>
                  </w:r>
                </w:p>
              </w:tc>
              <w:tc>
                <w:tcPr>
                  <w:tcW w:w="972" w:type="pct"/>
                  <w:noWrap w:val="0"/>
                  <w:vAlign w:val="center"/>
                </w:tcPr>
                <w:p w14:paraId="4C29728F">
                  <w:pPr>
                    <w:jc w:val="center"/>
                    <w:rPr>
                      <w:rFonts w:hint="default" w:eastAsia="宋体"/>
                      <w:szCs w:val="21"/>
                      <w:lang w:val="en-US" w:eastAsia="zh-CN"/>
                    </w:rPr>
                  </w:pPr>
                  <w:r>
                    <w:rPr>
                      <w:rFonts w:hint="eastAsia"/>
                      <w:szCs w:val="21"/>
                    </w:rPr>
                    <w:t>HW</w:t>
                  </w:r>
                  <w:r>
                    <w:rPr>
                      <w:rFonts w:hint="eastAsia"/>
                      <w:szCs w:val="21"/>
                      <w:lang w:val="en-US" w:eastAsia="zh-CN"/>
                    </w:rPr>
                    <w:t>01</w:t>
                  </w:r>
                </w:p>
                <w:p w14:paraId="00B84E3D">
                  <w:pPr>
                    <w:jc w:val="center"/>
                    <w:rPr>
                      <w:rFonts w:hint="default" w:eastAsia="宋体"/>
                      <w:szCs w:val="21"/>
                      <w:lang w:val="en-US" w:eastAsia="zh-CN"/>
                    </w:rPr>
                  </w:pPr>
                  <w:r>
                    <w:rPr>
                      <w:rFonts w:hint="eastAsia"/>
                      <w:szCs w:val="21"/>
                      <w:lang w:val="en-US" w:eastAsia="zh-CN"/>
                    </w:rPr>
                    <w:t>841-001-01</w:t>
                  </w:r>
                </w:p>
              </w:tc>
              <w:tc>
                <w:tcPr>
                  <w:tcW w:w="974" w:type="pct"/>
                  <w:noWrap w:val="0"/>
                  <w:vAlign w:val="center"/>
                </w:tcPr>
                <w:p w14:paraId="4A626C35">
                  <w:pPr>
                    <w:jc w:val="center"/>
                    <w:rPr>
                      <w:rFonts w:hint="eastAsia"/>
                      <w:szCs w:val="21"/>
                    </w:rPr>
                  </w:pPr>
                  <w:r>
                    <w:rPr>
                      <w:rFonts w:hint="eastAsia"/>
                      <w:szCs w:val="21"/>
                      <w:lang w:eastAsia="zh-CN"/>
                    </w:rPr>
                    <w:t>暂存于医疗废物暂存间，定期交有资质单位处理。</w:t>
                  </w:r>
                </w:p>
              </w:tc>
            </w:tr>
            <w:tr w14:paraId="51B93A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6" w:hRule="atLeast"/>
                <w:jc w:val="center"/>
              </w:trPr>
              <w:tc>
                <w:tcPr>
                  <w:tcW w:w="303" w:type="pct"/>
                  <w:noWrap w:val="0"/>
                  <w:vAlign w:val="center"/>
                </w:tcPr>
                <w:p w14:paraId="5C256E54">
                  <w:pPr>
                    <w:pStyle w:val="19"/>
                    <w:spacing w:line="240" w:lineRule="auto"/>
                    <w:ind w:firstLine="0" w:firstLineChars="0"/>
                    <w:jc w:val="center"/>
                    <w:rPr>
                      <w:rFonts w:hint="default" w:ascii="Times New Roman"/>
                      <w:sz w:val="21"/>
                      <w:szCs w:val="21"/>
                      <w:lang w:val="en-US" w:eastAsia="zh-CN"/>
                    </w:rPr>
                  </w:pPr>
                  <w:r>
                    <w:rPr>
                      <w:rFonts w:hint="eastAsia" w:ascii="Times New Roman"/>
                      <w:sz w:val="21"/>
                      <w:szCs w:val="21"/>
                      <w:lang w:val="en-US" w:eastAsia="zh-CN"/>
                    </w:rPr>
                    <w:t>8</w:t>
                  </w:r>
                </w:p>
              </w:tc>
              <w:tc>
                <w:tcPr>
                  <w:tcW w:w="690" w:type="pct"/>
                  <w:noWrap w:val="0"/>
                  <w:vAlign w:val="center"/>
                </w:tcPr>
                <w:p w14:paraId="30B9EDA1">
                  <w:pPr>
                    <w:jc w:val="center"/>
                    <w:rPr>
                      <w:rFonts w:hint="default"/>
                      <w:szCs w:val="21"/>
                      <w:highlight w:val="none"/>
                      <w:lang w:val="en-US" w:eastAsia="zh-CN"/>
                    </w:rPr>
                  </w:pPr>
                  <w:r>
                    <w:rPr>
                      <w:rFonts w:hint="eastAsia"/>
                      <w:szCs w:val="21"/>
                      <w:highlight w:val="none"/>
                      <w:lang w:val="en-US" w:eastAsia="zh-CN"/>
                    </w:rPr>
                    <w:t>废活性炭</w:t>
                  </w:r>
                </w:p>
              </w:tc>
              <w:tc>
                <w:tcPr>
                  <w:tcW w:w="423" w:type="pct"/>
                  <w:noWrap w:val="0"/>
                  <w:vAlign w:val="center"/>
                </w:tcPr>
                <w:p w14:paraId="1C85E960">
                  <w:pPr>
                    <w:pStyle w:val="19"/>
                    <w:spacing w:line="240" w:lineRule="auto"/>
                    <w:ind w:firstLine="0"/>
                    <w:jc w:val="center"/>
                    <w:rPr>
                      <w:rFonts w:hint="eastAsia" w:ascii="Times New Roman"/>
                      <w:sz w:val="21"/>
                      <w:szCs w:val="21"/>
                      <w:highlight w:val="none"/>
                      <w:lang w:eastAsia="zh-CN"/>
                    </w:rPr>
                  </w:pPr>
                  <w:r>
                    <w:rPr>
                      <w:rFonts w:hint="eastAsia" w:ascii="Times New Roman"/>
                      <w:sz w:val="21"/>
                      <w:szCs w:val="21"/>
                      <w:highlight w:val="none"/>
                      <w:lang w:eastAsia="zh-CN"/>
                    </w:rPr>
                    <w:t>环保设备</w:t>
                  </w:r>
                </w:p>
              </w:tc>
              <w:tc>
                <w:tcPr>
                  <w:tcW w:w="365" w:type="pct"/>
                  <w:noWrap w:val="0"/>
                  <w:vAlign w:val="center"/>
                </w:tcPr>
                <w:p w14:paraId="623A2C0E">
                  <w:pPr>
                    <w:adjustRightInd w:val="0"/>
                    <w:jc w:val="center"/>
                    <w:rPr>
                      <w:rFonts w:hint="eastAsia"/>
                      <w:szCs w:val="21"/>
                      <w:highlight w:val="none"/>
                      <w:lang w:eastAsia="zh-CN"/>
                    </w:rPr>
                  </w:pPr>
                  <w:r>
                    <w:rPr>
                      <w:rFonts w:hint="eastAsia"/>
                      <w:szCs w:val="21"/>
                      <w:highlight w:val="none"/>
                      <w:lang w:eastAsia="zh-CN"/>
                    </w:rPr>
                    <w:t>固态</w:t>
                  </w:r>
                </w:p>
              </w:tc>
              <w:tc>
                <w:tcPr>
                  <w:tcW w:w="520" w:type="pct"/>
                  <w:noWrap w:val="0"/>
                  <w:vAlign w:val="center"/>
                </w:tcPr>
                <w:p w14:paraId="50A8F6F1">
                  <w:pPr>
                    <w:pStyle w:val="19"/>
                    <w:spacing w:line="240" w:lineRule="auto"/>
                    <w:ind w:firstLine="0" w:firstLineChars="0"/>
                    <w:jc w:val="center"/>
                    <w:rPr>
                      <w:rFonts w:hint="eastAsia" w:ascii="Times New Roman"/>
                      <w:sz w:val="21"/>
                      <w:szCs w:val="21"/>
                      <w:highlight w:val="none"/>
                      <w:lang w:eastAsia="zh-CN"/>
                    </w:rPr>
                  </w:pPr>
                  <w:r>
                    <w:rPr>
                      <w:rFonts w:hint="eastAsia" w:ascii="Times New Roman"/>
                      <w:sz w:val="21"/>
                      <w:szCs w:val="21"/>
                      <w:lang w:eastAsia="zh-CN"/>
                    </w:rPr>
                    <w:t>活性炭、废气</w:t>
                  </w:r>
                </w:p>
              </w:tc>
              <w:tc>
                <w:tcPr>
                  <w:tcW w:w="750" w:type="pct"/>
                  <w:noWrap w:val="0"/>
                  <w:vAlign w:val="center"/>
                </w:tcPr>
                <w:p w14:paraId="2FF05975">
                  <w:pPr>
                    <w:jc w:val="center"/>
                    <w:rPr>
                      <w:rFonts w:hint="default"/>
                      <w:szCs w:val="21"/>
                      <w:highlight w:val="none"/>
                      <w:lang w:val="en-US" w:eastAsia="zh-CN"/>
                    </w:rPr>
                  </w:pPr>
                  <w:r>
                    <w:rPr>
                      <w:rFonts w:hint="eastAsia"/>
                      <w:szCs w:val="21"/>
                      <w:highlight w:val="none"/>
                      <w:lang w:val="en-US" w:eastAsia="zh-CN"/>
                    </w:rPr>
                    <w:t>0.012</w:t>
                  </w:r>
                </w:p>
              </w:tc>
              <w:tc>
                <w:tcPr>
                  <w:tcW w:w="972" w:type="pct"/>
                  <w:noWrap w:val="0"/>
                  <w:vAlign w:val="center"/>
                </w:tcPr>
                <w:p w14:paraId="62A6492C">
                  <w:pPr>
                    <w:jc w:val="center"/>
                    <w:rPr>
                      <w:rFonts w:hint="default" w:ascii="Times New Roman" w:hAnsi="Times New Roman" w:cs="Times New Roman"/>
                      <w:color w:val="auto"/>
                      <w:szCs w:val="21"/>
                      <w:lang w:val="en-US" w:eastAsia="zh-CN"/>
                    </w:rPr>
                  </w:pPr>
                  <w:r>
                    <w:rPr>
                      <w:rFonts w:hint="default" w:ascii="Times New Roman" w:hAnsi="Times New Roman" w:cs="Times New Roman"/>
                      <w:color w:val="auto"/>
                      <w:szCs w:val="21"/>
                      <w:lang w:val="en-US" w:eastAsia="zh-CN"/>
                    </w:rPr>
                    <w:t>HW49</w:t>
                  </w:r>
                </w:p>
                <w:p w14:paraId="1856EAF0">
                  <w:pPr>
                    <w:jc w:val="center"/>
                    <w:rPr>
                      <w:rFonts w:hint="eastAsia"/>
                      <w:szCs w:val="21"/>
                      <w:lang w:val="en-US" w:eastAsia="zh-CN"/>
                    </w:rPr>
                  </w:pPr>
                  <w:r>
                    <w:rPr>
                      <w:rFonts w:hint="default" w:ascii="Times New Roman" w:hAnsi="Times New Roman" w:cs="Times New Roman"/>
                      <w:color w:val="auto"/>
                      <w:sz w:val="21"/>
                      <w:szCs w:val="21"/>
                      <w:lang w:val="en-US" w:eastAsia="zh-CN"/>
                    </w:rPr>
                    <w:t>900-039-49</w:t>
                  </w:r>
                </w:p>
              </w:tc>
              <w:tc>
                <w:tcPr>
                  <w:tcW w:w="974" w:type="pct"/>
                  <w:noWrap w:val="0"/>
                  <w:vAlign w:val="center"/>
                </w:tcPr>
                <w:p w14:paraId="0961B21B">
                  <w:pPr>
                    <w:jc w:val="center"/>
                    <w:rPr>
                      <w:rFonts w:hint="eastAsia"/>
                      <w:szCs w:val="21"/>
                      <w:lang w:eastAsia="zh-CN"/>
                    </w:rPr>
                  </w:pPr>
                  <w:r>
                    <w:rPr>
                      <w:rFonts w:hint="eastAsia"/>
                      <w:szCs w:val="21"/>
                      <w:lang w:eastAsia="zh-CN"/>
                    </w:rPr>
                    <w:t>暂存于危废暂存间，定期交有资质单位处理。</w:t>
                  </w:r>
                </w:p>
              </w:tc>
            </w:tr>
          </w:tbl>
          <w:p w14:paraId="3953F9AF">
            <w:pPr>
              <w:spacing w:line="360" w:lineRule="auto"/>
              <w:ind w:firstLine="480" w:firstLineChars="200"/>
              <w:rPr>
                <w:rFonts w:ascii="宋体" w:hAnsi="宋体" w:cs="宋体"/>
                <w:sz w:val="24"/>
              </w:rPr>
            </w:pPr>
            <w:r>
              <w:rPr>
                <w:rFonts w:ascii="宋体" w:hAnsi="宋体" w:cs="宋体"/>
                <w:sz w:val="24"/>
              </w:rPr>
              <w:t>根据《建设项目危险废物环境影响评价指南》，分析拟建项目危险废物的产生、贮存、处置情况见下表。</w:t>
            </w:r>
          </w:p>
          <w:p w14:paraId="29234711">
            <w:pPr>
              <w:widowControl/>
              <w:jc w:val="center"/>
              <w:rPr>
                <w:b/>
                <w:bCs/>
                <w:szCs w:val="21"/>
              </w:rPr>
            </w:pPr>
            <w:r>
              <w:rPr>
                <w:rFonts w:hint="eastAsia"/>
                <w:b/>
                <w:bCs/>
                <w:szCs w:val="21"/>
              </w:rPr>
              <w:t>表4-1</w:t>
            </w:r>
            <w:r>
              <w:rPr>
                <w:rFonts w:hint="eastAsia"/>
                <w:b/>
                <w:bCs/>
                <w:szCs w:val="21"/>
                <w:lang w:val="en-US" w:eastAsia="zh-CN"/>
              </w:rPr>
              <w:t xml:space="preserve">5 </w:t>
            </w:r>
            <w:r>
              <w:rPr>
                <w:rFonts w:hint="eastAsia"/>
                <w:b/>
                <w:bCs/>
                <w:szCs w:val="21"/>
              </w:rPr>
              <w:t>危险废物汇总表</w:t>
            </w:r>
          </w:p>
          <w:tbl>
            <w:tblPr>
              <w:tblStyle w:val="14"/>
              <w:tblW w:w="4995"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2"/>
              <w:gridCol w:w="761"/>
              <w:gridCol w:w="1244"/>
              <w:gridCol w:w="816"/>
              <w:gridCol w:w="663"/>
              <w:gridCol w:w="663"/>
              <w:gridCol w:w="661"/>
              <w:gridCol w:w="684"/>
              <w:gridCol w:w="665"/>
              <w:gridCol w:w="673"/>
              <w:gridCol w:w="676"/>
            </w:tblGrid>
            <w:tr w14:paraId="5DF4E6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422" w:type="pct"/>
                  <w:noWrap w:val="0"/>
                  <w:vAlign w:val="center"/>
                </w:tcPr>
                <w:p w14:paraId="7141949B">
                  <w:pPr>
                    <w:pStyle w:val="23"/>
                    <w:spacing w:line="240" w:lineRule="auto"/>
                    <w:jc w:val="center"/>
                    <w:rPr>
                      <w:rFonts w:ascii="Times New Roman" w:hAnsi="Times New Roman"/>
                      <w:sz w:val="21"/>
                      <w:szCs w:val="21"/>
                    </w:rPr>
                  </w:pPr>
                  <w:r>
                    <w:rPr>
                      <w:rFonts w:ascii="Times New Roman" w:hAnsi="Times New Roman"/>
                      <w:sz w:val="21"/>
                      <w:szCs w:val="21"/>
                    </w:rPr>
                    <w:t>危废名称</w:t>
                  </w:r>
                </w:p>
              </w:tc>
              <w:tc>
                <w:tcPr>
                  <w:tcW w:w="464" w:type="pct"/>
                  <w:noWrap w:val="0"/>
                  <w:vAlign w:val="center"/>
                </w:tcPr>
                <w:p w14:paraId="525572CA">
                  <w:pPr>
                    <w:pStyle w:val="23"/>
                    <w:spacing w:line="240" w:lineRule="auto"/>
                    <w:jc w:val="center"/>
                    <w:rPr>
                      <w:rFonts w:ascii="Times New Roman" w:hAnsi="Times New Roman"/>
                      <w:sz w:val="21"/>
                      <w:szCs w:val="21"/>
                    </w:rPr>
                  </w:pPr>
                  <w:r>
                    <w:rPr>
                      <w:rFonts w:ascii="Times New Roman" w:hAnsi="Times New Roman"/>
                      <w:sz w:val="21"/>
                      <w:szCs w:val="21"/>
                    </w:rPr>
                    <w:t>危废类别</w:t>
                  </w:r>
                </w:p>
              </w:tc>
              <w:tc>
                <w:tcPr>
                  <w:tcW w:w="758" w:type="pct"/>
                  <w:noWrap w:val="0"/>
                  <w:vAlign w:val="center"/>
                </w:tcPr>
                <w:p w14:paraId="46C85060">
                  <w:pPr>
                    <w:pStyle w:val="23"/>
                    <w:spacing w:line="240" w:lineRule="auto"/>
                    <w:jc w:val="both"/>
                    <w:rPr>
                      <w:rFonts w:ascii="Times New Roman" w:hAnsi="Times New Roman"/>
                      <w:sz w:val="21"/>
                      <w:szCs w:val="21"/>
                    </w:rPr>
                  </w:pPr>
                  <w:r>
                    <w:rPr>
                      <w:rFonts w:ascii="Times New Roman" w:hAnsi="Times New Roman"/>
                      <w:sz w:val="21"/>
                      <w:szCs w:val="21"/>
                    </w:rPr>
                    <w:t>危废代码</w:t>
                  </w:r>
                </w:p>
              </w:tc>
              <w:tc>
                <w:tcPr>
                  <w:tcW w:w="497" w:type="pct"/>
                  <w:noWrap w:val="0"/>
                  <w:vAlign w:val="center"/>
                </w:tcPr>
                <w:p w14:paraId="141102AA">
                  <w:pPr>
                    <w:pStyle w:val="23"/>
                    <w:spacing w:line="240" w:lineRule="auto"/>
                    <w:jc w:val="center"/>
                    <w:rPr>
                      <w:rFonts w:ascii="Times New Roman" w:hAnsi="Times New Roman"/>
                      <w:sz w:val="21"/>
                      <w:szCs w:val="21"/>
                    </w:rPr>
                  </w:pPr>
                  <w:r>
                    <w:rPr>
                      <w:rFonts w:ascii="Times New Roman" w:hAnsi="Times New Roman"/>
                      <w:sz w:val="21"/>
                      <w:szCs w:val="21"/>
                    </w:rPr>
                    <w:t>预测产生量t/a</w:t>
                  </w:r>
                </w:p>
              </w:tc>
              <w:tc>
                <w:tcPr>
                  <w:tcW w:w="404" w:type="pct"/>
                  <w:noWrap w:val="0"/>
                  <w:vAlign w:val="center"/>
                </w:tcPr>
                <w:p w14:paraId="17201121">
                  <w:pPr>
                    <w:pStyle w:val="23"/>
                    <w:spacing w:line="240" w:lineRule="auto"/>
                    <w:jc w:val="center"/>
                    <w:rPr>
                      <w:rFonts w:ascii="Times New Roman" w:hAnsi="Times New Roman"/>
                      <w:sz w:val="21"/>
                      <w:szCs w:val="21"/>
                    </w:rPr>
                  </w:pPr>
                  <w:r>
                    <w:rPr>
                      <w:rFonts w:ascii="Times New Roman" w:hAnsi="Times New Roman"/>
                      <w:sz w:val="21"/>
                      <w:szCs w:val="21"/>
                    </w:rPr>
                    <w:t>产生工序</w:t>
                  </w:r>
                </w:p>
              </w:tc>
              <w:tc>
                <w:tcPr>
                  <w:tcW w:w="404" w:type="pct"/>
                  <w:noWrap w:val="0"/>
                  <w:vAlign w:val="center"/>
                </w:tcPr>
                <w:p w14:paraId="32D63268">
                  <w:pPr>
                    <w:pStyle w:val="23"/>
                    <w:spacing w:line="240" w:lineRule="auto"/>
                    <w:jc w:val="both"/>
                    <w:rPr>
                      <w:rFonts w:ascii="Times New Roman" w:hAnsi="Times New Roman"/>
                      <w:sz w:val="21"/>
                      <w:szCs w:val="21"/>
                    </w:rPr>
                  </w:pPr>
                  <w:r>
                    <w:rPr>
                      <w:rFonts w:ascii="Times New Roman" w:hAnsi="Times New Roman"/>
                      <w:sz w:val="21"/>
                      <w:szCs w:val="21"/>
                    </w:rPr>
                    <w:t>形态</w:t>
                  </w:r>
                </w:p>
              </w:tc>
              <w:tc>
                <w:tcPr>
                  <w:tcW w:w="403" w:type="pct"/>
                  <w:noWrap w:val="0"/>
                  <w:vAlign w:val="center"/>
                </w:tcPr>
                <w:p w14:paraId="20D1657B">
                  <w:pPr>
                    <w:pStyle w:val="23"/>
                    <w:spacing w:line="240" w:lineRule="auto"/>
                    <w:jc w:val="center"/>
                    <w:rPr>
                      <w:rFonts w:ascii="Times New Roman" w:hAnsi="Times New Roman"/>
                      <w:sz w:val="21"/>
                      <w:szCs w:val="21"/>
                    </w:rPr>
                  </w:pPr>
                  <w:r>
                    <w:rPr>
                      <w:rFonts w:ascii="Times New Roman" w:hAnsi="Times New Roman"/>
                      <w:sz w:val="21"/>
                      <w:szCs w:val="21"/>
                    </w:rPr>
                    <w:t>主要成分</w:t>
                  </w:r>
                </w:p>
              </w:tc>
              <w:tc>
                <w:tcPr>
                  <w:tcW w:w="417" w:type="pct"/>
                  <w:noWrap w:val="0"/>
                  <w:vAlign w:val="center"/>
                </w:tcPr>
                <w:p w14:paraId="3F3ADEC3">
                  <w:pPr>
                    <w:pStyle w:val="23"/>
                    <w:spacing w:line="240" w:lineRule="auto"/>
                    <w:jc w:val="center"/>
                    <w:rPr>
                      <w:rFonts w:ascii="Times New Roman" w:hAnsi="Times New Roman"/>
                      <w:sz w:val="21"/>
                      <w:szCs w:val="21"/>
                    </w:rPr>
                  </w:pPr>
                  <w:r>
                    <w:rPr>
                      <w:rFonts w:ascii="Times New Roman" w:hAnsi="Times New Roman"/>
                      <w:sz w:val="21"/>
                      <w:szCs w:val="21"/>
                    </w:rPr>
                    <w:t>有害成分</w:t>
                  </w:r>
                </w:p>
              </w:tc>
              <w:tc>
                <w:tcPr>
                  <w:tcW w:w="405" w:type="pct"/>
                  <w:noWrap w:val="0"/>
                  <w:vAlign w:val="center"/>
                </w:tcPr>
                <w:p w14:paraId="48231E88">
                  <w:pPr>
                    <w:pStyle w:val="23"/>
                    <w:spacing w:line="240" w:lineRule="auto"/>
                    <w:jc w:val="center"/>
                    <w:rPr>
                      <w:rFonts w:ascii="Times New Roman" w:hAnsi="Times New Roman"/>
                      <w:sz w:val="21"/>
                      <w:szCs w:val="21"/>
                    </w:rPr>
                  </w:pPr>
                  <w:r>
                    <w:rPr>
                      <w:rFonts w:ascii="Times New Roman" w:hAnsi="Times New Roman"/>
                      <w:sz w:val="21"/>
                      <w:szCs w:val="21"/>
                    </w:rPr>
                    <w:t>产废周期</w:t>
                  </w:r>
                </w:p>
              </w:tc>
              <w:tc>
                <w:tcPr>
                  <w:tcW w:w="410" w:type="pct"/>
                  <w:noWrap w:val="0"/>
                  <w:vAlign w:val="center"/>
                </w:tcPr>
                <w:p w14:paraId="72F548B3">
                  <w:pPr>
                    <w:pStyle w:val="23"/>
                    <w:spacing w:line="240" w:lineRule="auto"/>
                    <w:jc w:val="center"/>
                    <w:rPr>
                      <w:rFonts w:ascii="Times New Roman" w:hAnsi="Times New Roman"/>
                      <w:sz w:val="21"/>
                      <w:szCs w:val="21"/>
                    </w:rPr>
                  </w:pPr>
                  <w:r>
                    <w:rPr>
                      <w:rFonts w:ascii="Times New Roman" w:hAnsi="Times New Roman"/>
                      <w:sz w:val="21"/>
                      <w:szCs w:val="21"/>
                    </w:rPr>
                    <w:t>危险特性</w:t>
                  </w:r>
                </w:p>
              </w:tc>
              <w:tc>
                <w:tcPr>
                  <w:tcW w:w="412" w:type="pct"/>
                  <w:noWrap w:val="0"/>
                  <w:vAlign w:val="center"/>
                </w:tcPr>
                <w:p w14:paraId="7D895F18">
                  <w:pPr>
                    <w:pStyle w:val="23"/>
                    <w:spacing w:line="240" w:lineRule="auto"/>
                    <w:jc w:val="center"/>
                    <w:rPr>
                      <w:rFonts w:ascii="Times New Roman" w:hAnsi="Times New Roman"/>
                      <w:sz w:val="21"/>
                      <w:szCs w:val="21"/>
                    </w:rPr>
                  </w:pPr>
                  <w:r>
                    <w:rPr>
                      <w:rFonts w:ascii="Times New Roman" w:hAnsi="Times New Roman"/>
                      <w:sz w:val="21"/>
                      <w:szCs w:val="21"/>
                    </w:rPr>
                    <w:t>污染防治措施</w:t>
                  </w:r>
                </w:p>
              </w:tc>
            </w:tr>
            <w:tr w14:paraId="1E5B9E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2" w:type="pct"/>
                  <w:noWrap w:val="0"/>
                  <w:vAlign w:val="center"/>
                </w:tcPr>
                <w:p w14:paraId="47BE4E45">
                  <w:pPr>
                    <w:jc w:val="center"/>
                    <w:rPr>
                      <w:rFonts w:hint="eastAsia" w:eastAsia="宋体"/>
                      <w:szCs w:val="21"/>
                      <w:lang w:eastAsia="zh-CN"/>
                    </w:rPr>
                  </w:pPr>
                  <w:r>
                    <w:rPr>
                      <w:rFonts w:hint="eastAsia"/>
                      <w:szCs w:val="21"/>
                      <w:lang w:eastAsia="zh-CN"/>
                    </w:rPr>
                    <w:t>废药品</w:t>
                  </w:r>
                </w:p>
              </w:tc>
              <w:tc>
                <w:tcPr>
                  <w:tcW w:w="464" w:type="pct"/>
                  <w:noWrap w:val="0"/>
                  <w:vAlign w:val="center"/>
                </w:tcPr>
                <w:p w14:paraId="44AB4F9F">
                  <w:pPr>
                    <w:jc w:val="center"/>
                    <w:rPr>
                      <w:rFonts w:hint="default" w:eastAsia="宋体"/>
                      <w:szCs w:val="21"/>
                      <w:lang w:val="en-US" w:eastAsia="zh-CN"/>
                    </w:rPr>
                  </w:pPr>
                  <w:r>
                    <w:rPr>
                      <w:rFonts w:hint="eastAsia"/>
                      <w:szCs w:val="21"/>
                    </w:rPr>
                    <w:t>HW</w:t>
                  </w:r>
                  <w:r>
                    <w:rPr>
                      <w:rFonts w:hint="eastAsia"/>
                      <w:szCs w:val="21"/>
                      <w:lang w:val="en-US" w:eastAsia="zh-CN"/>
                    </w:rPr>
                    <w:t>03</w:t>
                  </w:r>
                </w:p>
              </w:tc>
              <w:tc>
                <w:tcPr>
                  <w:tcW w:w="758" w:type="pct"/>
                  <w:noWrap w:val="0"/>
                  <w:vAlign w:val="center"/>
                </w:tcPr>
                <w:p w14:paraId="24221068">
                  <w:pPr>
                    <w:jc w:val="center"/>
                    <w:rPr>
                      <w:rFonts w:hint="default" w:eastAsia="宋体"/>
                      <w:szCs w:val="21"/>
                      <w:lang w:val="en-US" w:eastAsia="zh-CN"/>
                    </w:rPr>
                  </w:pPr>
                  <w:r>
                    <w:rPr>
                      <w:rFonts w:hint="eastAsia"/>
                      <w:szCs w:val="21"/>
                    </w:rPr>
                    <w:t>900-0</w:t>
                  </w:r>
                  <w:r>
                    <w:rPr>
                      <w:rFonts w:hint="eastAsia"/>
                      <w:szCs w:val="21"/>
                      <w:lang w:val="en-US" w:eastAsia="zh-CN"/>
                    </w:rPr>
                    <w:t>02-03</w:t>
                  </w:r>
                </w:p>
              </w:tc>
              <w:tc>
                <w:tcPr>
                  <w:tcW w:w="497" w:type="pct"/>
                  <w:noWrap w:val="0"/>
                  <w:vAlign w:val="center"/>
                </w:tcPr>
                <w:p w14:paraId="3AC3D8CF">
                  <w:pPr>
                    <w:jc w:val="center"/>
                    <w:rPr>
                      <w:rFonts w:hint="default" w:eastAsia="宋体"/>
                      <w:szCs w:val="21"/>
                      <w:lang w:val="en-US" w:eastAsia="zh-CN"/>
                    </w:rPr>
                  </w:pPr>
                  <w:r>
                    <w:rPr>
                      <w:rFonts w:hint="eastAsia"/>
                      <w:szCs w:val="21"/>
                      <w:lang w:val="en-US" w:eastAsia="zh-CN"/>
                    </w:rPr>
                    <w:t>0.3</w:t>
                  </w:r>
                </w:p>
              </w:tc>
              <w:tc>
                <w:tcPr>
                  <w:tcW w:w="404" w:type="pct"/>
                  <w:noWrap w:val="0"/>
                  <w:vAlign w:val="center"/>
                </w:tcPr>
                <w:p w14:paraId="6B819C1F">
                  <w:pPr>
                    <w:adjustRightInd w:val="0"/>
                    <w:jc w:val="center"/>
                    <w:rPr>
                      <w:rFonts w:hint="eastAsia" w:eastAsia="宋体"/>
                      <w:szCs w:val="21"/>
                      <w:lang w:eastAsia="zh-CN"/>
                    </w:rPr>
                  </w:pPr>
                  <w:r>
                    <w:rPr>
                      <w:rFonts w:hint="eastAsia"/>
                      <w:szCs w:val="21"/>
                      <w:lang w:eastAsia="zh-CN"/>
                    </w:rPr>
                    <w:t>药品</w:t>
                  </w:r>
                </w:p>
              </w:tc>
              <w:tc>
                <w:tcPr>
                  <w:tcW w:w="404" w:type="pct"/>
                  <w:noWrap w:val="0"/>
                  <w:vAlign w:val="center"/>
                </w:tcPr>
                <w:p w14:paraId="3B53D27D">
                  <w:pPr>
                    <w:pStyle w:val="23"/>
                    <w:spacing w:line="240" w:lineRule="auto"/>
                    <w:jc w:val="both"/>
                    <w:rPr>
                      <w:rFonts w:hint="eastAsia"/>
                      <w:szCs w:val="21"/>
                    </w:rPr>
                  </w:pPr>
                  <w:r>
                    <w:rPr>
                      <w:rFonts w:hint="eastAsia" w:ascii="Times New Roman" w:hAnsi="Times New Roman"/>
                      <w:b w:val="0"/>
                      <w:sz w:val="21"/>
                      <w:szCs w:val="21"/>
                    </w:rPr>
                    <w:t>固态</w:t>
                  </w:r>
                </w:p>
              </w:tc>
              <w:tc>
                <w:tcPr>
                  <w:tcW w:w="403" w:type="pct"/>
                  <w:noWrap w:val="0"/>
                  <w:vAlign w:val="center"/>
                </w:tcPr>
                <w:p w14:paraId="6010634A">
                  <w:pPr>
                    <w:pStyle w:val="19"/>
                    <w:spacing w:line="240" w:lineRule="auto"/>
                    <w:ind w:firstLine="0"/>
                    <w:jc w:val="center"/>
                    <w:rPr>
                      <w:rFonts w:hint="eastAsia" w:ascii="Times New Roman" w:eastAsia="宋体"/>
                      <w:sz w:val="21"/>
                      <w:szCs w:val="21"/>
                      <w:lang w:eastAsia="zh-CN"/>
                    </w:rPr>
                  </w:pPr>
                  <w:r>
                    <w:rPr>
                      <w:rFonts w:hint="eastAsia" w:ascii="Times New Roman"/>
                      <w:sz w:val="21"/>
                      <w:szCs w:val="21"/>
                      <w:lang w:eastAsia="zh-CN"/>
                    </w:rPr>
                    <w:t>药品</w:t>
                  </w:r>
                </w:p>
              </w:tc>
              <w:tc>
                <w:tcPr>
                  <w:tcW w:w="417" w:type="pct"/>
                  <w:noWrap w:val="0"/>
                  <w:vAlign w:val="center"/>
                </w:tcPr>
                <w:p w14:paraId="3AE0BA87">
                  <w:pPr>
                    <w:pStyle w:val="19"/>
                    <w:spacing w:line="240" w:lineRule="auto"/>
                    <w:ind w:firstLine="0"/>
                    <w:jc w:val="center"/>
                    <w:rPr>
                      <w:rFonts w:hint="eastAsia" w:ascii="Times New Roman" w:eastAsia="宋体"/>
                      <w:sz w:val="21"/>
                      <w:szCs w:val="21"/>
                      <w:lang w:eastAsia="zh-CN"/>
                    </w:rPr>
                  </w:pPr>
                  <w:r>
                    <w:rPr>
                      <w:rFonts w:hint="eastAsia" w:ascii="Times New Roman"/>
                      <w:sz w:val="21"/>
                      <w:szCs w:val="21"/>
                      <w:lang w:eastAsia="zh-CN"/>
                    </w:rPr>
                    <w:t>药品</w:t>
                  </w:r>
                </w:p>
              </w:tc>
              <w:tc>
                <w:tcPr>
                  <w:tcW w:w="405" w:type="pct"/>
                  <w:noWrap w:val="0"/>
                  <w:vAlign w:val="center"/>
                </w:tcPr>
                <w:p w14:paraId="0B6E77A8">
                  <w:pPr>
                    <w:pStyle w:val="23"/>
                    <w:spacing w:line="240" w:lineRule="auto"/>
                    <w:jc w:val="center"/>
                    <w:rPr>
                      <w:rFonts w:hint="eastAsia" w:ascii="Times New Roman" w:hAnsi="Times New Roman"/>
                      <w:b w:val="0"/>
                      <w:sz w:val="21"/>
                      <w:szCs w:val="21"/>
                    </w:rPr>
                  </w:pPr>
                  <w:r>
                    <w:rPr>
                      <w:rFonts w:hint="eastAsia" w:ascii="Times New Roman" w:hAnsi="Times New Roman"/>
                      <w:b w:val="0"/>
                      <w:sz w:val="21"/>
                      <w:szCs w:val="21"/>
                      <w:lang w:eastAsia="zh-CN"/>
                    </w:rPr>
                    <w:t>年</w:t>
                  </w:r>
                </w:p>
              </w:tc>
              <w:tc>
                <w:tcPr>
                  <w:tcW w:w="410" w:type="pct"/>
                  <w:noWrap w:val="0"/>
                  <w:vAlign w:val="center"/>
                </w:tcPr>
                <w:p w14:paraId="6C6C4130">
                  <w:pPr>
                    <w:jc w:val="center"/>
                    <w:rPr>
                      <w:rFonts w:hint="eastAsia"/>
                      <w:kern w:val="0"/>
                      <w:szCs w:val="21"/>
                      <w:highlight w:val="none"/>
                    </w:rPr>
                  </w:pPr>
                  <w:r>
                    <w:rPr>
                      <w:rFonts w:hint="eastAsia"/>
                      <w:kern w:val="0"/>
                      <w:szCs w:val="21"/>
                      <w:highlight w:val="none"/>
                    </w:rPr>
                    <w:t>T</w:t>
                  </w:r>
                </w:p>
              </w:tc>
              <w:tc>
                <w:tcPr>
                  <w:tcW w:w="412" w:type="pct"/>
                  <w:vMerge w:val="restart"/>
                  <w:noWrap w:val="0"/>
                  <w:vAlign w:val="center"/>
                </w:tcPr>
                <w:p w14:paraId="525DEFDB">
                  <w:pPr>
                    <w:pStyle w:val="23"/>
                    <w:spacing w:line="240" w:lineRule="auto"/>
                    <w:jc w:val="center"/>
                    <w:rPr>
                      <w:rFonts w:hint="eastAsia" w:ascii="Times New Roman" w:hAnsi="Times New Roman" w:eastAsia="宋体"/>
                      <w:b w:val="0"/>
                      <w:sz w:val="21"/>
                      <w:szCs w:val="21"/>
                      <w:lang w:eastAsia="zh-CN"/>
                    </w:rPr>
                  </w:pPr>
                  <w:r>
                    <w:rPr>
                      <w:rFonts w:hint="eastAsia" w:ascii="Times New Roman" w:hAnsi="Times New Roman"/>
                      <w:b w:val="0"/>
                      <w:sz w:val="21"/>
                      <w:szCs w:val="21"/>
                    </w:rPr>
                    <w:t>暂存于危废</w:t>
                  </w:r>
                  <w:r>
                    <w:rPr>
                      <w:rFonts w:hint="eastAsia" w:ascii="Times New Roman" w:hAnsi="Times New Roman"/>
                      <w:b w:val="0"/>
                      <w:sz w:val="21"/>
                      <w:szCs w:val="21"/>
                      <w:lang w:val="en-US" w:eastAsia="zh-CN"/>
                    </w:rPr>
                    <w:t>暂存间/医废暂存间</w:t>
                  </w:r>
                  <w:r>
                    <w:rPr>
                      <w:rFonts w:hint="eastAsia" w:ascii="Times New Roman" w:hAnsi="Times New Roman"/>
                      <w:b w:val="0"/>
                      <w:sz w:val="21"/>
                      <w:szCs w:val="21"/>
                      <w:lang w:eastAsia="zh-CN"/>
                    </w:rPr>
                    <w:t>，定期交有资质单位处理</w:t>
                  </w:r>
                </w:p>
              </w:tc>
            </w:tr>
            <w:tr w14:paraId="055333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2" w:type="pct"/>
                  <w:noWrap w:val="0"/>
                  <w:vAlign w:val="center"/>
                </w:tcPr>
                <w:p w14:paraId="3BAECBC3">
                  <w:pPr>
                    <w:jc w:val="center"/>
                    <w:rPr>
                      <w:rFonts w:hint="eastAsia" w:eastAsia="宋体"/>
                      <w:szCs w:val="21"/>
                      <w:lang w:eastAsia="zh-CN"/>
                    </w:rPr>
                  </w:pPr>
                  <w:r>
                    <w:rPr>
                      <w:rFonts w:hint="eastAsia"/>
                      <w:szCs w:val="21"/>
                      <w:lang w:eastAsia="zh-CN"/>
                    </w:rPr>
                    <w:t>医疗废物</w:t>
                  </w:r>
                </w:p>
              </w:tc>
              <w:tc>
                <w:tcPr>
                  <w:tcW w:w="464" w:type="pct"/>
                  <w:noWrap w:val="0"/>
                  <w:vAlign w:val="center"/>
                </w:tcPr>
                <w:p w14:paraId="3526ED2D">
                  <w:pPr>
                    <w:jc w:val="center"/>
                    <w:rPr>
                      <w:rFonts w:hint="default" w:eastAsia="宋体"/>
                      <w:szCs w:val="21"/>
                      <w:lang w:val="en-US" w:eastAsia="zh-CN"/>
                    </w:rPr>
                  </w:pPr>
                  <w:r>
                    <w:rPr>
                      <w:rFonts w:hint="eastAsia"/>
                      <w:szCs w:val="21"/>
                    </w:rPr>
                    <w:t>HW</w:t>
                  </w:r>
                  <w:r>
                    <w:rPr>
                      <w:rFonts w:hint="eastAsia"/>
                      <w:szCs w:val="21"/>
                      <w:lang w:val="en-US" w:eastAsia="zh-CN"/>
                    </w:rPr>
                    <w:t>01</w:t>
                  </w:r>
                </w:p>
              </w:tc>
              <w:tc>
                <w:tcPr>
                  <w:tcW w:w="758" w:type="pct"/>
                  <w:noWrap w:val="0"/>
                  <w:vAlign w:val="center"/>
                </w:tcPr>
                <w:p w14:paraId="4E69B148">
                  <w:pPr>
                    <w:jc w:val="center"/>
                    <w:rPr>
                      <w:rFonts w:hint="eastAsia"/>
                      <w:bCs/>
                      <w:szCs w:val="21"/>
                    </w:rPr>
                  </w:pPr>
                  <w:r>
                    <w:rPr>
                      <w:rFonts w:hint="eastAsia"/>
                      <w:bCs/>
                      <w:szCs w:val="21"/>
                    </w:rPr>
                    <w:t>841-001-01</w:t>
                  </w:r>
                </w:p>
                <w:p w14:paraId="07C9FF11">
                  <w:pPr>
                    <w:jc w:val="center"/>
                    <w:rPr>
                      <w:rFonts w:hint="eastAsia"/>
                      <w:szCs w:val="21"/>
                      <w:lang w:val="en-US" w:eastAsia="zh-CN"/>
                    </w:rPr>
                  </w:pPr>
                  <w:r>
                    <w:rPr>
                      <w:rFonts w:hint="eastAsia"/>
                      <w:bCs/>
                      <w:szCs w:val="21"/>
                    </w:rPr>
                    <w:t>841-002-01</w:t>
                  </w:r>
                  <w:r>
                    <w:rPr>
                      <w:rFonts w:hint="eastAsia"/>
                      <w:szCs w:val="21"/>
                      <w:lang w:val="en-US" w:eastAsia="zh-CN"/>
                    </w:rPr>
                    <w:t>841-003-01</w:t>
                  </w:r>
                </w:p>
                <w:p w14:paraId="4D378A3E">
                  <w:pPr>
                    <w:jc w:val="center"/>
                    <w:rPr>
                      <w:rFonts w:hint="eastAsia"/>
                      <w:bCs/>
                      <w:szCs w:val="21"/>
                    </w:rPr>
                  </w:pPr>
                  <w:r>
                    <w:rPr>
                      <w:rFonts w:hint="eastAsia"/>
                      <w:bCs/>
                      <w:szCs w:val="21"/>
                    </w:rPr>
                    <w:t>841-004-01</w:t>
                  </w:r>
                </w:p>
                <w:p w14:paraId="7C97EC98">
                  <w:pPr>
                    <w:jc w:val="center"/>
                    <w:rPr>
                      <w:rFonts w:hint="eastAsia"/>
                      <w:szCs w:val="21"/>
                    </w:rPr>
                  </w:pPr>
                  <w:r>
                    <w:rPr>
                      <w:rFonts w:hint="eastAsia"/>
                      <w:bCs/>
                      <w:szCs w:val="21"/>
                    </w:rPr>
                    <w:t>841-005-01</w:t>
                  </w:r>
                </w:p>
              </w:tc>
              <w:tc>
                <w:tcPr>
                  <w:tcW w:w="497" w:type="pct"/>
                  <w:noWrap w:val="0"/>
                  <w:vAlign w:val="center"/>
                </w:tcPr>
                <w:p w14:paraId="081C902E">
                  <w:pPr>
                    <w:jc w:val="center"/>
                    <w:rPr>
                      <w:rFonts w:hint="default" w:eastAsia="宋体"/>
                      <w:szCs w:val="21"/>
                      <w:lang w:val="en-US" w:eastAsia="zh-CN"/>
                    </w:rPr>
                  </w:pPr>
                  <w:r>
                    <w:rPr>
                      <w:rFonts w:hint="eastAsia"/>
                      <w:szCs w:val="21"/>
                      <w:lang w:val="en-US" w:eastAsia="zh-CN"/>
                    </w:rPr>
                    <w:t>45.625</w:t>
                  </w:r>
                </w:p>
              </w:tc>
              <w:tc>
                <w:tcPr>
                  <w:tcW w:w="404" w:type="pct"/>
                  <w:noWrap w:val="0"/>
                  <w:vAlign w:val="center"/>
                </w:tcPr>
                <w:p w14:paraId="60AFCCF9">
                  <w:pPr>
                    <w:adjustRightInd w:val="0"/>
                    <w:jc w:val="center"/>
                    <w:rPr>
                      <w:szCs w:val="21"/>
                    </w:rPr>
                  </w:pPr>
                  <w:r>
                    <w:rPr>
                      <w:rFonts w:hint="eastAsia"/>
                      <w:szCs w:val="21"/>
                      <w:lang w:val="en-US" w:eastAsia="zh-CN"/>
                    </w:rPr>
                    <w:t>/</w:t>
                  </w:r>
                </w:p>
              </w:tc>
              <w:tc>
                <w:tcPr>
                  <w:tcW w:w="404" w:type="pct"/>
                  <w:noWrap w:val="0"/>
                  <w:vAlign w:val="center"/>
                </w:tcPr>
                <w:p w14:paraId="38D30850">
                  <w:pPr>
                    <w:pStyle w:val="23"/>
                    <w:spacing w:line="240" w:lineRule="auto"/>
                    <w:jc w:val="both"/>
                    <w:rPr>
                      <w:rFonts w:hint="eastAsia"/>
                      <w:szCs w:val="21"/>
                    </w:rPr>
                  </w:pPr>
                  <w:r>
                    <w:rPr>
                      <w:rFonts w:hint="eastAsia" w:ascii="Times New Roman" w:hAnsi="Times New Roman"/>
                      <w:b w:val="0"/>
                      <w:sz w:val="21"/>
                      <w:szCs w:val="21"/>
                    </w:rPr>
                    <w:t>固态</w:t>
                  </w:r>
                </w:p>
              </w:tc>
              <w:tc>
                <w:tcPr>
                  <w:tcW w:w="403" w:type="pct"/>
                  <w:noWrap w:val="0"/>
                  <w:vAlign w:val="center"/>
                </w:tcPr>
                <w:p w14:paraId="534865BA">
                  <w:pPr>
                    <w:pStyle w:val="19"/>
                    <w:spacing w:line="240" w:lineRule="auto"/>
                    <w:ind w:firstLine="0"/>
                    <w:jc w:val="center"/>
                    <w:rPr>
                      <w:rFonts w:hint="eastAsia" w:ascii="Times New Roman"/>
                      <w:sz w:val="21"/>
                      <w:szCs w:val="21"/>
                    </w:rPr>
                  </w:pPr>
                  <w:r>
                    <w:rPr>
                      <w:rFonts w:hint="eastAsia" w:ascii="Times New Roman"/>
                      <w:sz w:val="21"/>
                      <w:szCs w:val="21"/>
                    </w:rPr>
                    <w:t>致病菌、危化品</w:t>
                  </w:r>
                </w:p>
              </w:tc>
              <w:tc>
                <w:tcPr>
                  <w:tcW w:w="417" w:type="pct"/>
                  <w:noWrap w:val="0"/>
                  <w:vAlign w:val="center"/>
                </w:tcPr>
                <w:p w14:paraId="405E8793">
                  <w:pPr>
                    <w:pStyle w:val="19"/>
                    <w:spacing w:line="240" w:lineRule="auto"/>
                    <w:ind w:firstLine="0"/>
                    <w:jc w:val="center"/>
                    <w:rPr>
                      <w:rFonts w:hint="eastAsia" w:ascii="Times New Roman"/>
                      <w:sz w:val="21"/>
                      <w:szCs w:val="21"/>
                    </w:rPr>
                  </w:pPr>
                  <w:r>
                    <w:rPr>
                      <w:rFonts w:hint="eastAsia" w:ascii="Times New Roman"/>
                      <w:sz w:val="21"/>
                      <w:szCs w:val="21"/>
                    </w:rPr>
                    <w:t>致病菌、危化品</w:t>
                  </w:r>
                </w:p>
              </w:tc>
              <w:tc>
                <w:tcPr>
                  <w:tcW w:w="405" w:type="pct"/>
                  <w:noWrap w:val="0"/>
                  <w:vAlign w:val="center"/>
                </w:tcPr>
                <w:p w14:paraId="2DA26E6E">
                  <w:pPr>
                    <w:pStyle w:val="23"/>
                    <w:spacing w:line="240" w:lineRule="auto"/>
                    <w:jc w:val="center"/>
                    <w:rPr>
                      <w:rFonts w:hint="eastAsia" w:ascii="Times New Roman" w:hAnsi="Times New Roman"/>
                      <w:b w:val="0"/>
                      <w:sz w:val="21"/>
                      <w:szCs w:val="21"/>
                    </w:rPr>
                  </w:pPr>
                  <w:r>
                    <w:rPr>
                      <w:rFonts w:hint="eastAsia" w:ascii="Times New Roman" w:hAnsi="Times New Roman"/>
                      <w:b w:val="0"/>
                      <w:sz w:val="21"/>
                      <w:szCs w:val="21"/>
                    </w:rPr>
                    <w:t>年</w:t>
                  </w:r>
                </w:p>
              </w:tc>
              <w:tc>
                <w:tcPr>
                  <w:tcW w:w="410" w:type="pct"/>
                  <w:noWrap w:val="0"/>
                  <w:vAlign w:val="center"/>
                </w:tcPr>
                <w:p w14:paraId="2390A015">
                  <w:pPr>
                    <w:jc w:val="center"/>
                    <w:rPr>
                      <w:rFonts w:hint="eastAsia"/>
                      <w:kern w:val="0"/>
                      <w:szCs w:val="21"/>
                      <w:highlight w:val="none"/>
                    </w:rPr>
                  </w:pPr>
                  <w:r>
                    <w:rPr>
                      <w:rFonts w:hint="eastAsia"/>
                      <w:kern w:val="0"/>
                      <w:szCs w:val="21"/>
                      <w:highlight w:val="none"/>
                    </w:rPr>
                    <w:t>T</w:t>
                  </w:r>
                  <w:r>
                    <w:rPr>
                      <w:rFonts w:hint="eastAsia"/>
                      <w:kern w:val="0"/>
                      <w:szCs w:val="21"/>
                      <w:highlight w:val="none"/>
                      <w:lang w:val="en-US" w:eastAsia="zh-CN"/>
                    </w:rPr>
                    <w:t>,</w:t>
                  </w:r>
                  <w:r>
                    <w:rPr>
                      <w:rFonts w:hint="eastAsia"/>
                      <w:kern w:val="0"/>
                      <w:szCs w:val="21"/>
                      <w:highlight w:val="none"/>
                    </w:rPr>
                    <w:t>In</w:t>
                  </w:r>
                </w:p>
              </w:tc>
              <w:tc>
                <w:tcPr>
                  <w:tcW w:w="412" w:type="pct"/>
                  <w:vMerge w:val="continue"/>
                  <w:noWrap w:val="0"/>
                  <w:vAlign w:val="center"/>
                </w:tcPr>
                <w:p w14:paraId="468AF291">
                  <w:pPr>
                    <w:pStyle w:val="23"/>
                    <w:spacing w:line="240" w:lineRule="auto"/>
                    <w:jc w:val="center"/>
                    <w:rPr>
                      <w:rFonts w:hint="eastAsia" w:ascii="Times New Roman" w:hAnsi="Times New Roman"/>
                      <w:b w:val="0"/>
                      <w:sz w:val="21"/>
                      <w:szCs w:val="21"/>
                    </w:rPr>
                  </w:pPr>
                </w:p>
              </w:tc>
            </w:tr>
            <w:tr w14:paraId="13462C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2" w:type="pct"/>
                  <w:noWrap w:val="0"/>
                  <w:vAlign w:val="center"/>
                </w:tcPr>
                <w:p w14:paraId="6BC5D78C">
                  <w:pPr>
                    <w:jc w:val="center"/>
                    <w:rPr>
                      <w:rFonts w:hint="eastAsia" w:eastAsia="宋体"/>
                      <w:szCs w:val="21"/>
                      <w:highlight w:val="none"/>
                      <w:lang w:eastAsia="zh-CN"/>
                    </w:rPr>
                  </w:pPr>
                  <w:r>
                    <w:rPr>
                      <w:rFonts w:hint="eastAsia"/>
                      <w:szCs w:val="21"/>
                      <w:highlight w:val="none"/>
                    </w:rPr>
                    <w:t>栅</w:t>
                  </w:r>
                  <w:r>
                    <w:rPr>
                      <w:rFonts w:hint="eastAsia"/>
                      <w:szCs w:val="21"/>
                      <w:highlight w:val="none"/>
                      <w:lang w:eastAsia="zh-CN"/>
                    </w:rPr>
                    <w:t>渣</w:t>
                  </w:r>
                </w:p>
              </w:tc>
              <w:tc>
                <w:tcPr>
                  <w:tcW w:w="464" w:type="pct"/>
                  <w:noWrap w:val="0"/>
                  <w:vAlign w:val="center"/>
                </w:tcPr>
                <w:p w14:paraId="4C4A2AD1">
                  <w:pPr>
                    <w:jc w:val="center"/>
                    <w:rPr>
                      <w:rFonts w:hint="eastAsia" w:eastAsia="宋体"/>
                      <w:szCs w:val="21"/>
                      <w:highlight w:val="none"/>
                      <w:lang w:eastAsia="zh-CN"/>
                    </w:rPr>
                  </w:pPr>
                  <w:r>
                    <w:rPr>
                      <w:rFonts w:hint="eastAsia"/>
                      <w:szCs w:val="21"/>
                      <w:highlight w:val="none"/>
                    </w:rPr>
                    <w:t>HW0</w:t>
                  </w:r>
                  <w:r>
                    <w:rPr>
                      <w:rFonts w:hint="eastAsia"/>
                      <w:szCs w:val="21"/>
                      <w:highlight w:val="none"/>
                      <w:lang w:val="en-US" w:eastAsia="zh-CN"/>
                    </w:rPr>
                    <w:t>1</w:t>
                  </w:r>
                </w:p>
              </w:tc>
              <w:tc>
                <w:tcPr>
                  <w:tcW w:w="758" w:type="pct"/>
                  <w:noWrap w:val="0"/>
                  <w:vAlign w:val="center"/>
                </w:tcPr>
                <w:p w14:paraId="7898941A">
                  <w:pPr>
                    <w:jc w:val="center"/>
                    <w:rPr>
                      <w:rFonts w:hint="default" w:eastAsia="宋体"/>
                      <w:szCs w:val="21"/>
                      <w:highlight w:val="none"/>
                      <w:lang w:val="en-US" w:eastAsia="zh-CN"/>
                    </w:rPr>
                  </w:pPr>
                  <w:r>
                    <w:rPr>
                      <w:rFonts w:hint="eastAsia"/>
                      <w:szCs w:val="21"/>
                      <w:highlight w:val="none"/>
                      <w:lang w:val="en-US" w:eastAsia="zh-CN"/>
                    </w:rPr>
                    <w:t>841-001-01</w:t>
                  </w:r>
                </w:p>
              </w:tc>
              <w:tc>
                <w:tcPr>
                  <w:tcW w:w="497" w:type="pct"/>
                  <w:noWrap w:val="0"/>
                  <w:vAlign w:val="center"/>
                </w:tcPr>
                <w:p w14:paraId="48757D0C">
                  <w:pPr>
                    <w:jc w:val="center"/>
                    <w:rPr>
                      <w:rFonts w:hint="default" w:eastAsia="宋体"/>
                      <w:szCs w:val="21"/>
                      <w:highlight w:val="none"/>
                      <w:lang w:val="en-US" w:eastAsia="zh-CN"/>
                    </w:rPr>
                  </w:pPr>
                  <w:r>
                    <w:rPr>
                      <w:rFonts w:hint="eastAsia"/>
                      <w:szCs w:val="21"/>
                      <w:highlight w:val="none"/>
                      <w:lang w:val="en-US" w:eastAsia="zh-CN"/>
                    </w:rPr>
                    <w:t>1.294</w:t>
                  </w:r>
                </w:p>
              </w:tc>
              <w:tc>
                <w:tcPr>
                  <w:tcW w:w="404" w:type="pct"/>
                  <w:noWrap w:val="0"/>
                  <w:vAlign w:val="center"/>
                </w:tcPr>
                <w:p w14:paraId="4ED27222">
                  <w:pPr>
                    <w:adjustRightInd w:val="0"/>
                    <w:jc w:val="center"/>
                    <w:rPr>
                      <w:rFonts w:hint="eastAsia" w:eastAsia="宋体"/>
                      <w:szCs w:val="21"/>
                      <w:highlight w:val="none"/>
                      <w:lang w:eastAsia="zh-CN"/>
                    </w:rPr>
                  </w:pPr>
                  <w:r>
                    <w:rPr>
                      <w:rFonts w:hint="eastAsia"/>
                      <w:szCs w:val="21"/>
                      <w:highlight w:val="none"/>
                      <w:lang w:eastAsia="zh-CN"/>
                    </w:rPr>
                    <w:t>污水处理</w:t>
                  </w:r>
                </w:p>
              </w:tc>
              <w:tc>
                <w:tcPr>
                  <w:tcW w:w="404" w:type="pct"/>
                  <w:noWrap w:val="0"/>
                  <w:vAlign w:val="center"/>
                </w:tcPr>
                <w:p w14:paraId="791316C0">
                  <w:pPr>
                    <w:adjustRightInd w:val="0"/>
                    <w:jc w:val="center"/>
                    <w:rPr>
                      <w:rFonts w:hint="eastAsia" w:eastAsia="宋体"/>
                      <w:szCs w:val="21"/>
                      <w:highlight w:val="none"/>
                      <w:lang w:eastAsia="zh-CN"/>
                    </w:rPr>
                  </w:pPr>
                  <w:r>
                    <w:rPr>
                      <w:rFonts w:hint="eastAsia"/>
                      <w:szCs w:val="21"/>
                      <w:highlight w:val="none"/>
                      <w:lang w:eastAsia="zh-CN"/>
                    </w:rPr>
                    <w:t>固态</w:t>
                  </w:r>
                </w:p>
              </w:tc>
              <w:tc>
                <w:tcPr>
                  <w:tcW w:w="403" w:type="pct"/>
                  <w:noWrap w:val="0"/>
                  <w:vAlign w:val="center"/>
                </w:tcPr>
                <w:p w14:paraId="7402C3E5">
                  <w:pPr>
                    <w:pStyle w:val="19"/>
                    <w:spacing w:line="240" w:lineRule="auto"/>
                    <w:ind w:firstLine="0" w:firstLineChars="0"/>
                    <w:jc w:val="center"/>
                    <w:rPr>
                      <w:rFonts w:hint="eastAsia" w:ascii="Times New Roman"/>
                      <w:sz w:val="21"/>
                      <w:szCs w:val="21"/>
                      <w:highlight w:val="none"/>
                    </w:rPr>
                  </w:pPr>
                  <w:r>
                    <w:rPr>
                      <w:rFonts w:hint="eastAsia" w:ascii="Times New Roman"/>
                      <w:sz w:val="21"/>
                      <w:szCs w:val="21"/>
                      <w:highlight w:val="none"/>
                    </w:rPr>
                    <w:t>致病菌、危化品</w:t>
                  </w:r>
                </w:p>
              </w:tc>
              <w:tc>
                <w:tcPr>
                  <w:tcW w:w="417" w:type="pct"/>
                  <w:noWrap w:val="0"/>
                  <w:vAlign w:val="center"/>
                </w:tcPr>
                <w:p w14:paraId="08711A0D">
                  <w:pPr>
                    <w:pStyle w:val="19"/>
                    <w:spacing w:line="240" w:lineRule="auto"/>
                    <w:ind w:firstLine="0" w:firstLineChars="0"/>
                    <w:jc w:val="center"/>
                    <w:rPr>
                      <w:rFonts w:hint="eastAsia" w:ascii="Times New Roman"/>
                      <w:sz w:val="21"/>
                      <w:szCs w:val="21"/>
                      <w:highlight w:val="none"/>
                    </w:rPr>
                  </w:pPr>
                  <w:r>
                    <w:rPr>
                      <w:rFonts w:hint="eastAsia" w:ascii="Times New Roman"/>
                      <w:sz w:val="21"/>
                      <w:szCs w:val="21"/>
                      <w:highlight w:val="none"/>
                    </w:rPr>
                    <w:t>致病菌、危化品</w:t>
                  </w:r>
                </w:p>
              </w:tc>
              <w:tc>
                <w:tcPr>
                  <w:tcW w:w="405" w:type="pct"/>
                  <w:noWrap w:val="0"/>
                  <w:vAlign w:val="center"/>
                </w:tcPr>
                <w:p w14:paraId="0168CAA7">
                  <w:pPr>
                    <w:pStyle w:val="23"/>
                    <w:spacing w:line="240" w:lineRule="auto"/>
                    <w:jc w:val="center"/>
                    <w:rPr>
                      <w:rFonts w:hint="eastAsia" w:ascii="Times New Roman" w:hAnsi="Times New Roman"/>
                      <w:b w:val="0"/>
                      <w:sz w:val="21"/>
                      <w:szCs w:val="21"/>
                      <w:highlight w:val="none"/>
                    </w:rPr>
                  </w:pPr>
                  <w:r>
                    <w:rPr>
                      <w:rFonts w:hint="eastAsia" w:ascii="Times New Roman" w:hAnsi="Times New Roman"/>
                      <w:b w:val="0"/>
                      <w:sz w:val="21"/>
                      <w:szCs w:val="21"/>
                      <w:highlight w:val="none"/>
                    </w:rPr>
                    <w:t>年</w:t>
                  </w:r>
                </w:p>
              </w:tc>
              <w:tc>
                <w:tcPr>
                  <w:tcW w:w="410" w:type="pct"/>
                  <w:noWrap w:val="0"/>
                  <w:vAlign w:val="center"/>
                </w:tcPr>
                <w:p w14:paraId="7BD38521">
                  <w:pPr>
                    <w:jc w:val="center"/>
                    <w:rPr>
                      <w:rFonts w:hint="eastAsia"/>
                      <w:kern w:val="0"/>
                      <w:szCs w:val="21"/>
                      <w:highlight w:val="none"/>
                    </w:rPr>
                  </w:pPr>
                  <w:r>
                    <w:rPr>
                      <w:rFonts w:hint="eastAsia"/>
                      <w:kern w:val="0"/>
                      <w:szCs w:val="21"/>
                      <w:highlight w:val="none"/>
                    </w:rPr>
                    <w:t>In</w:t>
                  </w:r>
                </w:p>
              </w:tc>
              <w:tc>
                <w:tcPr>
                  <w:tcW w:w="412" w:type="pct"/>
                  <w:vMerge w:val="continue"/>
                  <w:noWrap w:val="0"/>
                  <w:vAlign w:val="center"/>
                </w:tcPr>
                <w:p w14:paraId="4B14FD03">
                  <w:pPr>
                    <w:pStyle w:val="23"/>
                    <w:spacing w:line="240" w:lineRule="auto"/>
                    <w:jc w:val="center"/>
                    <w:rPr>
                      <w:rFonts w:hint="eastAsia" w:ascii="Times New Roman" w:hAnsi="Times New Roman"/>
                      <w:b w:val="0"/>
                      <w:sz w:val="21"/>
                      <w:szCs w:val="21"/>
                    </w:rPr>
                  </w:pPr>
                </w:p>
              </w:tc>
            </w:tr>
            <w:tr w14:paraId="13BBAA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2" w:type="pct"/>
                  <w:noWrap w:val="0"/>
                  <w:vAlign w:val="center"/>
                </w:tcPr>
                <w:p w14:paraId="28061402">
                  <w:pPr>
                    <w:jc w:val="center"/>
                    <w:rPr>
                      <w:rFonts w:hint="eastAsia" w:eastAsia="宋体"/>
                      <w:szCs w:val="21"/>
                      <w:lang w:eastAsia="zh-CN"/>
                    </w:rPr>
                  </w:pPr>
                  <w:r>
                    <w:rPr>
                      <w:rFonts w:hint="eastAsia"/>
                      <w:szCs w:val="21"/>
                      <w:lang w:eastAsia="zh-CN"/>
                    </w:rPr>
                    <w:t>检验废液</w:t>
                  </w:r>
                </w:p>
              </w:tc>
              <w:tc>
                <w:tcPr>
                  <w:tcW w:w="464" w:type="pct"/>
                  <w:noWrap w:val="0"/>
                  <w:vAlign w:val="center"/>
                </w:tcPr>
                <w:p w14:paraId="57BC8CE1">
                  <w:pPr>
                    <w:jc w:val="center"/>
                    <w:rPr>
                      <w:rFonts w:hint="eastAsia"/>
                      <w:szCs w:val="21"/>
                    </w:rPr>
                  </w:pPr>
                  <w:r>
                    <w:rPr>
                      <w:rFonts w:hint="eastAsia"/>
                      <w:szCs w:val="21"/>
                    </w:rPr>
                    <w:t>HW0</w:t>
                  </w:r>
                  <w:r>
                    <w:rPr>
                      <w:rFonts w:hint="eastAsia"/>
                      <w:szCs w:val="21"/>
                      <w:lang w:val="en-US" w:eastAsia="zh-CN"/>
                    </w:rPr>
                    <w:t>1</w:t>
                  </w:r>
                </w:p>
              </w:tc>
              <w:tc>
                <w:tcPr>
                  <w:tcW w:w="758" w:type="pct"/>
                  <w:noWrap w:val="0"/>
                  <w:vAlign w:val="center"/>
                </w:tcPr>
                <w:p w14:paraId="62EDE695">
                  <w:pPr>
                    <w:jc w:val="center"/>
                    <w:rPr>
                      <w:rFonts w:hint="eastAsia"/>
                      <w:szCs w:val="21"/>
                    </w:rPr>
                  </w:pPr>
                  <w:r>
                    <w:rPr>
                      <w:rFonts w:hint="eastAsia"/>
                      <w:szCs w:val="21"/>
                      <w:lang w:val="en-US" w:eastAsia="zh-CN"/>
                    </w:rPr>
                    <w:t>841-001-01</w:t>
                  </w:r>
                </w:p>
              </w:tc>
              <w:tc>
                <w:tcPr>
                  <w:tcW w:w="497" w:type="pct"/>
                  <w:noWrap w:val="0"/>
                  <w:vAlign w:val="center"/>
                </w:tcPr>
                <w:p w14:paraId="53500B46">
                  <w:pPr>
                    <w:jc w:val="center"/>
                    <w:rPr>
                      <w:rFonts w:hint="default" w:eastAsia="宋体"/>
                      <w:szCs w:val="21"/>
                      <w:lang w:val="en-US" w:eastAsia="zh-CN"/>
                    </w:rPr>
                  </w:pPr>
                  <w:r>
                    <w:rPr>
                      <w:rFonts w:hint="eastAsia"/>
                      <w:szCs w:val="21"/>
                      <w:lang w:val="en-US" w:eastAsia="zh-CN"/>
                    </w:rPr>
                    <w:t>1.2</w:t>
                  </w:r>
                </w:p>
              </w:tc>
              <w:tc>
                <w:tcPr>
                  <w:tcW w:w="404" w:type="pct"/>
                  <w:noWrap w:val="0"/>
                  <w:vAlign w:val="center"/>
                </w:tcPr>
                <w:p w14:paraId="6087C2FF">
                  <w:pPr>
                    <w:adjustRightInd w:val="0"/>
                    <w:jc w:val="center"/>
                    <w:rPr>
                      <w:rFonts w:hint="eastAsia" w:eastAsia="宋体"/>
                      <w:szCs w:val="21"/>
                      <w:lang w:eastAsia="zh-CN"/>
                    </w:rPr>
                  </w:pPr>
                  <w:r>
                    <w:rPr>
                      <w:rFonts w:hint="eastAsia"/>
                      <w:szCs w:val="21"/>
                      <w:lang w:eastAsia="zh-CN"/>
                    </w:rPr>
                    <w:t>检验</w:t>
                  </w:r>
                </w:p>
              </w:tc>
              <w:tc>
                <w:tcPr>
                  <w:tcW w:w="404" w:type="pct"/>
                  <w:noWrap w:val="0"/>
                  <w:vAlign w:val="center"/>
                </w:tcPr>
                <w:p w14:paraId="21AA1762">
                  <w:pPr>
                    <w:adjustRightInd w:val="0"/>
                    <w:jc w:val="center"/>
                    <w:rPr>
                      <w:rFonts w:hint="eastAsia" w:eastAsia="宋体"/>
                      <w:szCs w:val="21"/>
                      <w:lang w:eastAsia="zh-CN"/>
                    </w:rPr>
                  </w:pPr>
                  <w:r>
                    <w:rPr>
                      <w:rFonts w:hint="eastAsia"/>
                      <w:szCs w:val="21"/>
                      <w:lang w:val="en-US" w:eastAsia="zh-CN"/>
                    </w:rPr>
                    <w:t>液态</w:t>
                  </w:r>
                </w:p>
              </w:tc>
              <w:tc>
                <w:tcPr>
                  <w:tcW w:w="403" w:type="pct"/>
                  <w:noWrap w:val="0"/>
                  <w:vAlign w:val="center"/>
                </w:tcPr>
                <w:p w14:paraId="26626B9F">
                  <w:pPr>
                    <w:pStyle w:val="19"/>
                    <w:spacing w:line="240" w:lineRule="auto"/>
                    <w:ind w:firstLine="0" w:firstLineChars="0"/>
                    <w:jc w:val="center"/>
                    <w:rPr>
                      <w:rFonts w:hint="eastAsia" w:ascii="Times New Roman"/>
                      <w:sz w:val="21"/>
                      <w:szCs w:val="21"/>
                    </w:rPr>
                  </w:pPr>
                  <w:r>
                    <w:rPr>
                      <w:rFonts w:hint="eastAsia" w:ascii="Times New Roman"/>
                      <w:sz w:val="21"/>
                      <w:szCs w:val="21"/>
                    </w:rPr>
                    <w:t>致病菌、危化品</w:t>
                  </w:r>
                </w:p>
              </w:tc>
              <w:tc>
                <w:tcPr>
                  <w:tcW w:w="417" w:type="pct"/>
                  <w:noWrap w:val="0"/>
                  <w:vAlign w:val="center"/>
                </w:tcPr>
                <w:p w14:paraId="0B1279B3">
                  <w:pPr>
                    <w:pStyle w:val="19"/>
                    <w:spacing w:line="240" w:lineRule="auto"/>
                    <w:ind w:firstLine="0" w:firstLineChars="0"/>
                    <w:jc w:val="center"/>
                    <w:rPr>
                      <w:rFonts w:hint="eastAsia" w:ascii="Times New Roman"/>
                      <w:sz w:val="21"/>
                      <w:szCs w:val="21"/>
                    </w:rPr>
                  </w:pPr>
                  <w:r>
                    <w:rPr>
                      <w:rFonts w:hint="eastAsia" w:ascii="Times New Roman"/>
                      <w:sz w:val="21"/>
                      <w:szCs w:val="21"/>
                    </w:rPr>
                    <w:t>致病菌、危化品</w:t>
                  </w:r>
                </w:p>
              </w:tc>
              <w:tc>
                <w:tcPr>
                  <w:tcW w:w="405" w:type="pct"/>
                  <w:noWrap w:val="0"/>
                  <w:vAlign w:val="center"/>
                </w:tcPr>
                <w:p w14:paraId="776F4459">
                  <w:pPr>
                    <w:pStyle w:val="23"/>
                    <w:spacing w:line="240" w:lineRule="auto"/>
                    <w:jc w:val="center"/>
                    <w:rPr>
                      <w:rFonts w:hint="eastAsia" w:ascii="Times New Roman" w:hAnsi="Times New Roman"/>
                      <w:b w:val="0"/>
                      <w:sz w:val="21"/>
                      <w:szCs w:val="21"/>
                    </w:rPr>
                  </w:pPr>
                  <w:r>
                    <w:rPr>
                      <w:rFonts w:hint="eastAsia" w:ascii="Times New Roman" w:hAnsi="Times New Roman"/>
                      <w:b w:val="0"/>
                      <w:sz w:val="21"/>
                      <w:szCs w:val="21"/>
                    </w:rPr>
                    <w:t>年</w:t>
                  </w:r>
                </w:p>
              </w:tc>
              <w:tc>
                <w:tcPr>
                  <w:tcW w:w="410" w:type="pct"/>
                  <w:noWrap w:val="0"/>
                  <w:vAlign w:val="center"/>
                </w:tcPr>
                <w:p w14:paraId="5A551B65">
                  <w:pPr>
                    <w:jc w:val="center"/>
                    <w:rPr>
                      <w:rFonts w:hint="eastAsia"/>
                      <w:kern w:val="0"/>
                      <w:szCs w:val="21"/>
                      <w:highlight w:val="yellow"/>
                    </w:rPr>
                  </w:pPr>
                  <w:r>
                    <w:rPr>
                      <w:rFonts w:hint="eastAsia"/>
                      <w:kern w:val="0"/>
                      <w:szCs w:val="21"/>
                      <w:highlight w:val="none"/>
                    </w:rPr>
                    <w:t>In</w:t>
                  </w:r>
                </w:p>
              </w:tc>
              <w:tc>
                <w:tcPr>
                  <w:tcW w:w="412" w:type="pct"/>
                  <w:vMerge w:val="continue"/>
                  <w:noWrap w:val="0"/>
                  <w:vAlign w:val="center"/>
                </w:tcPr>
                <w:p w14:paraId="3279EDCD">
                  <w:pPr>
                    <w:pStyle w:val="23"/>
                    <w:spacing w:line="240" w:lineRule="auto"/>
                    <w:jc w:val="center"/>
                    <w:rPr>
                      <w:rFonts w:hint="eastAsia" w:ascii="Times New Roman" w:hAnsi="Times New Roman"/>
                      <w:b w:val="0"/>
                      <w:sz w:val="21"/>
                      <w:szCs w:val="21"/>
                    </w:rPr>
                  </w:pPr>
                </w:p>
              </w:tc>
            </w:tr>
            <w:tr w14:paraId="33FF2C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2" w:type="pct"/>
                  <w:noWrap w:val="0"/>
                  <w:vAlign w:val="center"/>
                </w:tcPr>
                <w:p w14:paraId="0709DFCC">
                  <w:pPr>
                    <w:jc w:val="center"/>
                    <w:rPr>
                      <w:rFonts w:hint="eastAsia"/>
                      <w:szCs w:val="21"/>
                      <w:lang w:eastAsia="zh-CN"/>
                    </w:rPr>
                  </w:pPr>
                  <w:r>
                    <w:rPr>
                      <w:rFonts w:hint="eastAsia"/>
                      <w:szCs w:val="21"/>
                      <w:lang w:eastAsia="zh-CN"/>
                    </w:rPr>
                    <w:t>废活性炭</w:t>
                  </w:r>
                </w:p>
              </w:tc>
              <w:tc>
                <w:tcPr>
                  <w:tcW w:w="464" w:type="pct"/>
                  <w:noWrap w:val="0"/>
                  <w:vAlign w:val="center"/>
                </w:tcPr>
                <w:p w14:paraId="3E173727">
                  <w:pPr>
                    <w:jc w:val="center"/>
                    <w:rPr>
                      <w:rFonts w:hint="eastAsia"/>
                      <w:szCs w:val="21"/>
                    </w:rPr>
                  </w:pPr>
                  <w:r>
                    <w:rPr>
                      <w:rFonts w:hint="eastAsia"/>
                      <w:szCs w:val="21"/>
                      <w:lang w:val="en-US" w:eastAsia="zh-CN"/>
                    </w:rPr>
                    <w:t>HW49</w:t>
                  </w:r>
                </w:p>
              </w:tc>
              <w:tc>
                <w:tcPr>
                  <w:tcW w:w="758" w:type="pct"/>
                  <w:noWrap w:val="0"/>
                  <w:vAlign w:val="center"/>
                </w:tcPr>
                <w:p w14:paraId="0EA0652E">
                  <w:pPr>
                    <w:jc w:val="center"/>
                    <w:rPr>
                      <w:rFonts w:hint="eastAsia"/>
                      <w:szCs w:val="21"/>
                      <w:lang w:val="en-US" w:eastAsia="zh-CN"/>
                    </w:rPr>
                  </w:pPr>
                  <w:r>
                    <w:rPr>
                      <w:rFonts w:hint="eastAsia"/>
                      <w:szCs w:val="21"/>
                      <w:lang w:val="en-US" w:eastAsia="zh-CN"/>
                    </w:rPr>
                    <w:t>900-039-49</w:t>
                  </w:r>
                </w:p>
              </w:tc>
              <w:tc>
                <w:tcPr>
                  <w:tcW w:w="497" w:type="pct"/>
                  <w:noWrap w:val="0"/>
                  <w:vAlign w:val="center"/>
                </w:tcPr>
                <w:p w14:paraId="76BE99FA">
                  <w:pPr>
                    <w:jc w:val="center"/>
                    <w:rPr>
                      <w:rFonts w:hint="default"/>
                      <w:szCs w:val="21"/>
                      <w:lang w:val="en-US" w:eastAsia="zh-CN"/>
                    </w:rPr>
                  </w:pPr>
                  <w:r>
                    <w:rPr>
                      <w:rFonts w:hint="eastAsia"/>
                      <w:color w:val="auto"/>
                      <w:szCs w:val="21"/>
                      <w:lang w:val="en-US" w:eastAsia="zh-CN"/>
                    </w:rPr>
                    <w:t>0.012</w:t>
                  </w:r>
                </w:p>
              </w:tc>
              <w:tc>
                <w:tcPr>
                  <w:tcW w:w="404" w:type="pct"/>
                  <w:noWrap w:val="0"/>
                  <w:vAlign w:val="center"/>
                </w:tcPr>
                <w:p w14:paraId="508310E8">
                  <w:pPr>
                    <w:adjustRightInd w:val="0"/>
                    <w:jc w:val="center"/>
                    <w:rPr>
                      <w:rFonts w:hint="eastAsia"/>
                      <w:szCs w:val="21"/>
                      <w:lang w:eastAsia="zh-CN"/>
                    </w:rPr>
                  </w:pPr>
                  <w:r>
                    <w:rPr>
                      <w:rFonts w:hint="eastAsia"/>
                      <w:szCs w:val="21"/>
                      <w:lang w:val="en-US" w:eastAsia="zh-CN"/>
                    </w:rPr>
                    <w:t>环保设备</w:t>
                  </w:r>
                </w:p>
              </w:tc>
              <w:tc>
                <w:tcPr>
                  <w:tcW w:w="404" w:type="pct"/>
                  <w:noWrap w:val="0"/>
                  <w:vAlign w:val="center"/>
                </w:tcPr>
                <w:p w14:paraId="6B474740">
                  <w:pPr>
                    <w:adjustRightInd w:val="0"/>
                    <w:jc w:val="center"/>
                    <w:rPr>
                      <w:rFonts w:hint="eastAsia"/>
                      <w:szCs w:val="21"/>
                    </w:rPr>
                  </w:pPr>
                  <w:r>
                    <w:rPr>
                      <w:rFonts w:hint="eastAsia"/>
                      <w:szCs w:val="21"/>
                      <w:lang w:eastAsia="zh-CN"/>
                    </w:rPr>
                    <w:t>固态</w:t>
                  </w:r>
                </w:p>
              </w:tc>
              <w:tc>
                <w:tcPr>
                  <w:tcW w:w="403" w:type="pct"/>
                  <w:noWrap w:val="0"/>
                  <w:vAlign w:val="center"/>
                </w:tcPr>
                <w:p w14:paraId="0EBE1542">
                  <w:pPr>
                    <w:pStyle w:val="19"/>
                    <w:spacing w:line="240" w:lineRule="auto"/>
                    <w:ind w:firstLine="0" w:firstLineChars="0"/>
                    <w:jc w:val="center"/>
                    <w:rPr>
                      <w:rFonts w:hint="eastAsia" w:ascii="Times New Roman"/>
                      <w:sz w:val="21"/>
                      <w:szCs w:val="21"/>
                    </w:rPr>
                  </w:pPr>
                  <w:r>
                    <w:rPr>
                      <w:rFonts w:hint="eastAsia" w:ascii="Times New Roman"/>
                      <w:sz w:val="21"/>
                      <w:szCs w:val="21"/>
                      <w:lang w:eastAsia="zh-CN"/>
                    </w:rPr>
                    <w:t>有机废气</w:t>
                  </w:r>
                </w:p>
              </w:tc>
              <w:tc>
                <w:tcPr>
                  <w:tcW w:w="417" w:type="pct"/>
                  <w:noWrap w:val="0"/>
                  <w:vAlign w:val="center"/>
                </w:tcPr>
                <w:p w14:paraId="73CB0B02">
                  <w:pPr>
                    <w:pStyle w:val="19"/>
                    <w:spacing w:line="240" w:lineRule="auto"/>
                    <w:ind w:firstLine="0" w:firstLineChars="0"/>
                    <w:jc w:val="center"/>
                    <w:rPr>
                      <w:rFonts w:hint="eastAsia" w:ascii="Times New Roman"/>
                      <w:sz w:val="21"/>
                      <w:szCs w:val="21"/>
                    </w:rPr>
                  </w:pPr>
                  <w:r>
                    <w:rPr>
                      <w:rFonts w:hint="eastAsia" w:ascii="Times New Roman"/>
                      <w:sz w:val="21"/>
                      <w:szCs w:val="21"/>
                      <w:lang w:eastAsia="zh-CN"/>
                    </w:rPr>
                    <w:t>有机废气</w:t>
                  </w:r>
                </w:p>
              </w:tc>
              <w:tc>
                <w:tcPr>
                  <w:tcW w:w="405" w:type="pct"/>
                  <w:noWrap w:val="0"/>
                  <w:vAlign w:val="center"/>
                </w:tcPr>
                <w:p w14:paraId="55BE05CE">
                  <w:pPr>
                    <w:pStyle w:val="23"/>
                    <w:spacing w:line="240" w:lineRule="auto"/>
                    <w:ind w:firstLine="0" w:firstLineChars="0"/>
                    <w:jc w:val="center"/>
                    <w:rPr>
                      <w:rFonts w:hint="eastAsia" w:ascii="Times New Roman" w:hAnsi="Times New Roman"/>
                      <w:b w:val="0"/>
                      <w:sz w:val="21"/>
                      <w:szCs w:val="21"/>
                    </w:rPr>
                  </w:pPr>
                  <w:r>
                    <w:rPr>
                      <w:rFonts w:hint="eastAsia" w:ascii="Times New Roman" w:hAnsi="Times New Roman"/>
                      <w:b w:val="0"/>
                      <w:sz w:val="21"/>
                      <w:szCs w:val="21"/>
                      <w:lang w:eastAsia="zh-CN"/>
                    </w:rPr>
                    <w:t>年</w:t>
                  </w:r>
                </w:p>
              </w:tc>
              <w:tc>
                <w:tcPr>
                  <w:tcW w:w="410" w:type="pct"/>
                  <w:noWrap w:val="0"/>
                  <w:vAlign w:val="center"/>
                </w:tcPr>
                <w:p w14:paraId="3D248724">
                  <w:pPr>
                    <w:jc w:val="center"/>
                    <w:rPr>
                      <w:rFonts w:hint="eastAsia" w:eastAsia="宋体"/>
                      <w:kern w:val="0"/>
                      <w:szCs w:val="21"/>
                      <w:highlight w:val="none"/>
                      <w:lang w:val="en-US" w:eastAsia="zh-CN"/>
                    </w:rPr>
                  </w:pPr>
                  <w:r>
                    <w:rPr>
                      <w:rFonts w:hint="eastAsia"/>
                      <w:kern w:val="0"/>
                      <w:szCs w:val="21"/>
                      <w:highlight w:val="none"/>
                      <w:lang w:val="en-US" w:eastAsia="zh-CN"/>
                    </w:rPr>
                    <w:t>T</w:t>
                  </w:r>
                </w:p>
              </w:tc>
              <w:tc>
                <w:tcPr>
                  <w:tcW w:w="412" w:type="pct"/>
                  <w:vMerge w:val="continue"/>
                  <w:noWrap w:val="0"/>
                  <w:vAlign w:val="center"/>
                </w:tcPr>
                <w:p w14:paraId="342DFCA4">
                  <w:pPr>
                    <w:pStyle w:val="23"/>
                    <w:spacing w:line="240" w:lineRule="auto"/>
                    <w:jc w:val="center"/>
                    <w:rPr>
                      <w:rFonts w:hint="eastAsia" w:ascii="Times New Roman" w:hAnsi="Times New Roman"/>
                      <w:b w:val="0"/>
                      <w:sz w:val="21"/>
                      <w:szCs w:val="21"/>
                    </w:rPr>
                  </w:pPr>
                </w:p>
              </w:tc>
            </w:tr>
          </w:tbl>
          <w:p w14:paraId="6ED5582C">
            <w:pPr>
              <w:spacing w:line="360" w:lineRule="auto"/>
              <w:ind w:firstLine="482" w:firstLineChars="200"/>
              <w:rPr>
                <w:rFonts w:hint="eastAsia"/>
                <w:b/>
                <w:bCs/>
                <w:sz w:val="24"/>
              </w:rPr>
            </w:pPr>
          </w:p>
          <w:p w14:paraId="7BA790EC">
            <w:pPr>
              <w:spacing w:line="360" w:lineRule="auto"/>
              <w:ind w:firstLine="482" w:firstLineChars="200"/>
              <w:rPr>
                <w:rFonts w:hint="eastAsia"/>
                <w:b/>
                <w:bCs/>
                <w:sz w:val="24"/>
              </w:rPr>
            </w:pPr>
            <w:r>
              <w:rPr>
                <w:rFonts w:hint="eastAsia"/>
                <w:b/>
                <w:bCs/>
                <w:sz w:val="24"/>
              </w:rPr>
              <w:t>4.2</w:t>
            </w:r>
            <w:r>
              <w:rPr>
                <w:b/>
                <w:bCs/>
                <w:sz w:val="24"/>
              </w:rPr>
              <w:t>固体废弃物环境影响分析</w:t>
            </w:r>
          </w:p>
          <w:p w14:paraId="52213690">
            <w:pPr>
              <w:spacing w:line="360" w:lineRule="auto"/>
              <w:ind w:firstLine="482" w:firstLineChars="200"/>
              <w:rPr>
                <w:b/>
                <w:bCs/>
                <w:sz w:val="24"/>
              </w:rPr>
            </w:pPr>
            <w:r>
              <w:rPr>
                <w:rFonts w:hint="eastAsia"/>
                <w:b/>
                <w:bCs/>
                <w:sz w:val="24"/>
              </w:rPr>
              <w:t>（1）</w:t>
            </w:r>
            <w:r>
              <w:rPr>
                <w:b/>
                <w:bCs/>
                <w:sz w:val="24"/>
              </w:rPr>
              <w:t>生活垃圾污染防治措施</w:t>
            </w:r>
          </w:p>
          <w:p w14:paraId="470F5863">
            <w:pPr>
              <w:spacing w:line="360" w:lineRule="auto"/>
              <w:ind w:firstLine="480" w:firstLineChars="200"/>
              <w:rPr>
                <w:color w:val="auto"/>
                <w:sz w:val="24"/>
              </w:rPr>
            </w:pPr>
            <w:r>
              <w:rPr>
                <w:color w:val="auto"/>
                <w:sz w:val="24"/>
              </w:rPr>
              <w:t>生活垃圾用垃圾桶集中收集，委托环卫部门每日清运处理。</w:t>
            </w:r>
          </w:p>
          <w:p w14:paraId="13F2B488">
            <w:pPr>
              <w:spacing w:line="360" w:lineRule="auto"/>
              <w:ind w:firstLine="482" w:firstLineChars="200"/>
              <w:rPr>
                <w:b/>
                <w:bCs/>
                <w:color w:val="auto"/>
                <w:sz w:val="24"/>
                <w:highlight w:val="none"/>
              </w:rPr>
            </w:pPr>
            <w:r>
              <w:rPr>
                <w:rFonts w:hint="eastAsia"/>
                <w:b/>
                <w:bCs/>
                <w:color w:val="auto"/>
                <w:sz w:val="24"/>
                <w:highlight w:val="none"/>
              </w:rPr>
              <w:t>（2）</w:t>
            </w:r>
            <w:r>
              <w:rPr>
                <w:b/>
                <w:bCs/>
                <w:color w:val="auto"/>
                <w:sz w:val="24"/>
                <w:highlight w:val="none"/>
              </w:rPr>
              <w:t>一般固废污染防治措施</w:t>
            </w:r>
          </w:p>
          <w:p w14:paraId="4498C63B">
            <w:pPr>
              <w:pStyle w:val="23"/>
              <w:ind w:firstLine="480" w:firstLineChars="200"/>
              <w:rPr>
                <w:rFonts w:ascii="Times New Roman" w:hAnsi="Times New Roman"/>
                <w:b w:val="0"/>
                <w:color w:val="auto"/>
              </w:rPr>
            </w:pPr>
            <w:r>
              <w:rPr>
                <w:rFonts w:hint="eastAsia"/>
                <w:b w:val="0"/>
                <w:bCs/>
                <w:color w:val="auto"/>
                <w:szCs w:val="21"/>
                <w:highlight w:val="none"/>
                <w:lang w:val="en-US" w:eastAsia="zh-CN"/>
              </w:rPr>
              <w:t>位于院区东侧，设置一般固废暂存间，</w:t>
            </w:r>
            <w:r>
              <w:rPr>
                <w:rFonts w:hint="eastAsia"/>
                <w:b w:val="0"/>
                <w:bCs/>
                <w:color w:val="auto"/>
                <w:szCs w:val="21"/>
                <w:highlight w:val="none"/>
              </w:rPr>
              <w:t>面积约</w:t>
            </w:r>
            <w:r>
              <w:rPr>
                <w:rFonts w:hint="eastAsia"/>
                <w:b w:val="0"/>
                <w:bCs/>
                <w:color w:val="auto"/>
                <w:szCs w:val="21"/>
                <w:highlight w:val="none"/>
                <w:lang w:val="en-US" w:eastAsia="zh-CN"/>
              </w:rPr>
              <w:t>1</w:t>
            </w:r>
            <w:r>
              <w:rPr>
                <w:rFonts w:hint="eastAsia"/>
                <w:b w:val="0"/>
                <w:bCs/>
                <w:color w:val="auto"/>
                <w:szCs w:val="21"/>
                <w:highlight w:val="none"/>
              </w:rPr>
              <w:t>0m</w:t>
            </w:r>
            <w:r>
              <w:rPr>
                <w:rFonts w:ascii="Times" w:hAnsi="Times"/>
                <w:b w:val="0"/>
                <w:bCs/>
                <w:color w:val="auto"/>
                <w:szCs w:val="21"/>
                <w:highlight w:val="none"/>
                <w:vertAlign w:val="superscript"/>
              </w:rPr>
              <w:t>2</w:t>
            </w:r>
            <w:r>
              <w:rPr>
                <w:rFonts w:hint="eastAsia" w:ascii="Times" w:hAnsi="Times"/>
                <w:b w:val="0"/>
                <w:bCs/>
                <w:color w:val="auto"/>
                <w:szCs w:val="21"/>
                <w:highlight w:val="none"/>
              </w:rPr>
              <w:t>，</w:t>
            </w:r>
            <w:r>
              <w:rPr>
                <w:rFonts w:ascii="Times New Roman" w:hAnsi="Times New Roman"/>
                <w:b w:val="0"/>
                <w:color w:val="auto"/>
                <w:highlight w:val="none"/>
              </w:rPr>
              <w:t>本项目建成后，固体废物处理处置及综合利用率达到100%，不会对厂区外环境</w:t>
            </w:r>
            <w:r>
              <w:rPr>
                <w:rFonts w:ascii="Times New Roman" w:hAnsi="Times New Roman"/>
                <w:b w:val="0"/>
                <w:color w:val="auto"/>
              </w:rPr>
              <w:t>产生影响。根据国家对工业固废，尤其是危险废物处置</w:t>
            </w:r>
            <w:r>
              <w:rPr>
                <w:rFonts w:hint="eastAsia" w:ascii="Times New Roman" w:hAnsi="Times New Roman"/>
                <w:b w:val="0"/>
                <w:color w:val="auto"/>
                <w:lang w:eastAsia="zh-CN"/>
              </w:rPr>
              <w:t>减量化、资源化、无害化</w:t>
            </w:r>
            <w:r>
              <w:rPr>
                <w:rFonts w:ascii="Times New Roman" w:hAnsi="Times New Roman"/>
                <w:b w:val="0"/>
                <w:color w:val="auto"/>
              </w:rPr>
              <w:t>的技术政策，建设单位应优先对各类可回收工业固废进行回收利用，对无法利用的部分交由专业单位处理或处置。</w:t>
            </w:r>
          </w:p>
          <w:p w14:paraId="394A0CC6">
            <w:pPr>
              <w:pStyle w:val="23"/>
              <w:numPr>
                <w:ilvl w:val="0"/>
                <w:numId w:val="0"/>
              </w:numPr>
              <w:ind w:firstLine="482" w:firstLineChars="200"/>
              <w:rPr>
                <w:rFonts w:ascii="Times New Roman" w:hAnsi="Times New Roman"/>
                <w:color w:val="auto"/>
              </w:rPr>
            </w:pPr>
            <w:r>
              <w:rPr>
                <w:rFonts w:hint="eastAsia" w:ascii="Times New Roman" w:hAnsi="Times New Roman"/>
                <w:color w:val="auto"/>
                <w:lang w:eastAsia="zh-CN"/>
              </w:rPr>
              <w:t>（</w:t>
            </w:r>
            <w:r>
              <w:rPr>
                <w:rFonts w:hint="eastAsia" w:ascii="Times New Roman" w:hAnsi="Times New Roman"/>
                <w:color w:val="auto"/>
                <w:lang w:val="en-US" w:eastAsia="zh-CN"/>
              </w:rPr>
              <w:t>3</w:t>
            </w:r>
            <w:r>
              <w:rPr>
                <w:rFonts w:hint="eastAsia" w:ascii="Times New Roman" w:hAnsi="Times New Roman"/>
                <w:color w:val="auto"/>
                <w:lang w:eastAsia="zh-CN"/>
              </w:rPr>
              <w:t>）</w:t>
            </w:r>
            <w:r>
              <w:rPr>
                <w:rFonts w:ascii="Times New Roman" w:hAnsi="Times New Roman"/>
                <w:color w:val="auto"/>
              </w:rPr>
              <w:t xml:space="preserve">危险固废污染防治措施 </w:t>
            </w:r>
          </w:p>
          <w:p w14:paraId="01FFA0C1">
            <w:pPr>
              <w:pStyle w:val="11"/>
              <w:spacing w:line="360" w:lineRule="auto"/>
              <w:ind w:left="0" w:firstLine="482" w:firstLineChars="200"/>
              <w:rPr>
                <w:rFonts w:hint="eastAsia"/>
                <w:b/>
                <w:bCs/>
                <w:color w:val="auto"/>
                <w:sz w:val="24"/>
                <w:szCs w:val="24"/>
                <w:lang w:val="en-US" w:eastAsia="zh-CN"/>
              </w:rPr>
            </w:pPr>
            <w:r>
              <w:rPr>
                <w:rFonts w:hint="eastAsia"/>
                <w:b/>
                <w:bCs/>
                <w:color w:val="auto"/>
                <w:sz w:val="24"/>
                <w:szCs w:val="24"/>
                <w:lang w:val="en-US" w:eastAsia="zh-CN"/>
              </w:rPr>
              <w:t>1）医疗废物</w:t>
            </w:r>
          </w:p>
          <w:p w14:paraId="2C0C8857">
            <w:pPr>
              <w:spacing w:line="360" w:lineRule="auto"/>
              <w:ind w:firstLine="480" w:firstLineChars="200"/>
              <w:rPr>
                <w:rFonts w:hint="eastAsia"/>
                <w:sz w:val="24"/>
                <w:lang w:val="en-US" w:eastAsia="zh-CN"/>
              </w:rPr>
            </w:pPr>
            <w:r>
              <w:rPr>
                <w:rFonts w:hint="eastAsia"/>
                <w:sz w:val="24"/>
                <w:highlight w:val="none"/>
                <w:lang w:val="en-US" w:eastAsia="zh-CN"/>
              </w:rPr>
              <w:t>位于院区东侧，设置1处医疗废物暂存间，占</w:t>
            </w:r>
            <w:r>
              <w:rPr>
                <w:rFonts w:hint="eastAsia"/>
                <w:sz w:val="24"/>
                <w:lang w:val="en-US" w:eastAsia="zh-CN"/>
              </w:rPr>
              <w:t>地面积30m</w:t>
            </w:r>
            <w:r>
              <w:rPr>
                <w:rFonts w:hint="eastAsia"/>
                <w:sz w:val="24"/>
                <w:vertAlign w:val="superscript"/>
                <w:lang w:val="en-US" w:eastAsia="zh-CN"/>
              </w:rPr>
              <w:t>2</w:t>
            </w:r>
            <w:r>
              <w:rPr>
                <w:rFonts w:hint="eastAsia"/>
                <w:sz w:val="24"/>
                <w:lang w:val="en-US" w:eastAsia="zh-CN"/>
              </w:rPr>
              <w:t>，医疗废物暂存的建设应满足根据《医疗废物管理条例》《危险废物贮存污染控制标准》（GB18597-2023）、《关于印发医疗机构废弃物综合治理工作方案的通知》（国卫医发〔2020〕3号）等要求，具体如下。</w:t>
            </w:r>
          </w:p>
          <w:p w14:paraId="6EABB2AD">
            <w:pPr>
              <w:pStyle w:val="20"/>
              <w:spacing w:line="360" w:lineRule="auto"/>
              <w:ind w:firstLine="482"/>
              <w:rPr>
                <w:rFonts w:ascii="Times New Roman" w:hAnsi="Times New Roman"/>
                <w:b/>
                <w:bCs/>
              </w:rPr>
            </w:pPr>
            <w:r>
              <w:rPr>
                <w:rFonts w:hint="eastAsia" w:cs="宋体"/>
                <w:b/>
                <w:bCs/>
                <w:lang w:bidi="ar"/>
              </w:rPr>
              <w:t>①</w:t>
            </w:r>
            <w:r>
              <w:rPr>
                <w:rFonts w:ascii="Times New Roman" w:hAnsi="Times New Roman"/>
                <w:b/>
                <w:bCs/>
                <w:lang w:bidi="ar"/>
              </w:rPr>
              <w:t>收集容器的规定</w:t>
            </w:r>
          </w:p>
          <w:p w14:paraId="620335D0">
            <w:pPr>
              <w:pStyle w:val="20"/>
              <w:spacing w:line="360" w:lineRule="auto"/>
              <w:ind w:firstLine="480"/>
              <w:rPr>
                <w:rFonts w:ascii="Times New Roman" w:hAnsi="Times New Roman"/>
              </w:rPr>
            </w:pPr>
            <w:r>
              <w:rPr>
                <w:rFonts w:ascii="Times New Roman" w:hAnsi="Times New Roman"/>
                <w:lang w:bidi="ar"/>
              </w:rPr>
              <w:t>收集容器应符合《医疗废物专用包装袋、容器和警示标志标准》（HJ421-2008）的要求。包装袋在正常使用情况下，不应出现渗漏、破裂和穿孔；包装袋容积大小应适中，便于操作，配合周转箱（桶）运输；医疗废物包装袋的明显处应印制警示标志和警告语。</w:t>
            </w:r>
          </w:p>
          <w:p w14:paraId="6BEA403F">
            <w:pPr>
              <w:pStyle w:val="20"/>
              <w:spacing w:line="360" w:lineRule="auto"/>
              <w:ind w:firstLine="480"/>
              <w:rPr>
                <w:rFonts w:ascii="Times New Roman" w:hAnsi="Times New Roman"/>
              </w:rPr>
            </w:pPr>
            <w:r>
              <w:rPr>
                <w:rFonts w:ascii="Times New Roman" w:hAnsi="Times New Roman"/>
                <w:lang w:bidi="ar"/>
              </w:rPr>
              <w:t>包装袋外观质量：表面基本平整、无皱褶、污迹和杂质，无划痕、气泡、缩孔、针孔以及其他缺陷；包装袋物理机械性能应符合相应的规定。</w:t>
            </w:r>
          </w:p>
          <w:p w14:paraId="2514DC67">
            <w:pPr>
              <w:pStyle w:val="20"/>
              <w:spacing w:line="360" w:lineRule="auto"/>
              <w:ind w:firstLine="480"/>
              <w:rPr>
                <w:rFonts w:hint="eastAsia" w:ascii="Times New Roman" w:hAnsi="Times New Roman" w:eastAsia="宋体"/>
                <w:lang w:eastAsia="zh-CN"/>
              </w:rPr>
            </w:pPr>
            <w:r>
              <w:rPr>
                <w:rFonts w:ascii="Times New Roman" w:hAnsi="Times New Roman"/>
                <w:sz w:val="24"/>
                <w:lang w:bidi="ar"/>
              </w:rPr>
              <w:t>利器盒整体为硬质材料制成，封闭且防刺穿，以保证在正常情况下，利器盒内盛装物不撒漏，并且利器盒一旦被封口，在不破坏的情况下无法被再次打</w:t>
            </w:r>
            <w:r>
              <w:rPr>
                <w:rFonts w:ascii="Times New Roman" w:hAnsi="Times New Roman"/>
                <w:lang w:bidi="ar"/>
              </w:rPr>
              <w:t>开；利器盒整体颜色为淡黄，颜色应符合GB/T3181中Y06的要求。利器盒侧面明显处应印制警示标志，警告语为</w:t>
            </w:r>
            <w:r>
              <w:rPr>
                <w:rFonts w:hint="eastAsia" w:ascii="Times New Roman" w:hAnsi="Times New Roman"/>
                <w:lang w:eastAsia="zh-CN" w:bidi="ar"/>
              </w:rPr>
              <w:t>“</w:t>
            </w:r>
            <w:r>
              <w:rPr>
                <w:rFonts w:ascii="Times New Roman" w:hAnsi="Times New Roman"/>
                <w:lang w:bidi="ar"/>
              </w:rPr>
              <w:t>警告！损伤性废物</w:t>
            </w:r>
            <w:r>
              <w:rPr>
                <w:rFonts w:hint="eastAsia" w:ascii="Times New Roman" w:hAnsi="Times New Roman"/>
                <w:lang w:eastAsia="zh-CN" w:bidi="ar"/>
              </w:rPr>
              <w:t>”。</w:t>
            </w:r>
          </w:p>
          <w:p w14:paraId="53FB2AA0">
            <w:pPr>
              <w:pStyle w:val="20"/>
              <w:spacing w:line="360" w:lineRule="auto"/>
              <w:ind w:firstLine="480"/>
              <w:rPr>
                <w:rFonts w:ascii="Times New Roman" w:hAnsi="Times New Roman"/>
              </w:rPr>
            </w:pPr>
            <w:r>
              <w:rPr>
                <w:rFonts w:ascii="Times New Roman" w:hAnsi="Times New Roman"/>
                <w:lang w:bidi="ar"/>
              </w:rPr>
              <w:t>周转箱（桶）整体应防液体渗漏，应便于清洗和消毒；周转箱（桶）整体为淡</w:t>
            </w:r>
            <w:r>
              <w:rPr>
                <w:rFonts w:hint="eastAsia"/>
                <w:lang w:eastAsia="zh-CN" w:bidi="ar"/>
              </w:rPr>
              <w:t>黄色</w:t>
            </w:r>
            <w:r>
              <w:rPr>
                <w:rFonts w:ascii="Times New Roman" w:hAnsi="Times New Roman"/>
                <w:lang w:bidi="ar"/>
              </w:rPr>
              <w:t>，颜色应符合GB/T3181中Y06的要求。箱体侧面或桶身明显处应印（喷）制警示标志和警告语；周转箱整体装配密闭，箱体与箱盖能牢固扣紧，扣紧后不分离；表面光滑平整，完整无裂损，没有明显凹陷，边缘及提手无毛刺；周转箱的箱底和顶部有配合牙槽，具有防滑功能；周转箱物理机械性能应符合相应规定。</w:t>
            </w:r>
          </w:p>
          <w:p w14:paraId="40FB9603">
            <w:pPr>
              <w:pStyle w:val="20"/>
              <w:spacing w:line="360" w:lineRule="auto"/>
              <w:ind w:firstLine="482"/>
              <w:rPr>
                <w:rFonts w:ascii="Times New Roman" w:hAnsi="Times New Roman"/>
                <w:b/>
                <w:bCs/>
              </w:rPr>
            </w:pPr>
            <w:r>
              <w:rPr>
                <w:rFonts w:hint="eastAsia" w:cs="宋体"/>
                <w:b/>
                <w:bCs/>
                <w:lang w:bidi="ar"/>
              </w:rPr>
              <w:t>②</w:t>
            </w:r>
            <w:r>
              <w:rPr>
                <w:rFonts w:ascii="Times New Roman" w:hAnsi="Times New Roman"/>
                <w:b/>
                <w:bCs/>
                <w:lang w:bidi="ar"/>
              </w:rPr>
              <w:t>分类收集的措施</w:t>
            </w:r>
          </w:p>
          <w:p w14:paraId="4351192D">
            <w:pPr>
              <w:spacing w:line="360" w:lineRule="auto"/>
              <w:ind w:firstLine="480" w:firstLineChars="200"/>
              <w:rPr>
                <w:rFonts w:hint="eastAsia" w:ascii="Times New Roman" w:hAnsi="Times New Roman"/>
                <w:sz w:val="24"/>
                <w:lang w:bidi="ar"/>
              </w:rPr>
            </w:pPr>
            <w:r>
              <w:rPr>
                <w:rFonts w:ascii="Times New Roman" w:hAnsi="Times New Roman"/>
                <w:sz w:val="24"/>
              </w:rPr>
              <w:t>按照《医疗废物分类目录》等要求制定具体的分类收集清单，贮存设施应根据危险废物的类别、数量、形态、物理化学性质和污染防治等要求设置必要的贮存分区，避免不相容的危险废物接触、混合。</w:t>
            </w:r>
            <w:r>
              <w:rPr>
                <w:rFonts w:ascii="Times New Roman" w:hAnsi="Times New Roman"/>
                <w:sz w:val="24"/>
                <w:lang w:bidi="ar"/>
              </w:rPr>
              <w:t>根据医疗废物的类别，将医疗废物分置于符合《医疗废物专用包装袋、容器和警示标志标准》的包装物或者容器内。在盛装医疗废物前，应当对医疗废物包装物或者容器进行认真检查，确保无破损、渗漏和</w:t>
            </w:r>
            <w:r>
              <w:rPr>
                <w:rFonts w:hint="eastAsia"/>
                <w:sz w:val="24"/>
                <w:lang w:eastAsia="zh-CN" w:bidi="ar"/>
              </w:rPr>
              <w:t>其他缺陷</w:t>
            </w:r>
            <w:r>
              <w:rPr>
                <w:rFonts w:ascii="Times New Roman" w:hAnsi="Times New Roman"/>
                <w:sz w:val="24"/>
                <w:lang w:bidi="ar"/>
              </w:rPr>
              <w:t>。感染性废物、病理性废物、损伤性废物、药物性废物及化学性废物不能混合收集</w:t>
            </w:r>
            <w:r>
              <w:rPr>
                <w:rFonts w:hint="eastAsia" w:ascii="Times New Roman" w:hAnsi="Times New Roman"/>
                <w:sz w:val="24"/>
                <w:lang w:bidi="ar"/>
              </w:rPr>
              <w:t>。</w:t>
            </w:r>
          </w:p>
          <w:p w14:paraId="29AE7003">
            <w:pPr>
              <w:spacing w:line="360" w:lineRule="auto"/>
              <w:ind w:firstLine="482" w:firstLineChars="200"/>
              <w:rPr>
                <w:rFonts w:hint="default" w:ascii="Times New Roman" w:hAnsi="Times New Roman"/>
                <w:b/>
                <w:bCs/>
                <w:sz w:val="24"/>
                <w:lang w:val="en-US" w:eastAsia="zh-CN" w:bidi="ar"/>
              </w:rPr>
            </w:pPr>
            <w:r>
              <w:rPr>
                <w:rFonts w:hint="default" w:ascii="Times New Roman" w:hAnsi="Times New Roman"/>
                <w:b/>
                <w:bCs/>
                <w:sz w:val="24"/>
                <w:lang w:val="en-US" w:eastAsia="zh-CN" w:bidi="ar"/>
              </w:rPr>
              <w:t>③贮存措施</w:t>
            </w:r>
          </w:p>
          <w:p w14:paraId="1608A611">
            <w:pPr>
              <w:spacing w:line="360" w:lineRule="auto"/>
              <w:ind w:firstLine="480" w:firstLineChars="200"/>
              <w:rPr>
                <w:rFonts w:hint="default" w:ascii="Times New Roman" w:hAnsi="Times New Roman"/>
                <w:sz w:val="24"/>
                <w:lang w:val="en-US" w:eastAsia="zh-CN" w:bidi="ar"/>
              </w:rPr>
            </w:pPr>
            <w:r>
              <w:rPr>
                <w:rFonts w:hint="default" w:ascii="Times New Roman" w:hAnsi="Times New Roman"/>
                <w:sz w:val="24"/>
                <w:lang w:val="en-US" w:eastAsia="zh-CN" w:bidi="ar"/>
              </w:rPr>
              <w:t>医疗废物的暂时贮存设施、设备应当定期消毒和清洁，应满足《危险废物贮存污染控制标准》（GB18597-2023）的要求：</w:t>
            </w:r>
          </w:p>
          <w:p w14:paraId="675CF746">
            <w:pPr>
              <w:spacing w:line="360" w:lineRule="auto"/>
              <w:ind w:firstLine="480" w:firstLineChars="200"/>
              <w:rPr>
                <w:rFonts w:hint="default" w:ascii="Times New Roman" w:hAnsi="Times New Roman"/>
                <w:sz w:val="24"/>
                <w:lang w:val="en-US" w:eastAsia="zh-CN" w:bidi="ar"/>
              </w:rPr>
            </w:pPr>
            <w:r>
              <w:rPr>
                <w:rFonts w:hint="default" w:ascii="Times New Roman" w:hAnsi="Times New Roman"/>
                <w:sz w:val="24"/>
                <w:lang w:val="en-US" w:eastAsia="zh-CN" w:bidi="ar"/>
              </w:rPr>
              <w:t>a. 贮存设施应根据危险废物的形态、物理化学性质、包装形式和污染物迁移途径，采取必要的防风、防晒、防雨、防漏、防渗、防腐以及其他环境污染防治措施，不应露天堆放危险废物。</w:t>
            </w:r>
          </w:p>
          <w:p w14:paraId="2588013C">
            <w:pPr>
              <w:spacing w:line="360" w:lineRule="auto"/>
              <w:ind w:firstLine="480" w:firstLineChars="200"/>
              <w:rPr>
                <w:rFonts w:hint="default" w:ascii="Times New Roman" w:hAnsi="Times New Roman"/>
                <w:sz w:val="24"/>
                <w:lang w:val="en-US" w:eastAsia="zh-CN" w:bidi="ar"/>
              </w:rPr>
            </w:pPr>
            <w:r>
              <w:rPr>
                <w:rFonts w:hint="default" w:ascii="Times New Roman" w:hAnsi="Times New Roman"/>
                <w:sz w:val="24"/>
                <w:lang w:val="en-US" w:eastAsia="zh-CN" w:bidi="ar"/>
              </w:rPr>
              <w:t>b.有严密的封闭措施，设专（兼）职人员管理，贮存设施应采取技术和管理措施防止无关人员进入或接触医疗废物。</w:t>
            </w:r>
          </w:p>
          <w:p w14:paraId="64CBB619">
            <w:pPr>
              <w:spacing w:line="360" w:lineRule="auto"/>
              <w:ind w:firstLine="480" w:firstLineChars="200"/>
              <w:rPr>
                <w:rFonts w:hint="default" w:ascii="Times New Roman" w:hAnsi="Times New Roman"/>
                <w:sz w:val="24"/>
                <w:lang w:val="en-US" w:eastAsia="zh-CN" w:bidi="ar"/>
              </w:rPr>
            </w:pPr>
            <w:r>
              <w:rPr>
                <w:rFonts w:hint="default" w:ascii="Times New Roman" w:hAnsi="Times New Roman"/>
                <w:sz w:val="24"/>
                <w:lang w:val="en-US" w:eastAsia="zh-CN" w:bidi="ar"/>
              </w:rPr>
              <w:t>c.有防鼠、防蚊蝇、防蟑螂的安全措施；防止渗漏和雨水冲刷；易于清洁和消毒；避免阳光直射。</w:t>
            </w:r>
          </w:p>
          <w:p w14:paraId="63B7DE77">
            <w:pPr>
              <w:spacing w:line="360" w:lineRule="auto"/>
              <w:ind w:firstLine="480" w:firstLineChars="200"/>
              <w:rPr>
                <w:rFonts w:hint="default" w:ascii="Times New Roman" w:hAnsi="Times New Roman"/>
                <w:sz w:val="24"/>
                <w:lang w:val="en-US" w:eastAsia="zh-CN" w:bidi="ar"/>
              </w:rPr>
            </w:pPr>
            <w:r>
              <w:rPr>
                <w:rFonts w:hint="default" w:ascii="Times New Roman" w:hAnsi="Times New Roman"/>
                <w:sz w:val="24"/>
                <w:lang w:val="en-US" w:eastAsia="zh-CN" w:bidi="ar"/>
              </w:rPr>
              <w:t>d.设有明显的医疗废物警示标识和</w:t>
            </w:r>
            <w:r>
              <w:rPr>
                <w:rFonts w:hint="eastAsia" w:ascii="Times New Roman" w:hAnsi="Times New Roman"/>
                <w:sz w:val="24"/>
                <w:lang w:val="en-US" w:eastAsia="zh-CN" w:bidi="ar"/>
              </w:rPr>
              <w:t>“</w:t>
            </w:r>
            <w:r>
              <w:rPr>
                <w:rFonts w:hint="default" w:ascii="Times New Roman" w:hAnsi="Times New Roman"/>
                <w:sz w:val="24"/>
                <w:lang w:val="en-US" w:eastAsia="zh-CN" w:bidi="ar"/>
              </w:rPr>
              <w:t>禁止吸烟、饮食</w:t>
            </w:r>
            <w:r>
              <w:rPr>
                <w:rFonts w:hint="eastAsia" w:ascii="Times New Roman" w:hAnsi="Times New Roman"/>
                <w:sz w:val="24"/>
                <w:lang w:val="en-US" w:eastAsia="zh-CN" w:bidi="ar"/>
              </w:rPr>
              <w:t>”</w:t>
            </w:r>
            <w:r>
              <w:rPr>
                <w:rFonts w:hint="default" w:ascii="Times New Roman" w:hAnsi="Times New Roman"/>
                <w:sz w:val="24"/>
                <w:lang w:val="en-US" w:eastAsia="zh-CN" w:bidi="ar"/>
              </w:rPr>
              <w:t>的警示标识。</w:t>
            </w:r>
          </w:p>
          <w:p w14:paraId="06FAB8C0">
            <w:pPr>
              <w:spacing w:line="360" w:lineRule="auto"/>
              <w:ind w:firstLine="480" w:firstLineChars="200"/>
              <w:rPr>
                <w:rFonts w:hint="default" w:ascii="Times New Roman" w:hAnsi="Times New Roman"/>
                <w:sz w:val="24"/>
                <w:lang w:val="en-US" w:eastAsia="zh-CN" w:bidi="ar"/>
              </w:rPr>
            </w:pPr>
            <w:r>
              <w:rPr>
                <w:rFonts w:hint="default" w:ascii="Times New Roman" w:hAnsi="Times New Roman"/>
                <w:sz w:val="24"/>
                <w:lang w:val="en-US" w:eastAsia="zh-CN" w:bidi="ar"/>
              </w:rPr>
              <w:t>e.暂时贮存病理性废物，应当具备低温贮存或者防腐条件。</w:t>
            </w:r>
          </w:p>
          <w:p w14:paraId="56BE77BB">
            <w:pPr>
              <w:pStyle w:val="11"/>
              <w:spacing w:line="360" w:lineRule="auto"/>
              <w:ind w:left="0" w:firstLine="480" w:firstLineChars="200"/>
              <w:rPr>
                <w:rFonts w:hint="eastAsia"/>
                <w:color w:val="auto"/>
                <w:sz w:val="24"/>
                <w:szCs w:val="24"/>
              </w:rPr>
            </w:pPr>
            <w:r>
              <w:rPr>
                <w:rFonts w:hint="eastAsia"/>
                <w:color w:val="auto"/>
                <w:sz w:val="24"/>
                <w:szCs w:val="24"/>
              </w:rPr>
              <w:t>f.医院医疗废物每日集中收集至医疗废物暂存间。暂时贮存的时间不得超过2天。</w:t>
            </w:r>
          </w:p>
          <w:p w14:paraId="4B9D63C2">
            <w:pPr>
              <w:pStyle w:val="20"/>
              <w:ind w:firstLine="482"/>
              <w:rPr>
                <w:rFonts w:ascii="Times New Roman" w:hAnsi="Times New Roman"/>
                <w:b/>
                <w:bCs/>
                <w:lang w:bidi="ar"/>
              </w:rPr>
            </w:pPr>
            <w:r>
              <w:rPr>
                <w:rFonts w:hint="eastAsia" w:cs="宋体"/>
                <w:b/>
                <w:bCs/>
                <w:lang w:bidi="ar"/>
              </w:rPr>
              <w:t>④</w:t>
            </w:r>
            <w:r>
              <w:rPr>
                <w:rFonts w:ascii="Times New Roman" w:hAnsi="Times New Roman"/>
                <w:b/>
                <w:bCs/>
                <w:lang w:bidi="ar"/>
              </w:rPr>
              <w:t>医疗废物处置、</w:t>
            </w:r>
            <w:r>
              <w:rPr>
                <w:rFonts w:ascii="Times New Roman" w:hAnsi="Times New Roman"/>
                <w:b/>
                <w:bCs/>
              </w:rPr>
              <w:t>转移、运输措施</w:t>
            </w:r>
          </w:p>
          <w:p w14:paraId="3CAC035C">
            <w:pPr>
              <w:pStyle w:val="20"/>
              <w:spacing w:line="360" w:lineRule="auto"/>
              <w:ind w:firstLine="480"/>
              <w:rPr>
                <w:rFonts w:ascii="Times New Roman" w:hAnsi="Times New Roman"/>
              </w:rPr>
            </w:pPr>
            <w:r>
              <w:rPr>
                <w:rFonts w:ascii="Times New Roman" w:hAnsi="Times New Roman"/>
              </w:rPr>
              <w:t>严格落实危险废物申报登记和管理计划备案要求，依法向生态环境部门申报医疗废物的种类、产生量、流向、贮存和处置等情况。危险废物转移过程应按《危险废物转移管理办法》执行；从事危险废物收集、贮存、运输的单位，应持有危险废物经营许可证，按照其许可证的经营范围组织实施，同时应获得交通运输部门颁发的危险货物运输资质。及时告知并将医疗废物交由持有危险废物经营许可证的集中处置单位，执行转移联单并做好交接登记，资料保存不少于3年。</w:t>
            </w:r>
          </w:p>
          <w:p w14:paraId="35509DA2">
            <w:pPr>
              <w:pStyle w:val="20"/>
              <w:spacing w:line="360" w:lineRule="auto"/>
              <w:ind w:firstLine="482"/>
              <w:rPr>
                <w:rFonts w:ascii="Times New Roman" w:hAnsi="Times New Roman"/>
                <w:b/>
              </w:rPr>
            </w:pPr>
            <w:r>
              <w:rPr>
                <w:rFonts w:hint="eastAsia" w:cs="宋体"/>
                <w:b/>
              </w:rPr>
              <w:t>⑤</w:t>
            </w:r>
            <w:r>
              <w:rPr>
                <w:rFonts w:ascii="Times New Roman" w:hAnsi="Times New Roman"/>
                <w:b/>
              </w:rPr>
              <w:t>医疗废物环境管理要求</w:t>
            </w:r>
          </w:p>
          <w:p w14:paraId="541D31CD">
            <w:pPr>
              <w:pStyle w:val="20"/>
              <w:spacing w:line="360" w:lineRule="auto"/>
              <w:ind w:firstLine="480"/>
              <w:rPr>
                <w:rFonts w:ascii="Times New Roman" w:hAnsi="Times New Roman"/>
                <w:kern w:val="0"/>
              </w:rPr>
            </w:pPr>
            <w:r>
              <w:rPr>
                <w:rFonts w:ascii="Times New Roman" w:hAnsi="Times New Roman"/>
              </w:rPr>
              <w:t>项目在日常运营中，应按照《危险废物产生单位管理计划制定指南》的相关要求制定固废管理计划，将医疗废物产生、贮存、利用、处置等情况纳入生产记录。加强对危险废物包装、贮存的管理，严格执行危险废物转移联单制度，禁止将危险废物提供或委托给无危险废物经营</w:t>
            </w:r>
            <w:r>
              <w:rPr>
                <w:rFonts w:ascii="Times New Roman" w:hAnsi="Times New Roman"/>
                <w:kern w:val="0"/>
              </w:rPr>
              <w:t>许可证的单位从事收集、贮存、利用、处置等经营活动。</w:t>
            </w:r>
          </w:p>
          <w:p w14:paraId="702969CD">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80" w:firstLineChars="200"/>
              <w:textAlignment w:val="auto"/>
              <w:rPr>
                <w:rFonts w:hint="eastAsia" w:ascii="Times New Roman" w:hAnsi="Times New Roman" w:cs="Times New Roman"/>
                <w:color w:val="auto"/>
                <w:sz w:val="24"/>
                <w:szCs w:val="24"/>
                <w:highlight w:val="none"/>
                <w:lang w:val="en-US" w:eastAsia="zh-CN"/>
              </w:rPr>
            </w:pPr>
            <w:r>
              <w:rPr>
                <w:rFonts w:hint="eastAsia" w:ascii="Times New Roman" w:hAnsi="Times New Roman"/>
                <w:bCs/>
                <w:color w:val="auto"/>
                <w:kern w:val="24"/>
                <w:sz w:val="24"/>
                <w:szCs w:val="24"/>
                <w:highlight w:val="none"/>
                <w:lang w:val="en-US" w:eastAsia="zh-CN"/>
              </w:rPr>
              <w:t>本</w:t>
            </w:r>
            <w:r>
              <w:rPr>
                <w:rFonts w:hint="default" w:ascii="Times New Roman" w:hAnsi="Times New Roman"/>
                <w:bCs/>
                <w:color w:val="auto"/>
                <w:kern w:val="24"/>
                <w:sz w:val="24"/>
                <w:szCs w:val="24"/>
                <w:highlight w:val="none"/>
                <w:lang w:val="en-US" w:eastAsia="zh-CN"/>
              </w:rPr>
              <w:t>项目医疗废物贮存间及储存容器上需要张贴标签，具体要求如下：</w:t>
            </w:r>
          </w:p>
          <w:p w14:paraId="06987136">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bCs/>
                <w:color w:val="auto"/>
                <w:sz w:val="21"/>
                <w:szCs w:val="21"/>
                <w:highlight w:val="none"/>
                <w:lang w:eastAsia="zh-CN"/>
              </w:rPr>
            </w:pPr>
            <w:r>
              <w:rPr>
                <w:rFonts w:hint="default" w:ascii="Times New Roman" w:hAnsi="Times New Roman" w:eastAsia="宋体" w:cs="Times New Roman"/>
                <w:b/>
                <w:bCs/>
                <w:color w:val="auto"/>
                <w:sz w:val="21"/>
                <w:szCs w:val="21"/>
                <w:highlight w:val="none"/>
                <w:lang w:eastAsia="zh-CN"/>
              </w:rPr>
              <w:t>表</w:t>
            </w:r>
            <w:r>
              <w:rPr>
                <w:rFonts w:hint="eastAsia" w:ascii="Times New Roman" w:hAnsi="Times New Roman" w:eastAsia="宋体" w:cs="Times New Roman"/>
                <w:b/>
                <w:bCs/>
                <w:color w:val="auto"/>
                <w:sz w:val="21"/>
                <w:szCs w:val="21"/>
                <w:highlight w:val="none"/>
                <w:lang w:val="en-US" w:eastAsia="zh-CN"/>
              </w:rPr>
              <w:t>4-1</w:t>
            </w:r>
            <w:r>
              <w:rPr>
                <w:rFonts w:hint="eastAsia" w:cs="Times New Roman"/>
                <w:b/>
                <w:bCs/>
                <w:color w:val="auto"/>
                <w:sz w:val="21"/>
                <w:szCs w:val="21"/>
                <w:highlight w:val="none"/>
                <w:lang w:val="en-US" w:eastAsia="zh-CN"/>
              </w:rPr>
              <w:t>6</w:t>
            </w:r>
            <w:r>
              <w:rPr>
                <w:rFonts w:hint="eastAsia" w:ascii="Times New Roman" w:hAnsi="Times New Roman" w:eastAsia="宋体" w:cs="Times New Roman"/>
                <w:b/>
                <w:bCs/>
                <w:color w:val="auto"/>
                <w:sz w:val="21"/>
                <w:szCs w:val="21"/>
                <w:highlight w:val="none"/>
                <w:lang w:val="en-US" w:eastAsia="zh-CN"/>
              </w:rPr>
              <w:t xml:space="preserve"> </w:t>
            </w:r>
            <w:r>
              <w:rPr>
                <w:rFonts w:hint="default" w:ascii="Times New Roman" w:hAnsi="Times New Roman" w:eastAsia="宋体" w:cs="Times New Roman"/>
                <w:b/>
                <w:bCs/>
                <w:color w:val="auto"/>
                <w:sz w:val="21"/>
                <w:szCs w:val="21"/>
                <w:highlight w:val="none"/>
                <w:lang w:val="en-US" w:eastAsia="zh-CN"/>
              </w:rPr>
              <w:t xml:space="preserve"> </w:t>
            </w:r>
            <w:r>
              <w:rPr>
                <w:rFonts w:hint="default" w:ascii="Times New Roman" w:hAnsi="Times New Roman" w:eastAsia="宋体" w:cs="Times New Roman"/>
                <w:b/>
                <w:bCs/>
                <w:color w:val="auto"/>
                <w:sz w:val="21"/>
                <w:szCs w:val="21"/>
                <w:highlight w:val="none"/>
                <w:lang w:eastAsia="zh-CN"/>
              </w:rPr>
              <w:t>医疗废物贮存间及储存容器标签示例</w:t>
            </w:r>
          </w:p>
          <w:tbl>
            <w:tblPr>
              <w:tblStyle w:val="14"/>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13" w:type="dxa"/>
                <w:bottom w:w="0" w:type="dxa"/>
                <w:right w:w="0" w:type="dxa"/>
              </w:tblCellMar>
            </w:tblPr>
            <w:tblGrid>
              <w:gridCol w:w="682"/>
              <w:gridCol w:w="1080"/>
              <w:gridCol w:w="2526"/>
              <w:gridCol w:w="3917"/>
            </w:tblGrid>
            <w:tr w14:paraId="2673CD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0" w:type="dxa"/>
                </w:tblCellMar>
              </w:tblPrEx>
              <w:trPr>
                <w:trHeight w:val="153" w:hRule="atLeast"/>
                <w:jc w:val="center"/>
              </w:trPr>
              <w:tc>
                <w:tcPr>
                  <w:tcW w:w="765" w:type="dxa"/>
                  <w:tcBorders>
                    <w:tl2br w:val="nil"/>
                    <w:tr2bl w:val="nil"/>
                  </w:tcBorders>
                  <w:noWrap w:val="0"/>
                  <w:vAlign w:val="center"/>
                </w:tcPr>
                <w:p w14:paraId="7AC27B03">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eastAsia="zh-CN"/>
                    </w:rPr>
                    <w:t>场所</w:t>
                  </w:r>
                </w:p>
              </w:tc>
              <w:tc>
                <w:tcPr>
                  <w:tcW w:w="1221" w:type="dxa"/>
                  <w:tcBorders>
                    <w:tl2br w:val="nil"/>
                    <w:tr2bl w:val="nil"/>
                  </w:tcBorders>
                  <w:noWrap w:val="0"/>
                  <w:vAlign w:val="center"/>
                </w:tcPr>
                <w:p w14:paraId="184E7C03">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eastAsia="zh-CN"/>
                    </w:rPr>
                    <w:t>悬挂位置</w:t>
                  </w:r>
                </w:p>
              </w:tc>
              <w:tc>
                <w:tcPr>
                  <w:tcW w:w="2884" w:type="dxa"/>
                  <w:tcBorders>
                    <w:tl2br w:val="nil"/>
                    <w:tr2bl w:val="nil"/>
                  </w:tcBorders>
                  <w:noWrap w:val="0"/>
                  <w:vAlign w:val="center"/>
                </w:tcPr>
                <w:p w14:paraId="1F9B8A02">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样式</w:t>
                  </w:r>
                </w:p>
              </w:tc>
              <w:tc>
                <w:tcPr>
                  <w:tcW w:w="4484" w:type="dxa"/>
                  <w:tcBorders>
                    <w:tl2br w:val="nil"/>
                    <w:tr2bl w:val="nil"/>
                  </w:tcBorders>
                  <w:noWrap w:val="0"/>
                  <w:vAlign w:val="center"/>
                </w:tcPr>
                <w:p w14:paraId="2AEB5ACE">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要求</w:t>
                  </w:r>
                </w:p>
              </w:tc>
            </w:tr>
            <w:tr w14:paraId="5AFE30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0" w:type="dxa"/>
                </w:tblCellMar>
              </w:tblPrEx>
              <w:trPr>
                <w:trHeight w:val="90" w:hRule="atLeast"/>
                <w:jc w:val="center"/>
              </w:trPr>
              <w:tc>
                <w:tcPr>
                  <w:tcW w:w="765" w:type="dxa"/>
                  <w:tcBorders>
                    <w:tl2br w:val="nil"/>
                    <w:tr2bl w:val="nil"/>
                  </w:tcBorders>
                  <w:noWrap w:val="0"/>
                  <w:vAlign w:val="center"/>
                </w:tcPr>
                <w:p w14:paraId="246EF9D3">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eastAsia="zh-CN"/>
                    </w:rPr>
                    <w:t>医疗废物贮存间</w:t>
                  </w:r>
                </w:p>
              </w:tc>
              <w:tc>
                <w:tcPr>
                  <w:tcW w:w="1221" w:type="dxa"/>
                  <w:tcBorders>
                    <w:tl2br w:val="nil"/>
                    <w:tr2bl w:val="nil"/>
                  </w:tcBorders>
                  <w:noWrap w:val="0"/>
                  <w:vAlign w:val="center"/>
                </w:tcPr>
                <w:p w14:paraId="4C5F8772">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eastAsia="zh-CN"/>
                    </w:rPr>
                    <w:t>室外（</w:t>
                  </w:r>
                  <w:r>
                    <w:rPr>
                      <w:rFonts w:hint="default" w:ascii="Times New Roman" w:hAnsi="Times New Roman" w:eastAsia="宋体" w:cs="Times New Roman"/>
                      <w:color w:val="auto"/>
                      <w:sz w:val="21"/>
                      <w:szCs w:val="21"/>
                      <w:highlight w:val="none"/>
                    </w:rPr>
                    <w:t>粘贴于门上或悬挂</w:t>
                  </w:r>
                  <w:r>
                    <w:rPr>
                      <w:rFonts w:hint="default" w:ascii="Times New Roman" w:hAnsi="Times New Roman" w:eastAsia="宋体" w:cs="Times New Roman"/>
                      <w:color w:val="auto"/>
                      <w:sz w:val="21"/>
                      <w:szCs w:val="21"/>
                      <w:highlight w:val="none"/>
                      <w:lang w:eastAsia="zh-CN"/>
                    </w:rPr>
                    <w:t>）</w:t>
                  </w:r>
                </w:p>
              </w:tc>
              <w:tc>
                <w:tcPr>
                  <w:tcW w:w="2884" w:type="dxa"/>
                  <w:tcBorders>
                    <w:tl2br w:val="nil"/>
                    <w:tr2bl w:val="nil"/>
                  </w:tcBorders>
                  <w:noWrap w:val="0"/>
                  <w:vAlign w:val="center"/>
                </w:tcPr>
                <w:p w14:paraId="76FE269D">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eastAsia="zh-CN"/>
                    </w:rPr>
                    <w:drawing>
                      <wp:inline distT="0" distB="0" distL="114300" distR="114300">
                        <wp:extent cx="1546225" cy="1493520"/>
                        <wp:effectExtent l="0" t="0" r="15875" b="11430"/>
                        <wp:docPr id="65" name="图片 42" descr="156440679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图片 42" descr="1564406792(1)"/>
                                <pic:cNvPicPr>
                                  <a:picLocks noChangeAspect="1"/>
                                </pic:cNvPicPr>
                              </pic:nvPicPr>
                              <pic:blipFill>
                                <a:blip r:embed="rId26"/>
                                <a:stretch>
                                  <a:fillRect/>
                                </a:stretch>
                              </pic:blipFill>
                              <pic:spPr>
                                <a:xfrm>
                                  <a:off x="0" y="0"/>
                                  <a:ext cx="1546225" cy="1493520"/>
                                </a:xfrm>
                                <a:prstGeom prst="rect">
                                  <a:avLst/>
                                </a:prstGeom>
                                <a:noFill/>
                                <a:ln>
                                  <a:noFill/>
                                </a:ln>
                              </pic:spPr>
                            </pic:pic>
                          </a:graphicData>
                        </a:graphic>
                      </wp:inline>
                    </w:drawing>
                  </w:r>
                </w:p>
              </w:tc>
              <w:tc>
                <w:tcPr>
                  <w:tcW w:w="4484" w:type="dxa"/>
                  <w:tcBorders>
                    <w:tl2br w:val="nil"/>
                    <w:tr2bl w:val="nil"/>
                  </w:tcBorders>
                  <w:noWrap w:val="0"/>
                  <w:vAlign w:val="center"/>
                </w:tcPr>
                <w:p w14:paraId="4D29072E">
                  <w:pPr>
                    <w:keepNext w:val="0"/>
                    <w:keepLines w:val="0"/>
                    <w:pageBreakBefore w:val="0"/>
                    <w:widowControl w:val="0"/>
                    <w:kinsoku/>
                    <w:wordWrap/>
                    <w:overflowPunct/>
                    <w:topLinePunct w:val="0"/>
                    <w:autoSpaceDE/>
                    <w:autoSpaceDN/>
                    <w:bidi w:val="0"/>
                    <w:adjustRightInd/>
                    <w:snapToGrid/>
                    <w:jc w:val="left"/>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eastAsia="zh-CN"/>
                    </w:rPr>
                    <w:t>说明：</w:t>
                  </w:r>
                  <w:r>
                    <w:rPr>
                      <w:rFonts w:hint="default" w:ascii="Times New Roman" w:hAnsi="Times New Roman" w:eastAsia="宋体" w:cs="Times New Roman"/>
                      <w:color w:val="auto"/>
                      <w:sz w:val="21"/>
                      <w:szCs w:val="21"/>
                      <w:highlight w:val="none"/>
                    </w:rPr>
                    <w:t>1</w:t>
                  </w:r>
                  <w:r>
                    <w:rPr>
                      <w:rFonts w:hint="eastAsia" w:cs="Times New Roman"/>
                      <w:color w:val="auto"/>
                      <w:sz w:val="21"/>
                      <w:szCs w:val="21"/>
                      <w:highlight w:val="none"/>
                      <w:lang w:val="en-US" w:eastAsia="zh-CN"/>
                    </w:rPr>
                    <w:t>.</w:t>
                  </w:r>
                  <w:r>
                    <w:rPr>
                      <w:rFonts w:hint="default" w:ascii="Times New Roman" w:hAnsi="Times New Roman" w:eastAsia="宋体" w:cs="Times New Roman"/>
                      <w:color w:val="auto"/>
                      <w:sz w:val="21"/>
                      <w:szCs w:val="21"/>
                      <w:highlight w:val="none"/>
                    </w:rPr>
                    <w:t>形状：等边三角形</w:t>
                  </w:r>
                </w:p>
                <w:p w14:paraId="0B46BB41">
                  <w:pPr>
                    <w:keepNext w:val="0"/>
                    <w:keepLines w:val="0"/>
                    <w:pageBreakBefore w:val="0"/>
                    <w:widowControl w:val="0"/>
                    <w:kinsoku/>
                    <w:wordWrap/>
                    <w:overflowPunct/>
                    <w:topLinePunct w:val="0"/>
                    <w:autoSpaceDE/>
                    <w:autoSpaceDN/>
                    <w:bidi w:val="0"/>
                    <w:adjustRightInd/>
                    <w:snapToGrid/>
                    <w:jc w:val="left"/>
                    <w:textAlignment w:val="auto"/>
                    <w:rPr>
                      <w:rFonts w:hint="default" w:ascii="Times New Roman" w:hAnsi="Times New Roman" w:eastAsia="宋体" w:cs="Times New Roman"/>
                      <w:color w:val="auto"/>
                      <w:sz w:val="21"/>
                      <w:szCs w:val="21"/>
                      <w:highlight w:val="none"/>
                      <w:lang w:eastAsia="zh-CN"/>
                    </w:rPr>
                  </w:pPr>
                  <w:r>
                    <w:rPr>
                      <w:rFonts w:hint="eastAsia" w:cs="Times New Roman"/>
                      <w:color w:val="auto"/>
                      <w:sz w:val="21"/>
                      <w:szCs w:val="21"/>
                      <w:highlight w:val="none"/>
                      <w:lang w:val="en-US" w:eastAsia="zh-CN"/>
                    </w:rPr>
                    <w:t>2.</w:t>
                  </w:r>
                  <w:r>
                    <w:rPr>
                      <w:rFonts w:hint="default" w:ascii="Times New Roman" w:hAnsi="Times New Roman" w:eastAsia="宋体" w:cs="Times New Roman"/>
                      <w:color w:val="auto"/>
                      <w:sz w:val="21"/>
                      <w:szCs w:val="21"/>
                      <w:highlight w:val="none"/>
                    </w:rPr>
                    <w:t>颜色：背景为黄色，</w:t>
                  </w:r>
                  <w:r>
                    <w:rPr>
                      <w:rFonts w:hint="default" w:ascii="Times New Roman" w:hAnsi="Times New Roman" w:eastAsia="宋体" w:cs="Times New Roman"/>
                      <w:color w:val="auto"/>
                      <w:sz w:val="21"/>
                      <w:szCs w:val="21"/>
                      <w:highlight w:val="none"/>
                      <w:lang w:eastAsia="zh-CN"/>
                    </w:rPr>
                    <w:t>文字和字母</w:t>
                  </w:r>
                  <w:r>
                    <w:rPr>
                      <w:rFonts w:hint="default" w:ascii="Times New Roman" w:hAnsi="Times New Roman" w:eastAsia="宋体" w:cs="Times New Roman"/>
                      <w:color w:val="auto"/>
                      <w:sz w:val="21"/>
                      <w:szCs w:val="21"/>
                      <w:highlight w:val="none"/>
                    </w:rPr>
                    <w:t>为黑色</w:t>
                  </w:r>
                  <w:r>
                    <w:rPr>
                      <w:rFonts w:hint="default" w:ascii="Times New Roman" w:hAnsi="Times New Roman" w:eastAsia="宋体" w:cs="Times New Roman"/>
                      <w:color w:val="auto"/>
                      <w:sz w:val="21"/>
                      <w:szCs w:val="21"/>
                      <w:highlight w:val="none"/>
                      <w:lang w:eastAsia="zh-CN"/>
                    </w:rPr>
                    <w:t>，边框和主标识为黑色</w:t>
                  </w:r>
                </w:p>
                <w:p w14:paraId="78ACA2BA">
                  <w:pPr>
                    <w:keepNext w:val="0"/>
                    <w:keepLines w:val="0"/>
                    <w:pageBreakBefore w:val="0"/>
                    <w:widowControl w:val="0"/>
                    <w:kinsoku/>
                    <w:wordWrap/>
                    <w:overflowPunct/>
                    <w:topLinePunct w:val="0"/>
                    <w:autoSpaceDE/>
                    <w:autoSpaceDN/>
                    <w:bidi w:val="0"/>
                    <w:adjustRightInd/>
                    <w:snapToGrid/>
                    <w:jc w:val="left"/>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3.</w:t>
                  </w:r>
                  <w:r>
                    <w:rPr>
                      <w:rFonts w:hint="default" w:ascii="Times New Roman" w:hAnsi="Times New Roman" w:eastAsia="宋体" w:cs="Times New Roman"/>
                      <w:color w:val="auto"/>
                      <w:sz w:val="21"/>
                      <w:szCs w:val="21"/>
                      <w:highlight w:val="none"/>
                      <w:lang w:eastAsia="zh-CN"/>
                    </w:rPr>
                    <w:t>尺寸：警示牌</w:t>
                  </w:r>
                  <w:r>
                    <w:rPr>
                      <w:rFonts w:hint="default" w:ascii="Times New Roman" w:hAnsi="Times New Roman" w:eastAsia="宋体" w:cs="Times New Roman"/>
                      <w:color w:val="auto"/>
                      <w:sz w:val="21"/>
                      <w:szCs w:val="21"/>
                      <w:highlight w:val="none"/>
                      <w:lang w:val="en-US" w:eastAsia="zh-CN"/>
                    </w:rPr>
                    <w:t xml:space="preserve"> 等边三角形边长400mm</w:t>
                  </w:r>
                </w:p>
                <w:p w14:paraId="3D67188D">
                  <w:pPr>
                    <w:keepNext w:val="0"/>
                    <w:keepLines w:val="0"/>
                    <w:pageBreakBefore w:val="0"/>
                    <w:widowControl w:val="0"/>
                    <w:kinsoku/>
                    <w:wordWrap/>
                    <w:overflowPunct/>
                    <w:topLinePunct w:val="0"/>
                    <w:autoSpaceDE/>
                    <w:autoSpaceDN/>
                    <w:bidi w:val="0"/>
                    <w:adjustRightInd/>
                    <w:snapToGrid/>
                    <w:jc w:val="left"/>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主标识高150mm   中文文字高40mm</w:t>
                  </w:r>
                </w:p>
                <w:p w14:paraId="5E671833">
                  <w:pPr>
                    <w:keepNext w:val="0"/>
                    <w:keepLines w:val="0"/>
                    <w:pageBreakBefore w:val="0"/>
                    <w:widowControl w:val="0"/>
                    <w:kinsoku/>
                    <w:wordWrap/>
                    <w:overflowPunct/>
                    <w:topLinePunct w:val="0"/>
                    <w:autoSpaceDE/>
                    <w:autoSpaceDN/>
                    <w:bidi w:val="0"/>
                    <w:adjustRightInd/>
                    <w:snapToGrid/>
                    <w:jc w:val="left"/>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英文文字高40mm</w:t>
                  </w:r>
                </w:p>
                <w:p w14:paraId="4AD5B5E1">
                  <w:pPr>
                    <w:keepNext w:val="0"/>
                    <w:keepLines w:val="0"/>
                    <w:pageBreakBefore w:val="0"/>
                    <w:widowControl w:val="0"/>
                    <w:kinsoku/>
                    <w:wordWrap/>
                    <w:overflowPunct/>
                    <w:topLinePunct w:val="0"/>
                    <w:autoSpaceDE/>
                    <w:autoSpaceDN/>
                    <w:bidi w:val="0"/>
                    <w:adjustRightInd/>
                    <w:snapToGrid/>
                    <w:jc w:val="left"/>
                    <w:textAlignment w:val="auto"/>
                    <w:rPr>
                      <w:rFonts w:hint="default" w:ascii="Times New Roman" w:hAnsi="Times New Roman" w:eastAsia="宋体" w:cs="Times New Roman"/>
                      <w:color w:val="auto"/>
                      <w:sz w:val="21"/>
                      <w:szCs w:val="21"/>
                      <w:highlight w:val="none"/>
                      <w:lang w:eastAsia="zh-CN"/>
                    </w:rPr>
                  </w:pPr>
                  <w:r>
                    <w:rPr>
                      <w:rFonts w:hint="eastAsia" w:cs="Times New Roman"/>
                      <w:color w:val="auto"/>
                      <w:sz w:val="21"/>
                      <w:szCs w:val="21"/>
                      <w:highlight w:val="none"/>
                      <w:lang w:val="en-US" w:eastAsia="zh-CN"/>
                    </w:rPr>
                    <w:t>4.</w:t>
                  </w:r>
                  <w:r>
                    <w:rPr>
                      <w:rFonts w:hint="default" w:ascii="Times New Roman" w:hAnsi="Times New Roman" w:eastAsia="宋体" w:cs="Times New Roman"/>
                      <w:color w:val="auto"/>
                      <w:sz w:val="21"/>
                      <w:szCs w:val="21"/>
                      <w:highlight w:val="none"/>
                      <w:lang w:eastAsia="zh-CN"/>
                    </w:rPr>
                    <w:t>适</w:t>
                  </w:r>
                  <w:r>
                    <w:rPr>
                      <w:rFonts w:hint="default" w:ascii="Times New Roman" w:hAnsi="Times New Roman" w:eastAsia="宋体" w:cs="Times New Roman"/>
                      <w:color w:val="auto"/>
                      <w:sz w:val="21"/>
                      <w:szCs w:val="21"/>
                      <w:highlight w:val="none"/>
                    </w:rPr>
                    <w:t>用于：</w:t>
                  </w:r>
                  <w:r>
                    <w:rPr>
                      <w:rFonts w:hint="default" w:ascii="Times New Roman" w:hAnsi="Times New Roman" w:eastAsia="宋体" w:cs="Times New Roman"/>
                      <w:color w:val="auto"/>
                      <w:sz w:val="21"/>
                      <w:szCs w:val="21"/>
                      <w:highlight w:val="none"/>
                      <w:lang w:eastAsia="zh-CN"/>
                    </w:rPr>
                    <w:t>医院医疗废物暂存间、医疗废物处置中心医疗废物暂存间或医疗废物处置设施</w:t>
                  </w:r>
                  <w:r>
                    <w:rPr>
                      <w:rFonts w:hint="default" w:ascii="Times New Roman" w:hAnsi="Times New Roman" w:eastAsia="宋体" w:cs="Times New Roman"/>
                      <w:color w:val="auto"/>
                      <w:sz w:val="21"/>
                      <w:szCs w:val="21"/>
                      <w:highlight w:val="none"/>
                    </w:rPr>
                    <w:t>。</w:t>
                  </w:r>
                </w:p>
              </w:tc>
            </w:tr>
            <w:tr w14:paraId="47A044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3" w:type="dxa"/>
                  <w:bottom w:w="0" w:type="dxa"/>
                  <w:right w:w="0" w:type="dxa"/>
                </w:tblCellMar>
              </w:tblPrEx>
              <w:trPr>
                <w:trHeight w:val="2553" w:hRule="atLeast"/>
                <w:jc w:val="center"/>
              </w:trPr>
              <w:tc>
                <w:tcPr>
                  <w:tcW w:w="765" w:type="dxa"/>
                  <w:tcBorders>
                    <w:tl2br w:val="nil"/>
                    <w:tr2bl w:val="nil"/>
                  </w:tcBorders>
                  <w:noWrap w:val="0"/>
                  <w:vAlign w:val="center"/>
                </w:tcPr>
                <w:p w14:paraId="513F6C65">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eastAsia="zh-CN"/>
                    </w:rPr>
                    <w:t>医院科室医疗废物收集点</w:t>
                  </w:r>
                </w:p>
              </w:tc>
              <w:tc>
                <w:tcPr>
                  <w:tcW w:w="1221" w:type="dxa"/>
                  <w:tcBorders>
                    <w:tl2br w:val="nil"/>
                    <w:tr2bl w:val="nil"/>
                  </w:tcBorders>
                  <w:noWrap w:val="0"/>
                  <w:vAlign w:val="center"/>
                </w:tcPr>
                <w:p w14:paraId="3FDBD950">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rPr>
                    <w:t>粘贴于危险废物储存容器</w:t>
                  </w:r>
                </w:p>
              </w:tc>
              <w:tc>
                <w:tcPr>
                  <w:tcW w:w="2884" w:type="dxa"/>
                  <w:tcBorders>
                    <w:tl2br w:val="nil"/>
                    <w:tr2bl w:val="nil"/>
                  </w:tcBorders>
                  <w:noWrap w:val="0"/>
                  <w:vAlign w:val="center"/>
                </w:tcPr>
                <w:p w14:paraId="6EF719B7">
                  <w:pPr>
                    <w:keepNext w:val="0"/>
                    <w:keepLines w:val="0"/>
                    <w:pageBreakBefore w:val="0"/>
                    <w:widowControl w:val="0"/>
                    <w:kinsoku/>
                    <w:wordWrap/>
                    <w:overflowPunct/>
                    <w:topLinePunct w:val="0"/>
                    <w:autoSpaceDE/>
                    <w:autoSpaceDN/>
                    <w:bidi w:val="0"/>
                    <w:adjustRightInd/>
                    <w:snapToGrid/>
                    <w:textAlignment w:val="auto"/>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eastAsia="zh-CN"/>
                    </w:rPr>
                    <w:drawing>
                      <wp:inline distT="0" distB="0" distL="114300" distR="114300">
                        <wp:extent cx="1537335" cy="1578610"/>
                        <wp:effectExtent l="0" t="0" r="5715" b="2540"/>
                        <wp:docPr id="42" name="图片 43" descr="156440707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3" descr="1564407075(1)"/>
                                <pic:cNvPicPr>
                                  <a:picLocks noChangeAspect="1"/>
                                </pic:cNvPicPr>
                              </pic:nvPicPr>
                              <pic:blipFill>
                                <a:blip r:embed="rId27"/>
                                <a:stretch>
                                  <a:fillRect/>
                                </a:stretch>
                              </pic:blipFill>
                              <pic:spPr>
                                <a:xfrm>
                                  <a:off x="0" y="0"/>
                                  <a:ext cx="1537335" cy="1578610"/>
                                </a:xfrm>
                                <a:prstGeom prst="rect">
                                  <a:avLst/>
                                </a:prstGeom>
                                <a:noFill/>
                                <a:ln>
                                  <a:noFill/>
                                </a:ln>
                              </pic:spPr>
                            </pic:pic>
                          </a:graphicData>
                        </a:graphic>
                      </wp:inline>
                    </w:drawing>
                  </w:r>
                </w:p>
              </w:tc>
              <w:tc>
                <w:tcPr>
                  <w:tcW w:w="4484" w:type="dxa"/>
                  <w:tcBorders>
                    <w:tl2br w:val="nil"/>
                    <w:tr2bl w:val="nil"/>
                  </w:tcBorders>
                  <w:noWrap w:val="0"/>
                  <w:vAlign w:val="center"/>
                </w:tcPr>
                <w:p w14:paraId="7368F9BC">
                  <w:pPr>
                    <w:keepNext w:val="0"/>
                    <w:keepLines w:val="0"/>
                    <w:pageBreakBefore w:val="0"/>
                    <w:widowControl w:val="0"/>
                    <w:kinsoku/>
                    <w:wordWrap/>
                    <w:overflowPunct/>
                    <w:topLinePunct w:val="0"/>
                    <w:autoSpaceDE/>
                    <w:autoSpaceDN/>
                    <w:bidi w:val="0"/>
                    <w:adjustRightInd/>
                    <w:snapToGrid/>
                    <w:jc w:val="left"/>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eastAsia="zh-CN"/>
                    </w:rPr>
                    <w:t>说明：</w:t>
                  </w:r>
                  <w:r>
                    <w:rPr>
                      <w:rFonts w:hint="default" w:ascii="Times New Roman" w:hAnsi="Times New Roman" w:eastAsia="宋体" w:cs="Times New Roman"/>
                      <w:color w:val="auto"/>
                      <w:sz w:val="21"/>
                      <w:szCs w:val="21"/>
                      <w:highlight w:val="none"/>
                    </w:rPr>
                    <w:t>1</w:t>
                  </w:r>
                  <w:r>
                    <w:rPr>
                      <w:rFonts w:hint="eastAsia" w:cs="Times New Roman"/>
                      <w:color w:val="auto"/>
                      <w:sz w:val="21"/>
                      <w:szCs w:val="21"/>
                      <w:highlight w:val="none"/>
                      <w:lang w:val="en-US" w:eastAsia="zh-CN"/>
                    </w:rPr>
                    <w:t>.</w:t>
                  </w:r>
                  <w:r>
                    <w:rPr>
                      <w:rFonts w:hint="default" w:ascii="Times New Roman" w:hAnsi="Times New Roman" w:eastAsia="宋体" w:cs="Times New Roman"/>
                      <w:color w:val="auto"/>
                      <w:sz w:val="21"/>
                      <w:szCs w:val="21"/>
                      <w:highlight w:val="none"/>
                    </w:rPr>
                    <w:t>形状：等边三角形</w:t>
                  </w:r>
                </w:p>
                <w:p w14:paraId="65FB320C">
                  <w:pPr>
                    <w:keepNext w:val="0"/>
                    <w:keepLines w:val="0"/>
                    <w:pageBreakBefore w:val="0"/>
                    <w:widowControl w:val="0"/>
                    <w:kinsoku/>
                    <w:wordWrap/>
                    <w:overflowPunct/>
                    <w:topLinePunct w:val="0"/>
                    <w:autoSpaceDE/>
                    <w:autoSpaceDN/>
                    <w:bidi w:val="0"/>
                    <w:adjustRightInd/>
                    <w:snapToGrid/>
                    <w:jc w:val="left"/>
                    <w:textAlignment w:val="auto"/>
                    <w:rPr>
                      <w:rFonts w:hint="default" w:ascii="Times New Roman" w:hAnsi="Times New Roman" w:eastAsia="宋体" w:cs="Times New Roman"/>
                      <w:color w:val="auto"/>
                      <w:sz w:val="21"/>
                      <w:szCs w:val="21"/>
                      <w:highlight w:val="none"/>
                      <w:lang w:eastAsia="zh-CN"/>
                    </w:rPr>
                  </w:pPr>
                  <w:r>
                    <w:rPr>
                      <w:rFonts w:hint="eastAsia" w:cs="Times New Roman"/>
                      <w:color w:val="auto"/>
                      <w:sz w:val="21"/>
                      <w:szCs w:val="21"/>
                      <w:highlight w:val="none"/>
                      <w:lang w:val="en-US" w:eastAsia="zh-CN"/>
                    </w:rPr>
                    <w:t>2.</w:t>
                  </w:r>
                  <w:r>
                    <w:rPr>
                      <w:rFonts w:hint="default" w:ascii="Times New Roman" w:hAnsi="Times New Roman" w:eastAsia="宋体" w:cs="Times New Roman"/>
                      <w:color w:val="auto"/>
                      <w:sz w:val="21"/>
                      <w:szCs w:val="21"/>
                      <w:highlight w:val="none"/>
                    </w:rPr>
                    <w:t>颜色：背景为黄色，</w:t>
                  </w:r>
                  <w:r>
                    <w:rPr>
                      <w:rFonts w:hint="default" w:ascii="Times New Roman" w:hAnsi="Times New Roman" w:eastAsia="宋体" w:cs="Times New Roman"/>
                      <w:color w:val="auto"/>
                      <w:sz w:val="21"/>
                      <w:szCs w:val="21"/>
                      <w:highlight w:val="none"/>
                      <w:lang w:eastAsia="zh-CN"/>
                    </w:rPr>
                    <w:t>文字和字母</w:t>
                  </w:r>
                  <w:r>
                    <w:rPr>
                      <w:rFonts w:hint="default" w:ascii="Times New Roman" w:hAnsi="Times New Roman" w:eastAsia="宋体" w:cs="Times New Roman"/>
                      <w:color w:val="auto"/>
                      <w:sz w:val="21"/>
                      <w:szCs w:val="21"/>
                      <w:highlight w:val="none"/>
                    </w:rPr>
                    <w:t>为黑色</w:t>
                  </w:r>
                  <w:r>
                    <w:rPr>
                      <w:rFonts w:hint="default" w:ascii="Times New Roman" w:hAnsi="Times New Roman" w:eastAsia="宋体" w:cs="Times New Roman"/>
                      <w:color w:val="auto"/>
                      <w:sz w:val="21"/>
                      <w:szCs w:val="21"/>
                      <w:highlight w:val="none"/>
                      <w:lang w:eastAsia="zh-CN"/>
                    </w:rPr>
                    <w:t>，边框和主标识为黑色</w:t>
                  </w:r>
                </w:p>
                <w:p w14:paraId="63740966">
                  <w:pPr>
                    <w:keepNext w:val="0"/>
                    <w:keepLines w:val="0"/>
                    <w:pageBreakBefore w:val="0"/>
                    <w:widowControl w:val="0"/>
                    <w:kinsoku/>
                    <w:wordWrap/>
                    <w:overflowPunct/>
                    <w:topLinePunct w:val="0"/>
                    <w:autoSpaceDE/>
                    <w:autoSpaceDN/>
                    <w:bidi w:val="0"/>
                    <w:adjustRightInd/>
                    <w:snapToGrid/>
                    <w:jc w:val="left"/>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3.</w:t>
                  </w:r>
                  <w:r>
                    <w:rPr>
                      <w:rFonts w:hint="default" w:ascii="Times New Roman" w:hAnsi="Times New Roman" w:eastAsia="宋体" w:cs="Times New Roman"/>
                      <w:color w:val="auto"/>
                      <w:sz w:val="21"/>
                      <w:szCs w:val="21"/>
                      <w:highlight w:val="none"/>
                      <w:lang w:eastAsia="zh-CN"/>
                    </w:rPr>
                    <w:t>尺寸：警示牌</w:t>
                  </w:r>
                  <w:r>
                    <w:rPr>
                      <w:rFonts w:hint="default" w:ascii="Times New Roman" w:hAnsi="Times New Roman" w:eastAsia="宋体" w:cs="Times New Roman"/>
                      <w:color w:val="auto"/>
                      <w:sz w:val="21"/>
                      <w:szCs w:val="21"/>
                      <w:highlight w:val="none"/>
                      <w:lang w:val="en-US" w:eastAsia="zh-CN"/>
                    </w:rPr>
                    <w:t xml:space="preserve"> 等边三角形边长200mm</w:t>
                  </w:r>
                </w:p>
                <w:p w14:paraId="7B97407B">
                  <w:pPr>
                    <w:keepNext w:val="0"/>
                    <w:keepLines w:val="0"/>
                    <w:pageBreakBefore w:val="0"/>
                    <w:widowControl w:val="0"/>
                    <w:kinsoku/>
                    <w:wordWrap/>
                    <w:overflowPunct/>
                    <w:topLinePunct w:val="0"/>
                    <w:autoSpaceDE/>
                    <w:autoSpaceDN/>
                    <w:bidi w:val="0"/>
                    <w:adjustRightInd/>
                    <w:snapToGrid/>
                    <w:jc w:val="left"/>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主标识高75mm   中文文字高20mm</w:t>
                  </w:r>
                </w:p>
                <w:p w14:paraId="311248D5">
                  <w:pPr>
                    <w:keepNext w:val="0"/>
                    <w:keepLines w:val="0"/>
                    <w:pageBreakBefore w:val="0"/>
                    <w:widowControl w:val="0"/>
                    <w:kinsoku/>
                    <w:wordWrap/>
                    <w:overflowPunct/>
                    <w:topLinePunct w:val="0"/>
                    <w:autoSpaceDE/>
                    <w:autoSpaceDN/>
                    <w:bidi w:val="0"/>
                    <w:adjustRightInd/>
                    <w:snapToGrid/>
                    <w:jc w:val="left"/>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英文文字高20mm</w:t>
                  </w:r>
                </w:p>
                <w:p w14:paraId="50AB133C">
                  <w:pPr>
                    <w:keepNext w:val="0"/>
                    <w:keepLines w:val="0"/>
                    <w:pageBreakBefore w:val="0"/>
                    <w:widowControl w:val="0"/>
                    <w:kinsoku/>
                    <w:wordWrap/>
                    <w:overflowPunct/>
                    <w:topLinePunct w:val="0"/>
                    <w:autoSpaceDE/>
                    <w:autoSpaceDN/>
                    <w:bidi w:val="0"/>
                    <w:adjustRightInd/>
                    <w:snapToGrid/>
                    <w:jc w:val="left"/>
                    <w:textAlignment w:val="auto"/>
                    <w:rPr>
                      <w:rFonts w:hint="default" w:ascii="Times New Roman" w:hAnsi="Times New Roman" w:eastAsia="宋体" w:cs="Times New Roman"/>
                      <w:color w:val="auto"/>
                      <w:sz w:val="21"/>
                      <w:szCs w:val="21"/>
                      <w:highlight w:val="none"/>
                    </w:rPr>
                  </w:pPr>
                  <w:r>
                    <w:rPr>
                      <w:rFonts w:hint="eastAsia" w:cs="Times New Roman"/>
                      <w:color w:val="auto"/>
                      <w:sz w:val="21"/>
                      <w:szCs w:val="21"/>
                      <w:highlight w:val="none"/>
                      <w:lang w:val="en-US" w:eastAsia="zh-CN"/>
                    </w:rPr>
                    <w:t>4.</w:t>
                  </w:r>
                  <w:r>
                    <w:rPr>
                      <w:rFonts w:hint="default" w:ascii="Times New Roman" w:hAnsi="Times New Roman" w:eastAsia="宋体" w:cs="Times New Roman"/>
                      <w:color w:val="auto"/>
                      <w:sz w:val="21"/>
                      <w:szCs w:val="21"/>
                      <w:highlight w:val="none"/>
                      <w:lang w:val="en-US" w:eastAsia="zh-CN"/>
                    </w:rPr>
                    <w:t>适用于：医院科室医疗废物收集点。</w:t>
                  </w:r>
                </w:p>
              </w:tc>
            </w:tr>
          </w:tbl>
          <w:p w14:paraId="5F00440C">
            <w:pPr>
              <w:rPr>
                <w:rFonts w:hint="eastAsia"/>
                <w:color w:val="auto"/>
                <w:sz w:val="24"/>
                <w:szCs w:val="24"/>
              </w:rPr>
            </w:pPr>
          </w:p>
          <w:p w14:paraId="71E9A375">
            <w:pPr>
              <w:pStyle w:val="11"/>
              <w:spacing w:line="360" w:lineRule="auto"/>
              <w:ind w:left="0" w:firstLine="480" w:firstLineChars="200"/>
              <w:rPr>
                <w:rFonts w:hint="eastAsia" w:ascii="Times New Roman" w:hAnsi="Times New Roman"/>
                <w:bCs/>
                <w:color w:val="auto"/>
                <w:kern w:val="24"/>
                <w:sz w:val="24"/>
                <w:szCs w:val="24"/>
                <w:highlight w:val="none"/>
                <w:lang w:val="en-US" w:eastAsia="zh-CN"/>
              </w:rPr>
            </w:pPr>
            <w:r>
              <w:rPr>
                <w:rFonts w:hint="default" w:ascii="Times New Roman" w:hAnsi="Times New Roman"/>
                <w:bCs/>
                <w:color w:val="auto"/>
                <w:kern w:val="24"/>
                <w:sz w:val="24"/>
                <w:szCs w:val="24"/>
                <w:highlight w:val="none"/>
                <w:lang w:val="en-US" w:eastAsia="zh-CN"/>
              </w:rPr>
              <w:t>医疗废物贮存间</w:t>
            </w:r>
            <w:r>
              <w:rPr>
                <w:rFonts w:hint="eastAsia" w:ascii="Times New Roman" w:hAnsi="Times New Roman"/>
                <w:bCs/>
                <w:color w:val="auto"/>
                <w:kern w:val="24"/>
                <w:sz w:val="24"/>
                <w:szCs w:val="24"/>
                <w:highlight w:val="none"/>
                <w:lang w:val="en-US" w:eastAsia="zh-CN"/>
              </w:rPr>
              <w:t>位置合理性</w:t>
            </w:r>
          </w:p>
          <w:p w14:paraId="3F6FF344">
            <w:pPr>
              <w:spacing w:line="360" w:lineRule="auto"/>
              <w:ind w:firstLine="480" w:firstLineChars="200"/>
              <w:rPr>
                <w:rFonts w:ascii="Segoe UI" w:hAnsi="Segoe UI" w:eastAsia="Segoe UI" w:cs="Segoe UI"/>
                <w:i w:val="0"/>
                <w:iCs w:val="0"/>
                <w:caps w:val="0"/>
                <w:spacing w:val="0"/>
                <w:sz w:val="24"/>
                <w:szCs w:val="24"/>
                <w:shd w:val="clear" w:color="auto" w:fill="FFFFFF"/>
              </w:rPr>
            </w:pPr>
            <w:r>
              <w:rPr>
                <w:rFonts w:hint="eastAsia" w:ascii="Times New Roman" w:hAnsi="Times New Roman"/>
                <w:bCs/>
                <w:color w:val="auto"/>
                <w:kern w:val="24"/>
                <w:sz w:val="24"/>
                <w:szCs w:val="24"/>
                <w:highlight w:val="none"/>
                <w:lang w:val="en-US" w:eastAsia="zh-CN"/>
              </w:rPr>
              <w:t>项目</w:t>
            </w:r>
            <w:r>
              <w:rPr>
                <w:rFonts w:hint="eastAsia"/>
                <w:sz w:val="24"/>
                <w:szCs w:val="24"/>
                <w:highlight w:val="none"/>
                <w:lang w:eastAsia="zh-CN"/>
              </w:rPr>
              <w:t>于</w:t>
            </w:r>
            <w:r>
              <w:rPr>
                <w:rFonts w:hint="eastAsia"/>
                <w:sz w:val="24"/>
                <w:szCs w:val="24"/>
                <w:highlight w:val="none"/>
                <w:lang w:val="en-US" w:eastAsia="zh-CN"/>
              </w:rPr>
              <w:t>院区东侧</w:t>
            </w:r>
            <w:r>
              <w:rPr>
                <w:rFonts w:hint="eastAsia" w:ascii="Times New Roman" w:hAnsi="Times New Roman"/>
                <w:bCs/>
                <w:color w:val="auto"/>
                <w:kern w:val="24"/>
                <w:sz w:val="24"/>
                <w:szCs w:val="24"/>
                <w:highlight w:val="none"/>
                <w:lang w:val="en-US" w:eastAsia="zh-CN"/>
              </w:rPr>
              <w:t>，</w:t>
            </w:r>
            <w:r>
              <w:rPr>
                <w:rFonts w:hint="eastAsia"/>
                <w:sz w:val="24"/>
                <w:highlight w:val="none"/>
                <w:lang w:val="en-US" w:eastAsia="zh-CN"/>
              </w:rPr>
              <w:t>设置1处医疗废物暂存间，占地面积30m</w:t>
            </w:r>
            <w:r>
              <w:rPr>
                <w:rFonts w:hint="eastAsia"/>
                <w:sz w:val="24"/>
                <w:highlight w:val="none"/>
                <w:vertAlign w:val="superscript"/>
                <w:lang w:val="en-US" w:eastAsia="zh-CN"/>
              </w:rPr>
              <w:t>2</w:t>
            </w:r>
            <w:r>
              <w:rPr>
                <w:rFonts w:hint="eastAsia"/>
                <w:sz w:val="24"/>
                <w:highlight w:val="none"/>
                <w:vertAlign w:val="baseline"/>
                <w:lang w:val="en-US" w:eastAsia="zh-CN"/>
              </w:rPr>
              <w:t>。</w:t>
            </w:r>
            <w:r>
              <w:rPr>
                <w:rFonts w:ascii="Segoe UI" w:hAnsi="Segoe UI" w:eastAsia="Segoe UI" w:cs="Segoe UI"/>
                <w:i w:val="0"/>
                <w:iCs w:val="0"/>
                <w:caps w:val="0"/>
                <w:spacing w:val="0"/>
                <w:sz w:val="24"/>
                <w:szCs w:val="24"/>
                <w:highlight w:val="none"/>
                <w:shd w:val="clear" w:color="auto" w:fill="FFFFFF"/>
              </w:rPr>
              <w:t>进行统一管理。医院可以在此专门配备相关的管理人员和设备，对医废的收集、分类、暂存和转运等环节</w:t>
            </w:r>
            <w:r>
              <w:rPr>
                <w:rFonts w:ascii="Segoe UI" w:hAnsi="Segoe UI" w:eastAsia="Segoe UI" w:cs="Segoe UI"/>
                <w:i w:val="0"/>
                <w:iCs w:val="0"/>
                <w:caps w:val="0"/>
                <w:spacing w:val="0"/>
                <w:sz w:val="24"/>
                <w:szCs w:val="24"/>
                <w:shd w:val="clear" w:color="auto" w:fill="FFFFFF"/>
              </w:rPr>
              <w:t>进行严格把控，确保医废的处理符合环保和卫生标准。同时，也有利于监管部门的检查和监督，便于及时发现和解决问题，保障医废处理的安全性和规范性。</w:t>
            </w:r>
          </w:p>
          <w:p w14:paraId="334D0538">
            <w:pPr>
              <w:spacing w:line="360" w:lineRule="auto"/>
              <w:ind w:firstLine="480" w:firstLineChars="200"/>
              <w:rPr>
                <w:rFonts w:hint="default" w:ascii="Segoe UI" w:hAnsi="Segoe UI" w:eastAsia="Segoe UI" w:cs="Segoe UI"/>
                <w:i w:val="0"/>
                <w:iCs w:val="0"/>
                <w:caps w:val="0"/>
                <w:spacing w:val="0"/>
                <w:sz w:val="24"/>
                <w:szCs w:val="24"/>
                <w:shd w:val="clear" w:color="auto" w:fill="FFFFFF"/>
                <w:lang w:val="en-US" w:eastAsia="zh-CN"/>
              </w:rPr>
            </w:pPr>
            <w:r>
              <w:rPr>
                <w:rFonts w:hint="eastAsia" w:ascii="Segoe UI" w:hAnsi="Segoe UI" w:eastAsia="Segoe UI" w:cs="Segoe UI"/>
                <w:i w:val="0"/>
                <w:iCs w:val="0"/>
                <w:caps w:val="0"/>
                <w:spacing w:val="0"/>
                <w:sz w:val="24"/>
                <w:szCs w:val="24"/>
                <w:shd w:val="clear" w:color="auto" w:fill="FFFFFF"/>
                <w:lang w:val="en-US" w:eastAsia="zh-CN"/>
              </w:rPr>
              <w:t>该区域与病房</w:t>
            </w:r>
            <w:r>
              <w:rPr>
                <w:rFonts w:hint="default" w:ascii="Segoe UI" w:hAnsi="Segoe UI" w:eastAsia="Segoe UI" w:cs="Segoe UI"/>
                <w:i w:val="0"/>
                <w:iCs w:val="0"/>
                <w:caps w:val="0"/>
                <w:spacing w:val="0"/>
                <w:sz w:val="24"/>
                <w:szCs w:val="24"/>
                <w:shd w:val="clear" w:color="auto" w:fill="FFFFFF"/>
                <w:lang w:val="en-US" w:eastAsia="zh-CN"/>
              </w:rPr>
              <w:t>存在一定距离，能够有效减少医疗废物在收集、暂存和转运过程中产生的异味、病原体等对患者和医护人员的影响，降低对医院内部环境的污染风险，有利于为患者和医护人员提供更清洁、卫生的医疗环境。</w:t>
            </w:r>
          </w:p>
          <w:p w14:paraId="716A5F5B">
            <w:pPr>
              <w:pStyle w:val="11"/>
              <w:spacing w:line="360" w:lineRule="auto"/>
              <w:ind w:left="0" w:firstLine="482" w:firstLineChars="200"/>
              <w:rPr>
                <w:rFonts w:hint="eastAsia"/>
                <w:b/>
                <w:bCs/>
                <w:color w:val="auto"/>
                <w:sz w:val="24"/>
                <w:szCs w:val="24"/>
                <w:lang w:val="en-US" w:eastAsia="zh-CN"/>
              </w:rPr>
            </w:pPr>
            <w:r>
              <w:rPr>
                <w:rFonts w:hint="eastAsia"/>
                <w:b/>
                <w:bCs/>
                <w:color w:val="auto"/>
                <w:sz w:val="24"/>
                <w:szCs w:val="24"/>
                <w:lang w:val="en-US" w:eastAsia="zh-CN"/>
              </w:rPr>
              <w:t>2）危险废物</w:t>
            </w:r>
          </w:p>
          <w:p w14:paraId="6770F6B7">
            <w:pPr>
              <w:pStyle w:val="11"/>
              <w:spacing w:line="360" w:lineRule="auto"/>
              <w:ind w:left="0" w:firstLine="480" w:firstLineChars="200"/>
              <w:rPr>
                <w:sz w:val="24"/>
                <w:szCs w:val="24"/>
                <w:highlight w:val="none"/>
              </w:rPr>
            </w:pPr>
            <w:r>
              <w:rPr>
                <w:rFonts w:hint="eastAsia"/>
                <w:color w:val="auto"/>
                <w:sz w:val="24"/>
                <w:szCs w:val="24"/>
                <w:highlight w:val="none"/>
              </w:rPr>
              <w:t>本项目在</w:t>
            </w:r>
            <w:r>
              <w:rPr>
                <w:rFonts w:hint="eastAsia"/>
                <w:color w:val="auto"/>
                <w:sz w:val="24"/>
                <w:szCs w:val="24"/>
                <w:highlight w:val="none"/>
                <w:lang w:eastAsia="zh-CN"/>
              </w:rPr>
              <w:t>污水处理站北侧</w:t>
            </w:r>
            <w:r>
              <w:rPr>
                <w:rFonts w:hint="eastAsia"/>
                <w:color w:val="auto"/>
                <w:sz w:val="24"/>
                <w:szCs w:val="24"/>
                <w:highlight w:val="none"/>
              </w:rPr>
              <w:t>设置</w:t>
            </w:r>
            <w:r>
              <w:rPr>
                <w:rFonts w:hint="eastAsia"/>
                <w:color w:val="auto"/>
                <w:sz w:val="24"/>
                <w:szCs w:val="24"/>
                <w:highlight w:val="none"/>
                <w:lang w:eastAsia="zh-CN"/>
              </w:rPr>
              <w:t>危废暂存间</w:t>
            </w:r>
            <w:r>
              <w:rPr>
                <w:rFonts w:hint="eastAsia"/>
                <w:color w:val="auto"/>
                <w:sz w:val="24"/>
                <w:szCs w:val="24"/>
                <w:highlight w:val="none"/>
              </w:rPr>
              <w:t>一间，约</w:t>
            </w:r>
            <w:r>
              <w:rPr>
                <w:rFonts w:hint="eastAsia"/>
                <w:color w:val="auto"/>
                <w:sz w:val="24"/>
                <w:szCs w:val="24"/>
                <w:highlight w:val="none"/>
                <w:lang w:val="en-US" w:eastAsia="zh-CN"/>
              </w:rPr>
              <w:t>2</w:t>
            </w:r>
            <w:r>
              <w:rPr>
                <w:rFonts w:hint="eastAsia"/>
                <w:color w:val="auto"/>
                <w:sz w:val="24"/>
                <w:szCs w:val="24"/>
                <w:highlight w:val="none"/>
              </w:rPr>
              <w:t>0m</w:t>
            </w:r>
            <w:r>
              <w:rPr>
                <w:rFonts w:hint="eastAsia"/>
                <w:color w:val="auto"/>
                <w:sz w:val="24"/>
                <w:szCs w:val="24"/>
                <w:highlight w:val="none"/>
                <w:vertAlign w:val="superscript"/>
              </w:rPr>
              <w:t>2</w:t>
            </w:r>
            <w:r>
              <w:rPr>
                <w:rFonts w:hint="eastAsia"/>
                <w:color w:val="auto"/>
                <w:sz w:val="24"/>
                <w:szCs w:val="24"/>
                <w:highlight w:val="none"/>
              </w:rPr>
              <w:t>。危</w:t>
            </w:r>
            <w:r>
              <w:rPr>
                <w:rFonts w:hint="eastAsia"/>
                <w:sz w:val="24"/>
                <w:szCs w:val="24"/>
                <w:highlight w:val="none"/>
              </w:rPr>
              <w:t>废间按照如下要求设置：</w:t>
            </w:r>
          </w:p>
          <w:p w14:paraId="52663B50">
            <w:pPr>
              <w:spacing w:line="360" w:lineRule="auto"/>
              <w:ind w:firstLine="480" w:firstLineChars="200"/>
              <w:rPr>
                <w:rFonts w:hint="eastAsia"/>
                <w:sz w:val="24"/>
              </w:rPr>
            </w:pPr>
            <w:r>
              <w:rPr>
                <w:rFonts w:hint="eastAsia"/>
                <w:sz w:val="24"/>
              </w:rPr>
              <w:t>1）厂区内的危险废物临时贮存应严格按照</w:t>
            </w:r>
            <w:r>
              <w:rPr>
                <w:sz w:val="24"/>
              </w:rPr>
              <w:t>《危险废物贮存污染控制标准》 （GB18597-2023）</w:t>
            </w:r>
            <w:r>
              <w:rPr>
                <w:rFonts w:hint="eastAsia"/>
                <w:sz w:val="24"/>
              </w:rPr>
              <w:t>的规定执行，应建有堵截泄漏的裙脚，地面与裙脚要用坚固防渗的材料建造。应有隔离设施、报警装置和防风、防晒、防雨设施；</w:t>
            </w:r>
          </w:p>
          <w:p w14:paraId="2964AA5D">
            <w:pPr>
              <w:spacing w:line="360" w:lineRule="auto"/>
              <w:ind w:firstLine="480" w:firstLineChars="200"/>
              <w:rPr>
                <w:rFonts w:hint="eastAsia"/>
                <w:sz w:val="24"/>
              </w:rPr>
            </w:pPr>
            <w:r>
              <w:rPr>
                <w:rFonts w:hint="eastAsia"/>
                <w:sz w:val="24"/>
              </w:rPr>
              <w:t>2）所有产生的危险废物均应适用符合标准要求的容器盛装，装载危险废物的容器及材质要满足相应的强度要求，且必须完好无损，用于存放液体、半固体危险废物的地方，还须有耐腐蚀的硬化地面，地面无裂隙，不相容的危险废物堆放区必须有隔离间隔断。</w:t>
            </w:r>
          </w:p>
          <w:p w14:paraId="6CCB09CA">
            <w:pPr>
              <w:spacing w:line="360" w:lineRule="auto"/>
              <w:ind w:firstLine="480" w:firstLineChars="200"/>
              <w:rPr>
                <w:rFonts w:hint="eastAsia"/>
                <w:sz w:val="24"/>
              </w:rPr>
            </w:pPr>
            <w:r>
              <w:rPr>
                <w:rFonts w:hint="eastAsia"/>
                <w:sz w:val="24"/>
              </w:rPr>
              <w:t>3）厂内建立危险废物台账管理制度，做好危险废物情况的记录，记录上须注明危险废物的名称、来源、数量、特性和包装容器的类别、入库日期、存放库位、废物出库日期及</w:t>
            </w:r>
            <w:r>
              <w:rPr>
                <w:rFonts w:hint="eastAsia"/>
                <w:sz w:val="24"/>
                <w:lang w:eastAsia="zh-CN"/>
              </w:rPr>
              <w:t>接收单位</w:t>
            </w:r>
            <w:r>
              <w:rPr>
                <w:rFonts w:hint="eastAsia"/>
                <w:sz w:val="24"/>
              </w:rPr>
              <w:t>名称，危险废物的记录和货单在危险废物回取后应继续保留三年。</w:t>
            </w:r>
          </w:p>
          <w:p w14:paraId="68C1C172">
            <w:pPr>
              <w:spacing w:line="360" w:lineRule="auto"/>
              <w:ind w:firstLine="480" w:firstLineChars="200"/>
              <w:rPr>
                <w:rFonts w:hint="eastAsia"/>
                <w:sz w:val="24"/>
              </w:rPr>
            </w:pPr>
            <w:r>
              <w:rPr>
                <w:rFonts w:hint="eastAsia"/>
                <w:sz w:val="24"/>
              </w:rPr>
              <w:t>4）必须定期对贮存的危险废物包装容器及贮存设施进行检查，发现破损，应及时采取措施清理更换。</w:t>
            </w:r>
          </w:p>
          <w:p w14:paraId="4E4FE930">
            <w:pPr>
              <w:numPr>
                <w:ilvl w:val="0"/>
                <w:numId w:val="0"/>
              </w:numPr>
              <w:spacing w:line="360" w:lineRule="auto"/>
              <w:ind w:firstLine="480" w:firstLineChars="200"/>
              <w:rPr>
                <w:rFonts w:hint="eastAsia"/>
                <w:sz w:val="24"/>
              </w:rPr>
            </w:pPr>
            <w:r>
              <w:rPr>
                <w:rFonts w:hint="eastAsia"/>
                <w:sz w:val="24"/>
              </w:rPr>
              <w:t>5）</w:t>
            </w:r>
            <w:r>
              <w:rPr>
                <w:rFonts w:hint="eastAsia"/>
                <w:color w:val="auto"/>
                <w:kern w:val="0"/>
                <w:sz w:val="24"/>
                <w:szCs w:val="21"/>
                <w:highlight w:val="none"/>
                <w:lang w:val="en-US" w:eastAsia="zh-CN"/>
              </w:rPr>
              <w:t>危险废物识别标识设置应按照《危险废物识别标志设置技术规范》（HJ 1276-2022）中规定设置，危险废物识别标识包括危险废物标签，危险废物贮存分区标志，危险废物贮存设施标志，内容要求、设置要求、数字识别码、制作要求详见规范要求。</w:t>
            </w:r>
            <w:r>
              <w:rPr>
                <w:rFonts w:hint="eastAsia"/>
                <w:sz w:val="24"/>
              </w:rPr>
              <w:t>危险废物贮存设施周围应设置围墙或其他防护栅栏，配备通讯设备、照明设施、安全防护服装及工具，并设有应急防护设施。</w:t>
            </w:r>
          </w:p>
          <w:p w14:paraId="5D5565C3">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Times New Roman" w:hAnsi="Times New Roman" w:eastAsia="宋体" w:cs="Times New Roman"/>
                <w:b/>
                <w:bCs/>
                <w:color w:val="auto"/>
                <w:sz w:val="21"/>
                <w:szCs w:val="21"/>
                <w:highlight w:val="none"/>
                <w:lang w:val="en-US" w:eastAsia="zh-CN"/>
              </w:rPr>
            </w:pPr>
            <w:r>
              <w:rPr>
                <w:rFonts w:hint="eastAsia" w:ascii="Times New Roman" w:hAnsi="Times New Roman" w:eastAsia="宋体" w:cs="Times New Roman"/>
                <w:b/>
                <w:bCs/>
                <w:color w:val="auto"/>
                <w:sz w:val="21"/>
                <w:szCs w:val="21"/>
                <w:highlight w:val="none"/>
                <w:lang w:eastAsia="zh-CN"/>
              </w:rPr>
              <w:t>表</w:t>
            </w:r>
            <w:r>
              <w:rPr>
                <w:rFonts w:hint="eastAsia" w:ascii="Times New Roman" w:hAnsi="Times New Roman" w:eastAsia="宋体" w:cs="Times New Roman"/>
                <w:b/>
                <w:bCs/>
                <w:color w:val="auto"/>
                <w:sz w:val="21"/>
                <w:szCs w:val="21"/>
                <w:highlight w:val="none"/>
                <w:lang w:val="en-US" w:eastAsia="zh-CN"/>
              </w:rPr>
              <w:t>4-1</w:t>
            </w:r>
            <w:r>
              <w:rPr>
                <w:rFonts w:hint="eastAsia" w:cs="Times New Roman"/>
                <w:b/>
                <w:bCs/>
                <w:color w:val="auto"/>
                <w:sz w:val="21"/>
                <w:szCs w:val="21"/>
                <w:highlight w:val="none"/>
                <w:lang w:val="en-US" w:eastAsia="zh-CN"/>
              </w:rPr>
              <w:t>7</w:t>
            </w:r>
            <w:r>
              <w:rPr>
                <w:rFonts w:hint="eastAsia" w:ascii="Times New Roman" w:hAnsi="Times New Roman" w:eastAsia="宋体" w:cs="Times New Roman"/>
                <w:b/>
                <w:bCs/>
                <w:color w:val="auto"/>
                <w:sz w:val="21"/>
                <w:szCs w:val="21"/>
                <w:highlight w:val="none"/>
                <w:lang w:val="en-US" w:eastAsia="zh-CN"/>
              </w:rPr>
              <w:t xml:space="preserve">  危险废物识别标志</w:t>
            </w:r>
          </w:p>
          <w:tbl>
            <w:tblPr>
              <w:tblStyle w:val="14"/>
              <w:tblW w:w="495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590"/>
              <w:gridCol w:w="2426"/>
              <w:gridCol w:w="2385"/>
              <w:gridCol w:w="2732"/>
            </w:tblGrid>
            <w:tr w14:paraId="284528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tblHeader/>
                <w:jc w:val="center"/>
              </w:trPr>
              <w:tc>
                <w:tcPr>
                  <w:tcW w:w="363" w:type="pct"/>
                  <w:tcBorders>
                    <w:tl2br w:val="nil"/>
                    <w:tr2bl w:val="nil"/>
                  </w:tcBorders>
                  <w:noWrap w:val="0"/>
                  <w:tcMar>
                    <w:top w:w="0" w:type="dxa"/>
                    <w:left w:w="0" w:type="dxa"/>
                    <w:bottom w:w="0" w:type="dxa"/>
                    <w:right w:w="0" w:type="dxa"/>
                  </w:tcMar>
                  <w:vAlign w:val="center"/>
                </w:tcPr>
                <w:p w14:paraId="30E77F3F">
                  <w:pPr>
                    <w:keepNext/>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val="0"/>
                      <w:snapToGrid w:val="0"/>
                      <w:color w:val="auto"/>
                      <w:sz w:val="21"/>
                      <w:szCs w:val="21"/>
                      <w:highlight w:val="none"/>
                      <w:lang w:eastAsia="zh-CN"/>
                    </w:rPr>
                  </w:pPr>
                  <w:r>
                    <w:rPr>
                      <w:rFonts w:hint="default" w:ascii="Times New Roman" w:hAnsi="Times New Roman" w:eastAsia="宋体" w:cs="Times New Roman"/>
                      <w:b w:val="0"/>
                      <w:bCs w:val="0"/>
                      <w:snapToGrid w:val="0"/>
                      <w:color w:val="auto"/>
                      <w:sz w:val="21"/>
                      <w:szCs w:val="21"/>
                      <w:highlight w:val="none"/>
                      <w:lang w:eastAsia="zh-CN"/>
                    </w:rPr>
                    <w:t>类别</w:t>
                  </w:r>
                </w:p>
              </w:tc>
              <w:tc>
                <w:tcPr>
                  <w:tcW w:w="1491" w:type="pct"/>
                  <w:tcBorders>
                    <w:tl2br w:val="nil"/>
                    <w:tr2bl w:val="nil"/>
                  </w:tcBorders>
                  <w:noWrap w:val="0"/>
                  <w:tcMar>
                    <w:top w:w="0" w:type="dxa"/>
                    <w:left w:w="0" w:type="dxa"/>
                    <w:bottom w:w="0" w:type="dxa"/>
                    <w:right w:w="0" w:type="dxa"/>
                  </w:tcMar>
                  <w:vAlign w:val="center"/>
                </w:tcPr>
                <w:p w14:paraId="338C2A4D">
                  <w:pPr>
                    <w:keepNext/>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val="0"/>
                      <w:snapToGrid w:val="0"/>
                      <w:color w:val="auto"/>
                      <w:sz w:val="21"/>
                      <w:szCs w:val="21"/>
                      <w:highlight w:val="none"/>
                      <w:lang w:eastAsia="zh-CN"/>
                    </w:rPr>
                  </w:pPr>
                  <w:r>
                    <w:rPr>
                      <w:rFonts w:hint="default" w:ascii="Times New Roman" w:hAnsi="Times New Roman" w:eastAsia="宋体" w:cs="Times New Roman"/>
                      <w:snapToGrid w:val="0"/>
                      <w:color w:val="auto"/>
                      <w:sz w:val="21"/>
                      <w:szCs w:val="21"/>
                      <w:highlight w:val="none"/>
                      <w:lang w:val="en-US" w:eastAsia="zh-CN"/>
                    </w:rPr>
                    <w:t>危险废物标签</w:t>
                  </w:r>
                </w:p>
              </w:tc>
              <w:tc>
                <w:tcPr>
                  <w:tcW w:w="1466" w:type="pct"/>
                  <w:tcBorders>
                    <w:tl2br w:val="nil"/>
                    <w:tr2bl w:val="nil"/>
                  </w:tcBorders>
                  <w:noWrap w:val="0"/>
                  <w:tcMar>
                    <w:top w:w="0" w:type="dxa"/>
                    <w:left w:w="0" w:type="dxa"/>
                    <w:bottom w:w="0" w:type="dxa"/>
                    <w:right w:w="0" w:type="dxa"/>
                  </w:tcMar>
                  <w:vAlign w:val="center"/>
                </w:tcPr>
                <w:p w14:paraId="753002FC">
                  <w:pPr>
                    <w:keepNext/>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val="0"/>
                      <w:snapToGrid w:val="0"/>
                      <w:color w:val="auto"/>
                      <w:sz w:val="21"/>
                      <w:szCs w:val="21"/>
                      <w:highlight w:val="none"/>
                      <w:lang w:eastAsia="zh-CN"/>
                    </w:rPr>
                  </w:pPr>
                  <w:r>
                    <w:rPr>
                      <w:rFonts w:hint="default" w:ascii="Times New Roman" w:hAnsi="Times New Roman" w:eastAsia="宋体" w:cs="Times New Roman"/>
                      <w:snapToGrid w:val="0"/>
                      <w:color w:val="auto"/>
                      <w:sz w:val="21"/>
                      <w:szCs w:val="21"/>
                      <w:highlight w:val="none"/>
                      <w:lang w:val="en-US" w:eastAsia="zh-CN"/>
                    </w:rPr>
                    <w:t>危险废物贮存分区标志</w:t>
                  </w:r>
                </w:p>
              </w:tc>
              <w:tc>
                <w:tcPr>
                  <w:tcW w:w="1679" w:type="pct"/>
                  <w:tcBorders>
                    <w:tl2br w:val="nil"/>
                    <w:tr2bl w:val="nil"/>
                  </w:tcBorders>
                  <w:noWrap w:val="0"/>
                  <w:tcMar>
                    <w:top w:w="0" w:type="dxa"/>
                    <w:left w:w="0" w:type="dxa"/>
                    <w:bottom w:w="0" w:type="dxa"/>
                    <w:right w:w="0" w:type="dxa"/>
                  </w:tcMar>
                  <w:vAlign w:val="center"/>
                </w:tcPr>
                <w:p w14:paraId="1CE4930B">
                  <w:pPr>
                    <w:keepNext/>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val="0"/>
                      <w:snapToGrid w:val="0"/>
                      <w:color w:val="auto"/>
                      <w:sz w:val="21"/>
                      <w:szCs w:val="21"/>
                      <w:highlight w:val="none"/>
                      <w:lang w:eastAsia="zh-CN"/>
                    </w:rPr>
                  </w:pPr>
                  <w:r>
                    <w:rPr>
                      <w:rFonts w:hint="default" w:ascii="Times New Roman" w:hAnsi="Times New Roman" w:eastAsia="宋体" w:cs="Times New Roman"/>
                      <w:snapToGrid w:val="0"/>
                      <w:color w:val="auto"/>
                      <w:sz w:val="21"/>
                      <w:szCs w:val="21"/>
                      <w:highlight w:val="none"/>
                    </w:rPr>
                    <w:t>危险废物贮存设施标志</w:t>
                  </w:r>
                </w:p>
              </w:tc>
            </w:tr>
            <w:tr w14:paraId="7D7821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363" w:type="pct"/>
                  <w:tcBorders>
                    <w:tl2br w:val="nil"/>
                    <w:tr2bl w:val="nil"/>
                  </w:tcBorders>
                  <w:noWrap w:val="0"/>
                  <w:tcMar>
                    <w:top w:w="0" w:type="dxa"/>
                    <w:left w:w="0" w:type="dxa"/>
                    <w:bottom w:w="0" w:type="dxa"/>
                    <w:right w:w="0" w:type="dxa"/>
                  </w:tcMar>
                  <w:vAlign w:val="center"/>
                </w:tcPr>
                <w:p w14:paraId="74F065E3">
                  <w:pPr>
                    <w:keepNext/>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snapToGrid w:val="0"/>
                      <w:color w:val="auto"/>
                      <w:sz w:val="21"/>
                      <w:szCs w:val="21"/>
                      <w:highlight w:val="none"/>
                      <w:lang w:val="en-US" w:eastAsia="zh-CN"/>
                    </w:rPr>
                  </w:pPr>
                  <w:r>
                    <w:rPr>
                      <w:rFonts w:hint="eastAsia" w:ascii="Times New Roman" w:hAnsi="Times New Roman" w:eastAsia="宋体" w:cs="Times New Roman"/>
                      <w:snapToGrid w:val="0"/>
                      <w:color w:val="auto"/>
                      <w:sz w:val="21"/>
                      <w:szCs w:val="21"/>
                      <w:highlight w:val="none"/>
                      <w:lang w:val="en-US" w:eastAsia="zh-CN"/>
                    </w:rPr>
                    <w:t>示例</w:t>
                  </w:r>
                </w:p>
              </w:tc>
              <w:tc>
                <w:tcPr>
                  <w:tcW w:w="1491" w:type="pct"/>
                  <w:tcBorders>
                    <w:tl2br w:val="nil"/>
                    <w:tr2bl w:val="nil"/>
                  </w:tcBorders>
                  <w:noWrap w:val="0"/>
                  <w:tcMar>
                    <w:top w:w="0" w:type="dxa"/>
                    <w:left w:w="0" w:type="dxa"/>
                    <w:bottom w:w="0" w:type="dxa"/>
                    <w:right w:w="0" w:type="dxa"/>
                  </w:tcMar>
                  <w:vAlign w:val="center"/>
                </w:tcPr>
                <w:p w14:paraId="07ED98C8">
                  <w:pPr>
                    <w:keepNext/>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snapToGrid w:val="0"/>
                      <w:color w:val="auto"/>
                      <w:sz w:val="21"/>
                      <w:szCs w:val="21"/>
                      <w:highlight w:val="none"/>
                    </w:rPr>
                  </w:pPr>
                  <w:r>
                    <w:rPr>
                      <w:rFonts w:hint="default" w:ascii="Times New Roman" w:hAnsi="Times New Roman" w:eastAsia="宋体" w:cs="Times New Roman"/>
                      <w:color w:val="auto"/>
                      <w:sz w:val="21"/>
                      <w:szCs w:val="21"/>
                      <w:highlight w:val="none"/>
                    </w:rPr>
                    <w:drawing>
                      <wp:inline distT="0" distB="0" distL="114300" distR="114300">
                        <wp:extent cx="1266190" cy="1064895"/>
                        <wp:effectExtent l="0" t="0" r="10160" b="1905"/>
                        <wp:docPr id="46"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44"/>
                                <pic:cNvPicPr>
                                  <a:picLocks noChangeAspect="1"/>
                                </pic:cNvPicPr>
                              </pic:nvPicPr>
                              <pic:blipFill>
                                <a:blip r:embed="rId28"/>
                                <a:srcRect t="2591" b="3534"/>
                                <a:stretch>
                                  <a:fillRect/>
                                </a:stretch>
                              </pic:blipFill>
                              <pic:spPr>
                                <a:xfrm>
                                  <a:off x="0" y="0"/>
                                  <a:ext cx="1266190" cy="1064895"/>
                                </a:xfrm>
                                <a:prstGeom prst="rect">
                                  <a:avLst/>
                                </a:prstGeom>
                                <a:noFill/>
                                <a:ln>
                                  <a:noFill/>
                                </a:ln>
                              </pic:spPr>
                            </pic:pic>
                          </a:graphicData>
                        </a:graphic>
                      </wp:inline>
                    </w:drawing>
                  </w:r>
                </w:p>
              </w:tc>
              <w:tc>
                <w:tcPr>
                  <w:tcW w:w="1466" w:type="pct"/>
                  <w:tcBorders>
                    <w:tl2br w:val="nil"/>
                    <w:tr2bl w:val="nil"/>
                  </w:tcBorders>
                  <w:noWrap w:val="0"/>
                  <w:tcMar>
                    <w:top w:w="0" w:type="dxa"/>
                    <w:left w:w="0" w:type="dxa"/>
                    <w:bottom w:w="0" w:type="dxa"/>
                    <w:right w:w="0" w:type="dxa"/>
                  </w:tcMar>
                  <w:vAlign w:val="center"/>
                </w:tcPr>
                <w:p w14:paraId="779EA307">
                  <w:pPr>
                    <w:keepNext/>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drawing>
                      <wp:inline distT="0" distB="0" distL="114300" distR="114300">
                        <wp:extent cx="1286510" cy="1081405"/>
                        <wp:effectExtent l="0" t="0" r="8890" b="4445"/>
                        <wp:docPr id="37" name="图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45"/>
                                <pic:cNvPicPr>
                                  <a:picLocks noChangeAspect="1"/>
                                </pic:cNvPicPr>
                              </pic:nvPicPr>
                              <pic:blipFill>
                                <a:blip r:embed="rId29"/>
                                <a:stretch>
                                  <a:fillRect/>
                                </a:stretch>
                              </pic:blipFill>
                              <pic:spPr>
                                <a:xfrm>
                                  <a:off x="0" y="0"/>
                                  <a:ext cx="1286510" cy="1081405"/>
                                </a:xfrm>
                                <a:prstGeom prst="rect">
                                  <a:avLst/>
                                </a:prstGeom>
                                <a:noFill/>
                                <a:ln>
                                  <a:noFill/>
                                </a:ln>
                              </pic:spPr>
                            </pic:pic>
                          </a:graphicData>
                        </a:graphic>
                      </wp:inline>
                    </w:drawing>
                  </w:r>
                </w:p>
              </w:tc>
              <w:tc>
                <w:tcPr>
                  <w:tcW w:w="1679" w:type="pct"/>
                  <w:tcBorders>
                    <w:tl2br w:val="nil"/>
                    <w:tr2bl w:val="nil"/>
                  </w:tcBorders>
                  <w:noWrap w:val="0"/>
                  <w:tcMar>
                    <w:top w:w="0" w:type="dxa"/>
                    <w:left w:w="0" w:type="dxa"/>
                    <w:bottom w:w="0" w:type="dxa"/>
                    <w:right w:w="0" w:type="dxa"/>
                  </w:tcMar>
                  <w:vAlign w:val="center"/>
                </w:tcPr>
                <w:p w14:paraId="04CEBC4E">
                  <w:pPr>
                    <w:keepNext/>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drawing>
                      <wp:inline distT="0" distB="0" distL="114300" distR="114300">
                        <wp:extent cx="1710055" cy="1120140"/>
                        <wp:effectExtent l="0" t="0" r="4445" b="3810"/>
                        <wp:docPr id="43" name="图片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6"/>
                                <pic:cNvPicPr>
                                  <a:picLocks noChangeAspect="1"/>
                                </pic:cNvPicPr>
                              </pic:nvPicPr>
                              <pic:blipFill>
                                <a:blip r:embed="rId30"/>
                                <a:srcRect l="996" t="1451" r="1315" b="1767"/>
                                <a:stretch>
                                  <a:fillRect/>
                                </a:stretch>
                              </pic:blipFill>
                              <pic:spPr>
                                <a:xfrm>
                                  <a:off x="0" y="0"/>
                                  <a:ext cx="1710055" cy="1120140"/>
                                </a:xfrm>
                                <a:prstGeom prst="rect">
                                  <a:avLst/>
                                </a:prstGeom>
                                <a:noFill/>
                                <a:ln>
                                  <a:noFill/>
                                </a:ln>
                              </pic:spPr>
                            </pic:pic>
                          </a:graphicData>
                        </a:graphic>
                      </wp:inline>
                    </w:drawing>
                  </w:r>
                </w:p>
              </w:tc>
            </w:tr>
          </w:tbl>
          <w:p w14:paraId="5334C7E8">
            <w:pPr>
              <w:pStyle w:val="9"/>
              <w:spacing w:line="360" w:lineRule="auto"/>
              <w:ind w:firstLine="480" w:firstLineChars="200"/>
              <w:rPr>
                <w:rFonts w:hint="eastAsia" w:ascii="Segoe UI" w:hAnsi="Segoe UI" w:eastAsia="宋体" w:cs="Segoe UI"/>
                <w:i w:val="0"/>
                <w:iCs w:val="0"/>
                <w:caps w:val="0"/>
                <w:spacing w:val="0"/>
                <w:sz w:val="24"/>
                <w:szCs w:val="24"/>
                <w:shd w:val="clear" w:color="auto" w:fill="FFFFFF"/>
                <w:lang w:eastAsia="zh-CN"/>
              </w:rPr>
            </w:pPr>
            <w:r>
              <w:rPr>
                <w:rFonts w:hint="eastAsia" w:ascii="Segoe UI" w:hAnsi="Segoe UI" w:eastAsia="宋体" w:cs="Segoe UI"/>
                <w:i w:val="0"/>
                <w:iCs w:val="0"/>
                <w:caps w:val="0"/>
                <w:spacing w:val="0"/>
                <w:sz w:val="24"/>
                <w:szCs w:val="24"/>
                <w:shd w:val="clear" w:color="auto" w:fill="FFFFFF"/>
                <w:lang w:eastAsia="zh-CN"/>
              </w:rPr>
              <w:t>危废</w:t>
            </w:r>
            <w:r>
              <w:rPr>
                <w:rFonts w:hint="eastAsia" w:ascii="Segoe UI" w:hAnsi="Segoe UI" w:cs="Segoe UI"/>
                <w:i w:val="0"/>
                <w:iCs w:val="0"/>
                <w:caps w:val="0"/>
                <w:spacing w:val="0"/>
                <w:sz w:val="24"/>
                <w:szCs w:val="24"/>
                <w:shd w:val="clear" w:color="auto" w:fill="FFFFFF"/>
                <w:lang w:val="en-US" w:eastAsia="zh-CN"/>
              </w:rPr>
              <w:t>暂存间</w:t>
            </w:r>
            <w:r>
              <w:rPr>
                <w:rFonts w:hint="eastAsia" w:ascii="Segoe UI" w:hAnsi="Segoe UI" w:eastAsia="宋体" w:cs="Segoe UI"/>
                <w:i w:val="0"/>
                <w:iCs w:val="0"/>
                <w:caps w:val="0"/>
                <w:spacing w:val="0"/>
                <w:sz w:val="24"/>
                <w:szCs w:val="24"/>
                <w:shd w:val="clear" w:color="auto" w:fill="FFFFFF"/>
                <w:lang w:eastAsia="zh-CN"/>
              </w:rPr>
              <w:t>位置合理性：</w:t>
            </w:r>
          </w:p>
          <w:p w14:paraId="07A22553">
            <w:pPr>
              <w:pStyle w:val="9"/>
              <w:spacing w:line="360" w:lineRule="auto"/>
              <w:ind w:firstLine="480" w:firstLineChars="200"/>
              <w:rPr>
                <w:rFonts w:hint="eastAsia" w:ascii="Segoe UI" w:hAnsi="Segoe UI" w:eastAsia="宋体" w:cs="Segoe UI"/>
                <w:i w:val="0"/>
                <w:iCs w:val="0"/>
                <w:caps w:val="0"/>
                <w:spacing w:val="0"/>
                <w:sz w:val="24"/>
                <w:szCs w:val="24"/>
                <w:shd w:val="clear" w:color="auto" w:fill="FFFFFF"/>
                <w:lang w:eastAsia="zh-CN"/>
              </w:rPr>
            </w:pPr>
            <w:r>
              <w:rPr>
                <w:rFonts w:ascii="Segoe UI" w:hAnsi="Segoe UI" w:eastAsia="Segoe UI" w:cs="Segoe UI"/>
                <w:i w:val="0"/>
                <w:iCs w:val="0"/>
                <w:caps w:val="0"/>
                <w:spacing w:val="0"/>
                <w:sz w:val="24"/>
                <w:szCs w:val="24"/>
                <w:shd w:val="clear" w:color="auto" w:fill="FFFFFF"/>
              </w:rPr>
              <w:t>危废暂存间设置在污水处理站</w:t>
            </w:r>
            <w:r>
              <w:rPr>
                <w:rFonts w:hint="eastAsia" w:ascii="Segoe UI" w:hAnsi="Segoe UI" w:eastAsia="宋体" w:cs="Segoe UI"/>
                <w:i w:val="0"/>
                <w:iCs w:val="0"/>
                <w:caps w:val="0"/>
                <w:spacing w:val="0"/>
                <w:sz w:val="24"/>
                <w:szCs w:val="24"/>
                <w:shd w:val="clear" w:color="auto" w:fill="FFFFFF"/>
                <w:lang w:val="en-US" w:eastAsia="zh-CN"/>
              </w:rPr>
              <w:t>北</w:t>
            </w:r>
            <w:r>
              <w:rPr>
                <w:rFonts w:ascii="Segoe UI" w:hAnsi="Segoe UI" w:eastAsia="Segoe UI" w:cs="Segoe UI"/>
                <w:i w:val="0"/>
                <w:iCs w:val="0"/>
                <w:caps w:val="0"/>
                <w:spacing w:val="0"/>
                <w:sz w:val="24"/>
                <w:szCs w:val="24"/>
                <w:shd w:val="clear" w:color="auto" w:fill="FFFFFF"/>
              </w:rPr>
              <w:t>侧，便于对污水处理过程中产生的污泥等危险废物进行集中管理和统一处理，可提高危险废物管理的效率和安全性，减少危险废物在医院内的转运距离和时间，降低运输过程中的环境风险</w:t>
            </w:r>
            <w:r>
              <w:rPr>
                <w:rFonts w:hint="eastAsia" w:ascii="Segoe UI" w:hAnsi="Segoe UI" w:eastAsia="宋体" w:cs="Segoe UI"/>
                <w:i w:val="0"/>
                <w:iCs w:val="0"/>
                <w:caps w:val="0"/>
                <w:spacing w:val="0"/>
                <w:sz w:val="24"/>
                <w:szCs w:val="24"/>
                <w:shd w:val="clear" w:color="auto" w:fill="FFFFFF"/>
                <w:lang w:eastAsia="zh-CN"/>
              </w:rPr>
              <w:t>。</w:t>
            </w:r>
          </w:p>
          <w:p w14:paraId="49827F3F">
            <w:pPr>
              <w:pStyle w:val="9"/>
              <w:spacing w:line="360" w:lineRule="auto"/>
              <w:ind w:firstLine="480" w:firstLineChars="200"/>
              <w:rPr>
                <w:rFonts w:hint="eastAsia" w:ascii="Times New Roman" w:hAnsi="Times New Roman" w:eastAsia="宋体" w:cs="Times New Roman"/>
                <w:b w:val="0"/>
                <w:bCs w:val="0"/>
                <w:sz w:val="18"/>
                <w:szCs w:val="20"/>
                <w:highlight w:val="none"/>
                <w:lang w:eastAsia="zh-CN"/>
              </w:rPr>
            </w:pPr>
            <w:r>
              <w:rPr>
                <w:rFonts w:hint="eastAsia" w:ascii="Segoe UI" w:hAnsi="Segoe UI" w:eastAsia="宋体" w:cs="Segoe UI"/>
                <w:i w:val="0"/>
                <w:iCs w:val="0"/>
                <w:caps w:val="0"/>
                <w:spacing w:val="0"/>
                <w:sz w:val="24"/>
                <w:szCs w:val="24"/>
                <w:shd w:val="clear" w:color="auto" w:fill="FFFFFF"/>
                <w:lang w:eastAsia="zh-CN"/>
              </w:rPr>
              <w:t>该位置相对独立，与医院的主要功能区（如病房、门诊等）保持了一定的距离，能有效降低危险废物对医院正常医疗活动和人员健康的潜在危害，同时也便于采取必要的安全防护措施，防止危险废物泄漏、扩散等事故的发生。</w:t>
            </w:r>
          </w:p>
          <w:p w14:paraId="6639BDF6">
            <w:pPr>
              <w:ind w:firstLine="422" w:firstLineChars="200"/>
              <w:jc w:val="center"/>
              <w:rPr>
                <w:rFonts w:hint="eastAsia"/>
                <w:b/>
                <w:bCs/>
                <w:szCs w:val="21"/>
              </w:rPr>
            </w:pPr>
          </w:p>
          <w:p w14:paraId="690488E0">
            <w:pPr>
              <w:spacing w:line="360" w:lineRule="auto"/>
              <w:ind w:firstLine="482" w:firstLineChars="200"/>
              <w:rPr>
                <w:b/>
                <w:bCs/>
                <w:sz w:val="24"/>
              </w:rPr>
            </w:pPr>
            <w:r>
              <w:rPr>
                <w:rFonts w:hint="eastAsia"/>
                <w:b/>
                <w:bCs/>
                <w:sz w:val="24"/>
              </w:rPr>
              <w:t>5地下水、土壤影响分析</w:t>
            </w:r>
          </w:p>
          <w:p w14:paraId="3E0BEF58">
            <w:pPr>
              <w:spacing w:line="360" w:lineRule="auto"/>
              <w:ind w:firstLine="482" w:firstLineChars="200"/>
              <w:rPr>
                <w:rFonts w:hint="eastAsia"/>
                <w:b/>
                <w:bCs/>
                <w:sz w:val="24"/>
              </w:rPr>
            </w:pPr>
            <w:r>
              <w:rPr>
                <w:rFonts w:hint="eastAsia"/>
                <w:b/>
                <w:bCs/>
                <w:sz w:val="24"/>
              </w:rPr>
              <w:t>5.1污染源分析</w:t>
            </w:r>
          </w:p>
          <w:p w14:paraId="4C108285">
            <w:pPr>
              <w:spacing w:line="360" w:lineRule="auto"/>
              <w:ind w:firstLine="480" w:firstLineChars="200"/>
              <w:rPr>
                <w:rFonts w:hint="eastAsia"/>
                <w:color w:val="auto"/>
                <w:sz w:val="24"/>
              </w:rPr>
            </w:pPr>
            <w:r>
              <w:rPr>
                <w:rFonts w:hint="eastAsia"/>
                <w:color w:val="auto"/>
                <w:sz w:val="24"/>
              </w:rPr>
              <w:t>项目可能对地下水、土壤造成污染的途径主要有污水处理站、污水管网、医疗废物暂存间、污泥池等发生泄漏后垂直下渗造成的污染。</w:t>
            </w:r>
          </w:p>
          <w:p w14:paraId="0A1C50F6">
            <w:pPr>
              <w:spacing w:line="360" w:lineRule="auto"/>
              <w:ind w:firstLine="482" w:firstLineChars="200"/>
              <w:rPr>
                <w:rFonts w:hint="eastAsia" w:eastAsia="宋体"/>
                <w:b/>
                <w:bCs/>
                <w:color w:val="auto"/>
                <w:sz w:val="24"/>
                <w:lang w:eastAsia="zh-CN"/>
              </w:rPr>
            </w:pPr>
            <w:r>
              <w:rPr>
                <w:rFonts w:hint="eastAsia"/>
                <w:b/>
                <w:bCs/>
                <w:color w:val="auto"/>
                <w:sz w:val="24"/>
              </w:rPr>
              <w:t>5.2</w:t>
            </w:r>
            <w:r>
              <w:rPr>
                <w:rFonts w:hint="eastAsia"/>
                <w:b/>
                <w:bCs/>
                <w:color w:val="auto"/>
                <w:sz w:val="24"/>
                <w:lang w:eastAsia="zh-CN"/>
              </w:rPr>
              <w:t>防治措施</w:t>
            </w:r>
          </w:p>
          <w:p w14:paraId="151D175D">
            <w:pPr>
              <w:spacing w:line="360" w:lineRule="auto"/>
              <w:ind w:firstLine="480" w:firstLineChars="200"/>
              <w:rPr>
                <w:rFonts w:hint="eastAsia"/>
                <w:sz w:val="24"/>
              </w:rPr>
            </w:pPr>
            <w:r>
              <w:rPr>
                <w:rFonts w:hint="eastAsia"/>
                <w:sz w:val="24"/>
              </w:rPr>
              <w:t>（1）源头控制</w:t>
            </w:r>
          </w:p>
          <w:p w14:paraId="48639918">
            <w:pPr>
              <w:spacing w:line="360" w:lineRule="auto"/>
              <w:ind w:firstLine="480" w:firstLineChars="200"/>
              <w:rPr>
                <w:rFonts w:hint="eastAsia"/>
                <w:sz w:val="24"/>
              </w:rPr>
            </w:pPr>
            <w:r>
              <w:rPr>
                <w:rFonts w:hint="eastAsia"/>
                <w:sz w:val="24"/>
              </w:rPr>
              <w:t>①严格按照国家相关规范要求，对</w:t>
            </w:r>
            <w:r>
              <w:rPr>
                <w:rFonts w:hint="eastAsia"/>
                <w:sz w:val="24"/>
                <w:lang w:eastAsia="zh-CN"/>
              </w:rPr>
              <w:t>院</w:t>
            </w:r>
            <w:r>
              <w:rPr>
                <w:rFonts w:hint="eastAsia"/>
                <w:sz w:val="24"/>
              </w:rPr>
              <w:t>区内各污水处理设备、仓库等采取相应措施，加强地下水污染源的日常管理与维护，尤其是重点防治区域，定期检查各池体以及医疗废物暂存间的防渗性能，发现防渗性能有明显下降时应及时补修；定期检查项目各污水、废水管道的完好性，防止污水跑、冒、滴、漏，发现泄漏时应及时维修，将污染物泄漏的环境风险事故降到最低程度。</w:t>
            </w:r>
          </w:p>
          <w:p w14:paraId="6904292D">
            <w:pPr>
              <w:spacing w:line="360" w:lineRule="auto"/>
              <w:ind w:firstLine="480" w:firstLineChars="200"/>
              <w:rPr>
                <w:rFonts w:hint="eastAsia"/>
                <w:sz w:val="24"/>
              </w:rPr>
            </w:pPr>
            <w:r>
              <w:rPr>
                <w:rFonts w:hint="eastAsia"/>
                <w:sz w:val="24"/>
              </w:rPr>
              <w:t>②设备和管线尽量采用“可视化”原则，即尽可</w:t>
            </w:r>
            <w:r>
              <w:rPr>
                <w:rFonts w:hint="eastAsia"/>
                <w:sz w:val="24"/>
                <w:lang w:eastAsia="zh-CN"/>
              </w:rPr>
              <w:t>能在</w:t>
            </w:r>
            <w:r>
              <w:rPr>
                <w:rFonts w:hint="eastAsia"/>
                <w:sz w:val="24"/>
              </w:rPr>
              <w:t>地上敷设和放置，做到污染物“早发现、早处理”，以减少由于埋地泄漏而可能造成的地下水污染。对各种地下管道，根据输送物质不同，采用不同类型的管道，管道内外均采用防腐处理，定期对管道进行检漏，对出现泄漏处的土壤进行换土。</w:t>
            </w:r>
          </w:p>
          <w:p w14:paraId="3DE8211C">
            <w:pPr>
              <w:spacing w:line="360" w:lineRule="auto"/>
              <w:ind w:firstLine="480" w:firstLineChars="200"/>
              <w:rPr>
                <w:rFonts w:hint="eastAsia"/>
                <w:sz w:val="24"/>
              </w:rPr>
            </w:pPr>
            <w:r>
              <w:rPr>
                <w:rFonts w:hint="eastAsia"/>
                <w:sz w:val="24"/>
              </w:rPr>
              <w:t>③堆放各种原辅材料、固体废物的堆放场地按照国家相关规范要求，采取防泄漏措施。</w:t>
            </w:r>
          </w:p>
          <w:p w14:paraId="2DCB829E">
            <w:pPr>
              <w:spacing w:line="360" w:lineRule="auto"/>
              <w:ind w:firstLine="480" w:firstLineChars="200"/>
              <w:rPr>
                <w:rFonts w:hint="eastAsia"/>
                <w:sz w:val="24"/>
              </w:rPr>
            </w:pPr>
            <w:r>
              <w:rPr>
                <w:rFonts w:hint="eastAsia"/>
                <w:sz w:val="24"/>
              </w:rPr>
              <w:t>④严格固体废物管理，不接触外界降水，使其不产生淋滤液，严防污染物泄漏到地下水中。</w:t>
            </w:r>
          </w:p>
          <w:p w14:paraId="59479583">
            <w:pPr>
              <w:pStyle w:val="20"/>
              <w:spacing w:line="360" w:lineRule="auto"/>
              <w:ind w:left="-2" w:firstLine="480"/>
              <w:rPr>
                <w:rFonts w:ascii="Times New Roman" w:hAnsi="Times New Roman"/>
                <w:kern w:val="0"/>
              </w:rPr>
            </w:pPr>
            <w:r>
              <w:rPr>
                <w:rFonts w:ascii="Times New Roman" w:hAnsi="Times New Roman"/>
                <w:kern w:val="0"/>
              </w:rPr>
              <w:t>（2）防渗分区划分</w:t>
            </w:r>
          </w:p>
          <w:p w14:paraId="0A675BFD">
            <w:pPr>
              <w:spacing w:line="360" w:lineRule="auto"/>
              <w:ind w:firstLine="480" w:firstLineChars="200"/>
              <w:rPr>
                <w:rFonts w:hint="eastAsia"/>
                <w:sz w:val="24"/>
              </w:rPr>
            </w:pPr>
            <w:r>
              <w:rPr>
                <w:rFonts w:hint="eastAsia"/>
                <w:sz w:val="24"/>
              </w:rPr>
              <w:t>地下水、土壤污染防治措施坚持“源头控制、末端防治、污染监控、应急响应相结合” 的原则。即采取主动控制和被动控制相结合的措施。</w:t>
            </w:r>
          </w:p>
          <w:p w14:paraId="3C3BA7A2">
            <w:pPr>
              <w:spacing w:line="360" w:lineRule="auto"/>
              <w:ind w:firstLine="480" w:firstLineChars="200"/>
              <w:rPr>
                <w:rFonts w:hint="eastAsia"/>
                <w:sz w:val="24"/>
              </w:rPr>
            </w:pPr>
            <w:r>
              <w:rPr>
                <w:rFonts w:hint="eastAsia"/>
                <w:sz w:val="24"/>
              </w:rPr>
              <w:t>主动控制，分区防渗。从源头控制，主要包括在工艺、管道、设备、污水储存及处理构筑物采取相应的措施，防止和降低污染物跑、冒、滴、漏，将污染物泄漏的环境风险事故降到最低程度。</w:t>
            </w:r>
          </w:p>
          <w:p w14:paraId="06DF5186">
            <w:pPr>
              <w:spacing w:line="360" w:lineRule="auto"/>
              <w:ind w:firstLine="480" w:firstLineChars="200"/>
              <w:rPr>
                <w:rFonts w:hint="eastAsia"/>
                <w:sz w:val="24"/>
              </w:rPr>
            </w:pPr>
            <w:r>
              <w:rPr>
                <w:rFonts w:hint="eastAsia"/>
                <w:sz w:val="24"/>
              </w:rPr>
              <w:t>根据《环境影响评价技术导则 地下水环境》（HJ610-2016）中污染防治区分的规定，根据装置、单元的特点和所处的区域及部位，可将建设场地划分为</w:t>
            </w:r>
            <w:r>
              <w:rPr>
                <w:rFonts w:hint="eastAsia"/>
                <w:sz w:val="24"/>
                <w:lang w:eastAsia="zh-CN"/>
              </w:rPr>
              <w:t>简单防渗区、一</w:t>
            </w:r>
            <w:r>
              <w:rPr>
                <w:rFonts w:hint="eastAsia"/>
                <w:sz w:val="24"/>
              </w:rPr>
              <w:t>般防渗区和重点防渗区。参照《环境影响评价技术导则 地下水环境》（HJ610-2016）、《危险废物贮存污染控制标准》（GB18597-20</w:t>
            </w:r>
            <w:r>
              <w:rPr>
                <w:rFonts w:hint="eastAsia"/>
                <w:sz w:val="24"/>
                <w:lang w:val="en-US" w:eastAsia="zh-CN"/>
              </w:rPr>
              <w:t>23</w:t>
            </w:r>
            <w:r>
              <w:rPr>
                <w:rFonts w:hint="eastAsia"/>
                <w:sz w:val="24"/>
              </w:rPr>
              <w:t>）等要求，项目防渗分区的划分情况和具体要求见下表：</w:t>
            </w:r>
          </w:p>
          <w:p w14:paraId="79FF6EBD">
            <w:pPr>
              <w:pStyle w:val="23"/>
              <w:spacing w:line="240" w:lineRule="auto"/>
              <w:jc w:val="center"/>
              <w:rPr>
                <w:rFonts w:hint="eastAsia"/>
                <w:bCs/>
                <w:sz w:val="21"/>
                <w:szCs w:val="21"/>
              </w:rPr>
            </w:pPr>
            <w:r>
              <w:rPr>
                <w:rFonts w:ascii="Times New Roman" w:hAnsi="Times New Roman"/>
                <w:bCs/>
                <w:sz w:val="21"/>
                <w:szCs w:val="21"/>
              </w:rPr>
              <w:t>表4-1</w:t>
            </w:r>
            <w:r>
              <w:rPr>
                <w:rFonts w:hint="eastAsia" w:ascii="Times New Roman" w:hAnsi="Times New Roman"/>
                <w:bCs/>
                <w:sz w:val="21"/>
                <w:szCs w:val="21"/>
                <w:lang w:val="en-US" w:eastAsia="zh-CN"/>
              </w:rPr>
              <w:t>8</w:t>
            </w:r>
            <w:r>
              <w:rPr>
                <w:rFonts w:ascii="Times New Roman" w:hAnsi="Times New Roman"/>
                <w:bCs/>
                <w:sz w:val="21"/>
                <w:szCs w:val="21"/>
              </w:rPr>
              <w:t xml:space="preserve"> </w:t>
            </w:r>
            <w:r>
              <w:rPr>
                <w:rFonts w:hint="eastAsia"/>
                <w:bCs/>
                <w:sz w:val="21"/>
                <w:szCs w:val="21"/>
              </w:rPr>
              <w:t>项目污染防渗分区及要求</w:t>
            </w:r>
          </w:p>
          <w:tbl>
            <w:tblPr>
              <w:tblStyle w:val="14"/>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83"/>
              <w:gridCol w:w="2530"/>
              <w:gridCol w:w="4389"/>
            </w:tblGrid>
            <w:tr w14:paraId="7E1B4E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2" w:type="pct"/>
                  <w:noWrap w:val="0"/>
                  <w:vAlign w:val="center"/>
                </w:tcPr>
                <w:p w14:paraId="6FAF2673">
                  <w:pPr>
                    <w:pStyle w:val="19"/>
                    <w:spacing w:line="240" w:lineRule="auto"/>
                    <w:ind w:firstLine="0"/>
                    <w:jc w:val="center"/>
                    <w:rPr>
                      <w:rFonts w:hint="eastAsia"/>
                      <w:sz w:val="21"/>
                      <w:szCs w:val="21"/>
                    </w:rPr>
                  </w:pPr>
                  <w:r>
                    <w:rPr>
                      <w:rFonts w:hint="eastAsia"/>
                      <w:sz w:val="21"/>
                      <w:szCs w:val="21"/>
                    </w:rPr>
                    <w:t>防渗分区</w:t>
                  </w:r>
                </w:p>
              </w:tc>
              <w:tc>
                <w:tcPr>
                  <w:tcW w:w="1542" w:type="pct"/>
                  <w:noWrap w:val="0"/>
                  <w:vAlign w:val="center"/>
                </w:tcPr>
                <w:p w14:paraId="55812409">
                  <w:pPr>
                    <w:pStyle w:val="19"/>
                    <w:spacing w:line="240" w:lineRule="auto"/>
                    <w:ind w:firstLine="0"/>
                    <w:jc w:val="center"/>
                    <w:rPr>
                      <w:rFonts w:hint="eastAsia"/>
                      <w:sz w:val="21"/>
                      <w:szCs w:val="21"/>
                    </w:rPr>
                  </w:pPr>
                  <w:r>
                    <w:rPr>
                      <w:rFonts w:hint="eastAsia"/>
                      <w:sz w:val="21"/>
                      <w:szCs w:val="21"/>
                    </w:rPr>
                    <w:t>装置设施</w:t>
                  </w:r>
                </w:p>
              </w:tc>
              <w:tc>
                <w:tcPr>
                  <w:tcW w:w="2675" w:type="pct"/>
                  <w:noWrap w:val="0"/>
                  <w:vAlign w:val="center"/>
                </w:tcPr>
                <w:p w14:paraId="0F1E39EE">
                  <w:pPr>
                    <w:pStyle w:val="19"/>
                    <w:spacing w:line="240" w:lineRule="auto"/>
                    <w:jc w:val="center"/>
                    <w:rPr>
                      <w:rFonts w:hint="eastAsia"/>
                      <w:sz w:val="21"/>
                      <w:szCs w:val="21"/>
                    </w:rPr>
                  </w:pPr>
                  <w:r>
                    <w:rPr>
                      <w:rFonts w:hint="eastAsia"/>
                      <w:sz w:val="21"/>
                      <w:szCs w:val="21"/>
                    </w:rPr>
                    <w:t>防渗技术要求</w:t>
                  </w:r>
                </w:p>
              </w:tc>
            </w:tr>
            <w:tr w14:paraId="2753AD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2" w:type="pct"/>
                  <w:noWrap w:val="0"/>
                  <w:vAlign w:val="center"/>
                </w:tcPr>
                <w:p w14:paraId="2AD351EB">
                  <w:pPr>
                    <w:pStyle w:val="19"/>
                    <w:spacing w:line="240" w:lineRule="auto"/>
                    <w:ind w:firstLine="0"/>
                    <w:jc w:val="center"/>
                    <w:rPr>
                      <w:rFonts w:ascii="Times New Roman"/>
                      <w:sz w:val="21"/>
                      <w:szCs w:val="21"/>
                    </w:rPr>
                  </w:pPr>
                  <w:r>
                    <w:rPr>
                      <w:rFonts w:ascii="Times New Roman"/>
                      <w:sz w:val="21"/>
                      <w:szCs w:val="21"/>
                    </w:rPr>
                    <w:t>重点防渗区</w:t>
                  </w:r>
                </w:p>
              </w:tc>
              <w:tc>
                <w:tcPr>
                  <w:tcW w:w="1542" w:type="pct"/>
                  <w:noWrap w:val="0"/>
                  <w:vAlign w:val="center"/>
                </w:tcPr>
                <w:p w14:paraId="3E3952A7">
                  <w:pPr>
                    <w:pStyle w:val="19"/>
                    <w:spacing w:line="240" w:lineRule="auto"/>
                    <w:ind w:firstLine="0"/>
                    <w:jc w:val="center"/>
                    <w:rPr>
                      <w:rFonts w:hint="eastAsia" w:ascii="Times New Roman" w:eastAsia="宋体"/>
                      <w:color w:val="auto"/>
                      <w:sz w:val="21"/>
                      <w:szCs w:val="21"/>
                      <w:lang w:eastAsia="zh-CN"/>
                    </w:rPr>
                  </w:pPr>
                  <w:r>
                    <w:rPr>
                      <w:rFonts w:hint="eastAsia" w:ascii="Times New Roman"/>
                      <w:color w:val="auto"/>
                      <w:sz w:val="21"/>
                      <w:szCs w:val="21"/>
                      <w:lang w:eastAsia="zh-CN"/>
                    </w:rPr>
                    <w:t>化粪池、污水处理站、医疗废物暂存间、危险废物暂存间、柴油存储间</w:t>
                  </w:r>
                </w:p>
              </w:tc>
              <w:tc>
                <w:tcPr>
                  <w:tcW w:w="2675" w:type="pct"/>
                  <w:noWrap w:val="0"/>
                  <w:vAlign w:val="center"/>
                </w:tcPr>
                <w:p w14:paraId="3E0979CB">
                  <w:pPr>
                    <w:pStyle w:val="19"/>
                    <w:spacing w:line="240" w:lineRule="auto"/>
                    <w:ind w:firstLine="0"/>
                    <w:jc w:val="center"/>
                    <w:rPr>
                      <w:rFonts w:ascii="Times New Roman"/>
                      <w:color w:val="auto"/>
                      <w:sz w:val="21"/>
                      <w:szCs w:val="21"/>
                    </w:rPr>
                  </w:pPr>
                  <w:r>
                    <w:rPr>
                      <w:rFonts w:ascii="Times New Roman"/>
                      <w:color w:val="auto"/>
                      <w:sz w:val="21"/>
                      <w:szCs w:val="21"/>
                    </w:rPr>
                    <w:t>等效黏土防渗层 Mb≥6.0m，K≤1×10</w:t>
                  </w:r>
                  <w:r>
                    <w:rPr>
                      <w:rFonts w:ascii="Times New Roman"/>
                      <w:color w:val="auto"/>
                      <w:sz w:val="21"/>
                      <w:szCs w:val="21"/>
                      <w:vertAlign w:val="superscript"/>
                    </w:rPr>
                    <w:t>-</w:t>
                  </w:r>
                  <w:r>
                    <w:rPr>
                      <w:rFonts w:hint="eastAsia" w:ascii="Times New Roman"/>
                      <w:color w:val="auto"/>
                      <w:sz w:val="21"/>
                      <w:szCs w:val="21"/>
                      <w:vertAlign w:val="superscript"/>
                      <w:lang w:val="en-US" w:eastAsia="zh-CN"/>
                    </w:rPr>
                    <w:t>10</w:t>
                  </w:r>
                  <w:r>
                    <w:rPr>
                      <w:rFonts w:ascii="Times New Roman"/>
                      <w:color w:val="auto"/>
                      <w:sz w:val="21"/>
                      <w:szCs w:val="21"/>
                    </w:rPr>
                    <w:t>cm/s；或参照GB18597 执行</w:t>
                  </w:r>
                </w:p>
              </w:tc>
            </w:tr>
            <w:tr w14:paraId="7A5816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2" w:type="pct"/>
                  <w:noWrap w:val="0"/>
                  <w:vAlign w:val="center"/>
                </w:tcPr>
                <w:p w14:paraId="5C1E257E">
                  <w:pPr>
                    <w:pStyle w:val="19"/>
                    <w:spacing w:line="240" w:lineRule="auto"/>
                    <w:ind w:firstLine="0"/>
                    <w:jc w:val="center"/>
                    <w:rPr>
                      <w:rFonts w:hint="eastAsia" w:ascii="Times New Roman" w:eastAsia="宋体"/>
                      <w:sz w:val="21"/>
                      <w:szCs w:val="21"/>
                      <w:lang w:eastAsia="zh-CN"/>
                    </w:rPr>
                  </w:pPr>
                  <w:r>
                    <w:rPr>
                      <w:rFonts w:hint="eastAsia" w:ascii="Times New Roman"/>
                      <w:sz w:val="21"/>
                      <w:szCs w:val="21"/>
                      <w:lang w:eastAsia="zh-CN"/>
                    </w:rPr>
                    <w:t>一般防渗区</w:t>
                  </w:r>
                </w:p>
              </w:tc>
              <w:tc>
                <w:tcPr>
                  <w:tcW w:w="1542" w:type="pct"/>
                  <w:noWrap w:val="0"/>
                  <w:vAlign w:val="center"/>
                </w:tcPr>
                <w:p w14:paraId="518CAEDB">
                  <w:pPr>
                    <w:pStyle w:val="19"/>
                    <w:spacing w:line="240" w:lineRule="auto"/>
                    <w:ind w:firstLine="0"/>
                    <w:jc w:val="center"/>
                    <w:rPr>
                      <w:rFonts w:hint="eastAsia" w:ascii="Times New Roman" w:eastAsia="宋体"/>
                      <w:sz w:val="21"/>
                      <w:szCs w:val="21"/>
                      <w:lang w:eastAsia="zh-CN"/>
                    </w:rPr>
                  </w:pPr>
                  <w:r>
                    <w:rPr>
                      <w:rFonts w:hint="eastAsia" w:ascii="Times New Roman"/>
                      <w:sz w:val="21"/>
                      <w:szCs w:val="21"/>
                      <w:lang w:eastAsia="zh-CN"/>
                    </w:rPr>
                    <w:t>一般固废区</w:t>
                  </w:r>
                </w:p>
              </w:tc>
              <w:tc>
                <w:tcPr>
                  <w:tcW w:w="2675" w:type="pct"/>
                  <w:noWrap w:val="0"/>
                  <w:vAlign w:val="center"/>
                </w:tcPr>
                <w:p w14:paraId="42B87C04">
                  <w:pPr>
                    <w:pStyle w:val="19"/>
                    <w:spacing w:line="240" w:lineRule="auto"/>
                    <w:ind w:firstLine="0"/>
                    <w:jc w:val="center"/>
                    <w:rPr>
                      <w:rFonts w:ascii="Times New Roman"/>
                      <w:sz w:val="21"/>
                      <w:szCs w:val="21"/>
                    </w:rPr>
                  </w:pPr>
                  <w:r>
                    <w:rPr>
                      <w:rFonts w:hint="eastAsia" w:ascii="Times New Roman"/>
                      <w:sz w:val="21"/>
                      <w:szCs w:val="21"/>
                    </w:rPr>
                    <w:t>等效黏土防渗层Mb≥1.5m，渗透系数K≤1×10</w:t>
                  </w:r>
                  <w:r>
                    <w:rPr>
                      <w:rFonts w:hint="eastAsia" w:ascii="Times New Roman"/>
                      <w:sz w:val="21"/>
                      <w:szCs w:val="21"/>
                      <w:vertAlign w:val="superscript"/>
                    </w:rPr>
                    <w:t>-7</w:t>
                  </w:r>
                  <w:r>
                    <w:rPr>
                      <w:rFonts w:hint="eastAsia" w:ascii="Times New Roman"/>
                      <w:sz w:val="21"/>
                      <w:szCs w:val="21"/>
                    </w:rPr>
                    <w:t>cm/s。</w:t>
                  </w:r>
                </w:p>
              </w:tc>
            </w:tr>
            <w:tr w14:paraId="14D4D9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2" w:type="pct"/>
                  <w:noWrap w:val="0"/>
                  <w:vAlign w:val="center"/>
                </w:tcPr>
                <w:p w14:paraId="78837F44">
                  <w:pPr>
                    <w:pStyle w:val="19"/>
                    <w:spacing w:line="240" w:lineRule="auto"/>
                    <w:ind w:firstLine="0"/>
                    <w:jc w:val="center"/>
                    <w:rPr>
                      <w:rFonts w:hint="eastAsia"/>
                      <w:sz w:val="21"/>
                      <w:szCs w:val="21"/>
                    </w:rPr>
                  </w:pPr>
                  <w:r>
                    <w:rPr>
                      <w:rFonts w:hint="eastAsia"/>
                      <w:sz w:val="21"/>
                      <w:szCs w:val="21"/>
                    </w:rPr>
                    <w:t>简单防渗</w:t>
                  </w:r>
                </w:p>
              </w:tc>
              <w:tc>
                <w:tcPr>
                  <w:tcW w:w="1542" w:type="pct"/>
                  <w:noWrap w:val="0"/>
                  <w:vAlign w:val="center"/>
                </w:tcPr>
                <w:p w14:paraId="13810060">
                  <w:pPr>
                    <w:pStyle w:val="19"/>
                    <w:spacing w:line="240" w:lineRule="auto"/>
                    <w:ind w:firstLine="0"/>
                    <w:jc w:val="center"/>
                    <w:rPr>
                      <w:rFonts w:hint="eastAsia" w:eastAsia="宋体"/>
                      <w:sz w:val="21"/>
                      <w:szCs w:val="21"/>
                      <w:lang w:eastAsia="zh-CN"/>
                    </w:rPr>
                  </w:pPr>
                  <w:r>
                    <w:rPr>
                      <w:rFonts w:hint="eastAsia"/>
                      <w:sz w:val="21"/>
                      <w:szCs w:val="21"/>
                      <w:lang w:eastAsia="zh-CN"/>
                    </w:rPr>
                    <w:t>医院其他区域</w:t>
                  </w:r>
                </w:p>
              </w:tc>
              <w:tc>
                <w:tcPr>
                  <w:tcW w:w="2675" w:type="pct"/>
                  <w:noWrap w:val="0"/>
                  <w:vAlign w:val="center"/>
                </w:tcPr>
                <w:p w14:paraId="276472AE">
                  <w:pPr>
                    <w:pStyle w:val="19"/>
                    <w:spacing w:line="240" w:lineRule="auto"/>
                    <w:jc w:val="center"/>
                    <w:rPr>
                      <w:sz w:val="21"/>
                      <w:szCs w:val="21"/>
                    </w:rPr>
                  </w:pPr>
                  <w:r>
                    <w:rPr>
                      <w:rFonts w:hint="eastAsia"/>
                      <w:sz w:val="21"/>
                      <w:szCs w:val="21"/>
                    </w:rPr>
                    <w:t>一般地面硬化</w:t>
                  </w:r>
                </w:p>
              </w:tc>
            </w:tr>
          </w:tbl>
          <w:p w14:paraId="29530AD7">
            <w:pPr>
              <w:spacing w:line="360" w:lineRule="auto"/>
              <w:ind w:firstLine="480" w:firstLineChars="200"/>
              <w:rPr>
                <w:rFonts w:ascii="宋体" w:hAnsi="宋体" w:cs="宋体"/>
                <w:sz w:val="24"/>
              </w:rPr>
            </w:pPr>
            <w:r>
              <w:rPr>
                <w:rFonts w:ascii="宋体" w:hAnsi="宋体" w:cs="宋体"/>
                <w:sz w:val="24"/>
              </w:rPr>
              <w:t>综上所述，本项目在采取上述防渗措施后，可有效防止营运期对区域地下水、 土壤环境的影响。</w:t>
            </w:r>
          </w:p>
          <w:p w14:paraId="410087C3">
            <w:pPr>
              <w:spacing w:line="360" w:lineRule="auto"/>
              <w:ind w:firstLine="482" w:firstLineChars="200"/>
              <w:rPr>
                <w:rFonts w:hint="eastAsia"/>
                <w:b/>
                <w:bCs/>
                <w:sz w:val="24"/>
              </w:rPr>
            </w:pPr>
            <w:r>
              <w:rPr>
                <w:rFonts w:hint="eastAsia"/>
                <w:b/>
                <w:bCs/>
                <w:sz w:val="24"/>
                <w:lang w:eastAsia="zh-CN"/>
              </w:rPr>
              <w:t>6.</w:t>
            </w:r>
            <w:r>
              <w:rPr>
                <w:rFonts w:hint="eastAsia"/>
                <w:b/>
                <w:bCs/>
                <w:sz w:val="24"/>
              </w:rPr>
              <w:t>环境风险分析</w:t>
            </w:r>
          </w:p>
          <w:p w14:paraId="4A7D2C5C">
            <w:pPr>
              <w:pStyle w:val="20"/>
              <w:spacing w:line="360" w:lineRule="auto"/>
              <w:ind w:firstLine="480"/>
              <w:rPr>
                <w:rFonts w:ascii="Times New Roman" w:hAnsi="Times New Roman"/>
                <w:lang w:bidi="ar"/>
              </w:rPr>
            </w:pPr>
            <w:r>
              <w:rPr>
                <w:rFonts w:ascii="Times New Roman" w:hAnsi="Times New Roman"/>
                <w:lang w:bidi="ar"/>
              </w:rPr>
              <w:t>根据生态环境部办公厅2020年12月24日印发的《建设项目环境影响报告表编制技术指南（污染影响类）（试行）》中具体编制要求</w:t>
            </w:r>
            <w:r>
              <w:rPr>
                <w:rFonts w:hint="eastAsia" w:ascii="Times New Roman" w:hAnsi="Times New Roman"/>
                <w:lang w:eastAsia="zh-CN" w:bidi="ar"/>
              </w:rPr>
              <w:t>“</w:t>
            </w:r>
            <w:r>
              <w:rPr>
                <w:rFonts w:ascii="Times New Roman" w:hAnsi="Times New Roman"/>
                <w:lang w:bidi="ar"/>
              </w:rPr>
              <w:t>明确有毒有害和易燃易爆等风险物质和风险源分布及可能影响途径，并提出相应环境风险防范措施</w:t>
            </w:r>
            <w:r>
              <w:rPr>
                <w:rFonts w:hint="eastAsia" w:ascii="Times New Roman" w:hAnsi="Times New Roman"/>
                <w:lang w:eastAsia="zh-CN" w:bidi="ar"/>
              </w:rPr>
              <w:t>”</w:t>
            </w:r>
            <w:r>
              <w:rPr>
                <w:rFonts w:ascii="Times New Roman" w:hAnsi="Times New Roman"/>
                <w:lang w:bidi="ar"/>
              </w:rPr>
              <w:t>。</w:t>
            </w:r>
          </w:p>
          <w:p w14:paraId="64C80504">
            <w:pPr>
              <w:pStyle w:val="12"/>
              <w:spacing w:line="360" w:lineRule="auto"/>
              <w:ind w:firstLine="482" w:firstLineChars="200"/>
              <w:rPr>
                <w:rFonts w:hint="eastAsia"/>
                <w:sz w:val="24"/>
              </w:rPr>
            </w:pPr>
            <w:r>
              <w:rPr>
                <w:rFonts w:hint="eastAsia"/>
                <w:b/>
                <w:bCs/>
                <w:sz w:val="24"/>
              </w:rPr>
              <w:t>6.1</w:t>
            </w:r>
            <w:r>
              <w:rPr>
                <w:rFonts w:ascii="Times New Roman" w:hAnsi="Times New Roman"/>
                <w:b/>
                <w:bCs/>
                <w:lang w:bidi="ar"/>
              </w:rPr>
              <w:t>风险源分布及影响途径</w:t>
            </w:r>
          </w:p>
          <w:p w14:paraId="172AF9A1">
            <w:pPr>
              <w:pStyle w:val="12"/>
              <w:spacing w:line="360" w:lineRule="auto"/>
              <w:ind w:firstLine="480" w:firstLineChars="200"/>
              <w:rPr>
                <w:rFonts w:hint="eastAsia"/>
                <w:sz w:val="24"/>
                <w:highlight w:val="none"/>
              </w:rPr>
            </w:pPr>
            <w:r>
              <w:rPr>
                <w:rFonts w:hint="eastAsia"/>
                <w:sz w:val="24"/>
              </w:rPr>
              <w:t>根据《建设项目环境风险评价技术导则》（HJ169-2018），需要计算所涉及的每种危险物质在厂界内的最大存在总量与其在附录B中对应临界量的比值Q。根据《建设项目环境风险评价技</w:t>
            </w:r>
            <w:r>
              <w:rPr>
                <w:rFonts w:hint="eastAsia"/>
                <w:sz w:val="24"/>
                <w:highlight w:val="none"/>
              </w:rPr>
              <w:t>术导则》（HJ169-2018）附录B进行辨识，项目涉及的主要风险物质值计算见下表。</w:t>
            </w:r>
          </w:p>
          <w:p w14:paraId="41817CFA">
            <w:pPr>
              <w:autoSpaceDE w:val="0"/>
              <w:autoSpaceDN w:val="0"/>
              <w:jc w:val="center"/>
              <w:rPr>
                <w:rFonts w:cs="Times New Roman"/>
                <w:b/>
                <w:bCs/>
                <w:color w:val="000000"/>
                <w:kern w:val="0"/>
                <w:szCs w:val="21"/>
                <w:highlight w:val="none"/>
                <w:lang w:bidi="ar"/>
              </w:rPr>
            </w:pPr>
          </w:p>
          <w:p w14:paraId="20CF5C8D">
            <w:pPr>
              <w:autoSpaceDE w:val="0"/>
              <w:autoSpaceDN w:val="0"/>
              <w:jc w:val="center"/>
              <w:rPr>
                <w:b/>
                <w:bCs/>
                <w:sz w:val="21"/>
                <w:szCs w:val="21"/>
                <w:highlight w:val="none"/>
              </w:rPr>
            </w:pPr>
            <w:r>
              <w:rPr>
                <w:rFonts w:cs="Times New Roman"/>
                <w:b/>
                <w:bCs/>
                <w:color w:val="000000"/>
                <w:kern w:val="0"/>
                <w:szCs w:val="21"/>
                <w:highlight w:val="none"/>
                <w:lang w:bidi="ar"/>
              </w:rPr>
              <w:t>表4-</w:t>
            </w:r>
            <w:r>
              <w:rPr>
                <w:rFonts w:hint="eastAsia" w:cs="Times New Roman"/>
                <w:b/>
                <w:bCs/>
                <w:color w:val="000000"/>
                <w:kern w:val="0"/>
                <w:szCs w:val="21"/>
                <w:highlight w:val="none"/>
                <w:lang w:val="en-US" w:eastAsia="zh-CN" w:bidi="ar"/>
              </w:rPr>
              <w:t>19</w:t>
            </w:r>
            <w:r>
              <w:rPr>
                <w:b/>
                <w:bCs/>
                <w:sz w:val="21"/>
                <w:szCs w:val="21"/>
                <w:highlight w:val="none"/>
              </w:rPr>
              <w:t xml:space="preserve"> </w:t>
            </w:r>
            <w:r>
              <w:rPr>
                <w:b/>
                <w:bCs/>
                <w:sz w:val="21"/>
                <w:szCs w:val="21"/>
                <w:highlight w:val="none"/>
                <w:lang w:val="zh-TW" w:eastAsia="zh-TW"/>
              </w:rPr>
              <w:t>风险物质数量与其临界量比值</w:t>
            </w:r>
            <w:r>
              <w:rPr>
                <w:b/>
                <w:bCs/>
                <w:sz w:val="21"/>
                <w:szCs w:val="21"/>
                <w:highlight w:val="none"/>
              </w:rPr>
              <w:t>（Q）</w:t>
            </w:r>
            <w:r>
              <w:rPr>
                <w:b/>
                <w:bCs/>
                <w:sz w:val="21"/>
                <w:szCs w:val="21"/>
                <w:highlight w:val="none"/>
                <w:lang w:val="zh-TW" w:eastAsia="zh-TW"/>
              </w:rPr>
              <w:t>计算表</w:t>
            </w:r>
          </w:p>
          <w:tbl>
            <w:tblPr>
              <w:tblStyle w:val="14"/>
              <w:tblW w:w="495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1"/>
              <w:gridCol w:w="2178"/>
              <w:gridCol w:w="1217"/>
              <w:gridCol w:w="752"/>
              <w:gridCol w:w="1138"/>
              <w:gridCol w:w="1957"/>
            </w:tblGrid>
            <w:tr w14:paraId="5126DE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 w:hRule="atLeast"/>
                <w:jc w:val="center"/>
              </w:trPr>
              <w:tc>
                <w:tcPr>
                  <w:tcW w:w="542" w:type="pct"/>
                  <w:noWrap w:val="0"/>
                  <w:vAlign w:val="center"/>
                </w:tcPr>
                <w:p w14:paraId="5A69C502">
                  <w:pPr>
                    <w:widowControl/>
                    <w:jc w:val="center"/>
                    <w:rPr>
                      <w:b/>
                      <w:bCs/>
                      <w:spacing w:val="-1"/>
                      <w:kern w:val="0"/>
                      <w:szCs w:val="21"/>
                      <w:highlight w:val="none"/>
                    </w:rPr>
                  </w:pPr>
                  <w:r>
                    <w:rPr>
                      <w:b/>
                      <w:bCs/>
                      <w:spacing w:val="-1"/>
                      <w:kern w:val="0"/>
                      <w:szCs w:val="21"/>
                      <w:highlight w:val="none"/>
                    </w:rPr>
                    <w:t>序号</w:t>
                  </w:r>
                </w:p>
              </w:tc>
              <w:tc>
                <w:tcPr>
                  <w:tcW w:w="1340" w:type="pct"/>
                  <w:noWrap w:val="0"/>
                  <w:vAlign w:val="center"/>
                </w:tcPr>
                <w:p w14:paraId="62E185DA">
                  <w:pPr>
                    <w:widowControl/>
                    <w:jc w:val="center"/>
                    <w:rPr>
                      <w:b/>
                      <w:bCs/>
                      <w:spacing w:val="-1"/>
                      <w:kern w:val="0"/>
                      <w:szCs w:val="21"/>
                      <w:highlight w:val="none"/>
                    </w:rPr>
                  </w:pPr>
                  <w:r>
                    <w:rPr>
                      <w:b/>
                      <w:bCs/>
                      <w:spacing w:val="-1"/>
                      <w:kern w:val="0"/>
                      <w:szCs w:val="21"/>
                      <w:highlight w:val="none"/>
                    </w:rPr>
                    <w:t>危险物质名称</w:t>
                  </w:r>
                </w:p>
              </w:tc>
              <w:tc>
                <w:tcPr>
                  <w:tcW w:w="749" w:type="pct"/>
                  <w:noWrap w:val="0"/>
                  <w:vAlign w:val="center"/>
                </w:tcPr>
                <w:p w14:paraId="3FF73CB5">
                  <w:pPr>
                    <w:widowControl/>
                    <w:jc w:val="center"/>
                    <w:rPr>
                      <w:b/>
                      <w:bCs/>
                      <w:spacing w:val="-1"/>
                      <w:kern w:val="0"/>
                      <w:szCs w:val="21"/>
                      <w:highlight w:val="none"/>
                    </w:rPr>
                  </w:pPr>
                  <w:r>
                    <w:rPr>
                      <w:b/>
                      <w:bCs/>
                      <w:spacing w:val="-1"/>
                      <w:kern w:val="0"/>
                      <w:szCs w:val="21"/>
                      <w:highlight w:val="none"/>
                    </w:rPr>
                    <w:t>CAS号</w:t>
                  </w:r>
                </w:p>
              </w:tc>
              <w:tc>
                <w:tcPr>
                  <w:tcW w:w="462" w:type="pct"/>
                  <w:noWrap w:val="0"/>
                  <w:vAlign w:val="center"/>
                </w:tcPr>
                <w:p w14:paraId="676A7A4F">
                  <w:pPr>
                    <w:widowControl/>
                    <w:jc w:val="center"/>
                    <w:rPr>
                      <w:b/>
                      <w:bCs/>
                      <w:spacing w:val="-1"/>
                      <w:kern w:val="0"/>
                      <w:szCs w:val="21"/>
                      <w:highlight w:val="none"/>
                    </w:rPr>
                  </w:pPr>
                  <w:r>
                    <w:rPr>
                      <w:b/>
                      <w:bCs/>
                      <w:spacing w:val="-1"/>
                      <w:kern w:val="0"/>
                      <w:szCs w:val="21"/>
                      <w:highlight w:val="none"/>
                    </w:rPr>
                    <w:t>临界量（t）</w:t>
                  </w:r>
                </w:p>
              </w:tc>
              <w:tc>
                <w:tcPr>
                  <w:tcW w:w="700" w:type="pct"/>
                  <w:noWrap w:val="0"/>
                  <w:vAlign w:val="center"/>
                </w:tcPr>
                <w:p w14:paraId="4AB58039">
                  <w:pPr>
                    <w:widowControl/>
                    <w:jc w:val="center"/>
                    <w:rPr>
                      <w:b/>
                      <w:bCs/>
                      <w:spacing w:val="-1"/>
                      <w:kern w:val="0"/>
                      <w:szCs w:val="21"/>
                      <w:highlight w:val="none"/>
                    </w:rPr>
                  </w:pPr>
                  <w:r>
                    <w:rPr>
                      <w:b/>
                      <w:bCs/>
                      <w:spacing w:val="-1"/>
                      <w:kern w:val="0"/>
                      <w:szCs w:val="21"/>
                      <w:highlight w:val="none"/>
                    </w:rPr>
                    <w:t>最大储存量（t）</w:t>
                  </w:r>
                </w:p>
              </w:tc>
              <w:tc>
                <w:tcPr>
                  <w:tcW w:w="1204" w:type="pct"/>
                  <w:noWrap w:val="0"/>
                  <w:vAlign w:val="center"/>
                </w:tcPr>
                <w:p w14:paraId="1E0AC888">
                  <w:pPr>
                    <w:widowControl/>
                    <w:jc w:val="center"/>
                    <w:rPr>
                      <w:b/>
                      <w:bCs/>
                      <w:spacing w:val="-1"/>
                      <w:kern w:val="0"/>
                      <w:szCs w:val="21"/>
                      <w:highlight w:val="none"/>
                    </w:rPr>
                  </w:pPr>
                  <w:r>
                    <w:rPr>
                      <w:b/>
                      <w:bCs/>
                      <w:spacing w:val="-1"/>
                      <w:kern w:val="0"/>
                      <w:szCs w:val="21"/>
                      <w:highlight w:val="none"/>
                    </w:rPr>
                    <w:t>比值（Q）</w:t>
                  </w:r>
                </w:p>
              </w:tc>
            </w:tr>
            <w:tr w14:paraId="12EDD2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 w:hRule="atLeast"/>
                <w:jc w:val="center"/>
              </w:trPr>
              <w:tc>
                <w:tcPr>
                  <w:tcW w:w="542" w:type="pct"/>
                  <w:noWrap w:val="0"/>
                  <w:vAlign w:val="center"/>
                </w:tcPr>
                <w:p w14:paraId="232B03E0">
                  <w:pPr>
                    <w:widowControl/>
                    <w:jc w:val="center"/>
                    <w:rPr>
                      <w:spacing w:val="-1"/>
                      <w:kern w:val="0"/>
                      <w:szCs w:val="21"/>
                      <w:highlight w:val="none"/>
                    </w:rPr>
                  </w:pPr>
                  <w:r>
                    <w:rPr>
                      <w:spacing w:val="-1"/>
                      <w:kern w:val="0"/>
                      <w:szCs w:val="21"/>
                      <w:highlight w:val="none"/>
                    </w:rPr>
                    <w:t>1</w:t>
                  </w:r>
                </w:p>
              </w:tc>
              <w:tc>
                <w:tcPr>
                  <w:tcW w:w="1340" w:type="pct"/>
                  <w:noWrap w:val="0"/>
                  <w:vAlign w:val="center"/>
                </w:tcPr>
                <w:p w14:paraId="7E516E23">
                  <w:pPr>
                    <w:widowControl/>
                    <w:jc w:val="center"/>
                    <w:rPr>
                      <w:spacing w:val="-1"/>
                      <w:kern w:val="0"/>
                      <w:szCs w:val="21"/>
                      <w:highlight w:val="none"/>
                    </w:rPr>
                  </w:pPr>
                  <w:r>
                    <w:rPr>
                      <w:spacing w:val="-1"/>
                      <w:kern w:val="0"/>
                      <w:szCs w:val="21"/>
                      <w:highlight w:val="none"/>
                    </w:rPr>
                    <w:t>乙醇（酒精75%）</w:t>
                  </w:r>
                </w:p>
              </w:tc>
              <w:tc>
                <w:tcPr>
                  <w:tcW w:w="749" w:type="pct"/>
                  <w:noWrap w:val="0"/>
                  <w:vAlign w:val="center"/>
                </w:tcPr>
                <w:p w14:paraId="10DEE895">
                  <w:pPr>
                    <w:widowControl/>
                    <w:jc w:val="center"/>
                    <w:rPr>
                      <w:spacing w:val="-1"/>
                      <w:kern w:val="0"/>
                      <w:szCs w:val="21"/>
                      <w:highlight w:val="none"/>
                    </w:rPr>
                  </w:pPr>
                  <w:r>
                    <w:rPr>
                      <w:spacing w:val="-1"/>
                      <w:kern w:val="0"/>
                      <w:szCs w:val="21"/>
                      <w:highlight w:val="none"/>
                    </w:rPr>
                    <w:t>/</w:t>
                  </w:r>
                </w:p>
              </w:tc>
              <w:tc>
                <w:tcPr>
                  <w:tcW w:w="462" w:type="pct"/>
                  <w:noWrap w:val="0"/>
                  <w:vAlign w:val="center"/>
                </w:tcPr>
                <w:p w14:paraId="3449D2F5">
                  <w:pPr>
                    <w:widowControl/>
                    <w:jc w:val="center"/>
                    <w:rPr>
                      <w:spacing w:val="-1"/>
                      <w:kern w:val="0"/>
                      <w:szCs w:val="21"/>
                      <w:highlight w:val="none"/>
                    </w:rPr>
                  </w:pPr>
                  <w:r>
                    <w:rPr>
                      <w:spacing w:val="-1"/>
                      <w:kern w:val="0"/>
                      <w:szCs w:val="21"/>
                      <w:highlight w:val="none"/>
                    </w:rPr>
                    <w:t>50</w:t>
                  </w:r>
                </w:p>
              </w:tc>
              <w:tc>
                <w:tcPr>
                  <w:tcW w:w="700" w:type="pct"/>
                  <w:noWrap w:val="0"/>
                  <w:vAlign w:val="center"/>
                </w:tcPr>
                <w:p w14:paraId="0300A06B">
                  <w:pPr>
                    <w:widowControl/>
                    <w:jc w:val="center"/>
                    <w:rPr>
                      <w:rFonts w:hint="default" w:eastAsia="宋体"/>
                      <w:spacing w:val="-1"/>
                      <w:kern w:val="0"/>
                      <w:szCs w:val="21"/>
                      <w:highlight w:val="none"/>
                      <w:lang w:val="en-US" w:eastAsia="zh-CN"/>
                    </w:rPr>
                  </w:pPr>
                  <w:r>
                    <w:rPr>
                      <w:rFonts w:hint="eastAsia"/>
                      <w:spacing w:val="-1"/>
                      <w:kern w:val="0"/>
                      <w:szCs w:val="21"/>
                      <w:highlight w:val="none"/>
                      <w:lang w:val="en-US" w:eastAsia="zh-CN"/>
                    </w:rPr>
                    <w:t>0.025</w:t>
                  </w:r>
                </w:p>
              </w:tc>
              <w:tc>
                <w:tcPr>
                  <w:tcW w:w="1957" w:type="dxa"/>
                  <w:noWrap w:val="0"/>
                  <w:vAlign w:val="center"/>
                </w:tcPr>
                <w:p w14:paraId="361A52D5">
                  <w:pPr>
                    <w:keepNext w:val="0"/>
                    <w:keepLines w:val="0"/>
                    <w:widowControl/>
                    <w:suppressLineNumbers w:val="0"/>
                    <w:jc w:val="center"/>
                    <w:textAlignment w:val="center"/>
                    <w:rPr>
                      <w:rFonts w:hint="default" w:eastAsia="宋体"/>
                      <w:spacing w:val="-1"/>
                      <w:kern w:val="0"/>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0.0005</w:t>
                  </w:r>
                </w:p>
              </w:tc>
            </w:tr>
            <w:tr w14:paraId="424C54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 w:hRule="atLeast"/>
                <w:jc w:val="center"/>
              </w:trPr>
              <w:tc>
                <w:tcPr>
                  <w:tcW w:w="542" w:type="pct"/>
                  <w:noWrap w:val="0"/>
                  <w:vAlign w:val="center"/>
                </w:tcPr>
                <w:p w14:paraId="2A89A81D">
                  <w:pPr>
                    <w:widowControl/>
                    <w:jc w:val="center"/>
                    <w:rPr>
                      <w:spacing w:val="-1"/>
                      <w:kern w:val="0"/>
                      <w:szCs w:val="21"/>
                      <w:highlight w:val="none"/>
                    </w:rPr>
                  </w:pPr>
                  <w:r>
                    <w:rPr>
                      <w:spacing w:val="-1"/>
                      <w:kern w:val="0"/>
                      <w:szCs w:val="21"/>
                      <w:highlight w:val="none"/>
                    </w:rPr>
                    <w:t>2</w:t>
                  </w:r>
                </w:p>
              </w:tc>
              <w:tc>
                <w:tcPr>
                  <w:tcW w:w="1340" w:type="pct"/>
                  <w:noWrap w:val="0"/>
                  <w:vAlign w:val="center"/>
                </w:tcPr>
                <w:p w14:paraId="57FC1392">
                  <w:pPr>
                    <w:widowControl/>
                    <w:jc w:val="center"/>
                    <w:rPr>
                      <w:spacing w:val="-1"/>
                      <w:kern w:val="0"/>
                      <w:szCs w:val="21"/>
                      <w:highlight w:val="none"/>
                    </w:rPr>
                  </w:pPr>
                  <w:r>
                    <w:rPr>
                      <w:spacing w:val="-1"/>
                      <w:kern w:val="0"/>
                      <w:szCs w:val="21"/>
                      <w:highlight w:val="none"/>
                    </w:rPr>
                    <w:t>乙醇（酒精95%）</w:t>
                  </w:r>
                </w:p>
              </w:tc>
              <w:tc>
                <w:tcPr>
                  <w:tcW w:w="749" w:type="pct"/>
                  <w:noWrap w:val="0"/>
                  <w:vAlign w:val="center"/>
                </w:tcPr>
                <w:p w14:paraId="4A2F35F0">
                  <w:pPr>
                    <w:widowControl/>
                    <w:jc w:val="center"/>
                    <w:rPr>
                      <w:spacing w:val="-1"/>
                      <w:kern w:val="0"/>
                      <w:szCs w:val="21"/>
                      <w:highlight w:val="none"/>
                    </w:rPr>
                  </w:pPr>
                  <w:r>
                    <w:rPr>
                      <w:spacing w:val="-1"/>
                      <w:kern w:val="0"/>
                      <w:szCs w:val="21"/>
                      <w:highlight w:val="none"/>
                    </w:rPr>
                    <w:t>/</w:t>
                  </w:r>
                </w:p>
              </w:tc>
              <w:tc>
                <w:tcPr>
                  <w:tcW w:w="462" w:type="pct"/>
                  <w:noWrap w:val="0"/>
                  <w:vAlign w:val="center"/>
                </w:tcPr>
                <w:p w14:paraId="7F88857D">
                  <w:pPr>
                    <w:widowControl/>
                    <w:jc w:val="center"/>
                    <w:rPr>
                      <w:spacing w:val="-1"/>
                      <w:kern w:val="0"/>
                      <w:szCs w:val="21"/>
                      <w:highlight w:val="none"/>
                    </w:rPr>
                  </w:pPr>
                  <w:r>
                    <w:rPr>
                      <w:spacing w:val="-1"/>
                      <w:kern w:val="0"/>
                      <w:szCs w:val="21"/>
                      <w:highlight w:val="none"/>
                    </w:rPr>
                    <w:t>50</w:t>
                  </w:r>
                </w:p>
              </w:tc>
              <w:tc>
                <w:tcPr>
                  <w:tcW w:w="700" w:type="pct"/>
                  <w:noWrap w:val="0"/>
                  <w:vAlign w:val="center"/>
                </w:tcPr>
                <w:p w14:paraId="0EA01299">
                  <w:pPr>
                    <w:widowControl/>
                    <w:jc w:val="center"/>
                    <w:rPr>
                      <w:rFonts w:hint="default" w:eastAsia="宋体"/>
                      <w:spacing w:val="-1"/>
                      <w:kern w:val="0"/>
                      <w:szCs w:val="21"/>
                      <w:highlight w:val="none"/>
                      <w:lang w:val="en-US" w:eastAsia="zh-CN"/>
                    </w:rPr>
                  </w:pPr>
                  <w:r>
                    <w:rPr>
                      <w:rFonts w:hint="eastAsia"/>
                      <w:spacing w:val="-1"/>
                      <w:kern w:val="0"/>
                      <w:szCs w:val="21"/>
                      <w:highlight w:val="none"/>
                      <w:lang w:val="en-US" w:eastAsia="zh-CN"/>
                    </w:rPr>
                    <w:t>0.011</w:t>
                  </w:r>
                </w:p>
              </w:tc>
              <w:tc>
                <w:tcPr>
                  <w:tcW w:w="1957" w:type="dxa"/>
                  <w:noWrap w:val="0"/>
                  <w:vAlign w:val="center"/>
                </w:tcPr>
                <w:p w14:paraId="0ED4D9C9">
                  <w:pPr>
                    <w:keepNext w:val="0"/>
                    <w:keepLines w:val="0"/>
                    <w:widowControl/>
                    <w:suppressLineNumbers w:val="0"/>
                    <w:jc w:val="center"/>
                    <w:textAlignment w:val="center"/>
                    <w:rPr>
                      <w:rFonts w:hint="default" w:eastAsia="宋体"/>
                      <w:spacing w:val="-1"/>
                      <w:kern w:val="0"/>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0.00022</w:t>
                  </w:r>
                </w:p>
              </w:tc>
            </w:tr>
            <w:tr w14:paraId="1D0D6B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 w:hRule="atLeast"/>
                <w:jc w:val="center"/>
              </w:trPr>
              <w:tc>
                <w:tcPr>
                  <w:tcW w:w="542" w:type="pct"/>
                  <w:noWrap w:val="0"/>
                  <w:vAlign w:val="center"/>
                </w:tcPr>
                <w:p w14:paraId="7847F836">
                  <w:pPr>
                    <w:widowControl/>
                    <w:jc w:val="center"/>
                    <w:rPr>
                      <w:rFonts w:hint="eastAsia" w:eastAsia="宋体"/>
                      <w:spacing w:val="-1"/>
                      <w:kern w:val="0"/>
                      <w:szCs w:val="21"/>
                      <w:highlight w:val="none"/>
                      <w:lang w:eastAsia="zh-CN"/>
                    </w:rPr>
                  </w:pPr>
                  <w:r>
                    <w:rPr>
                      <w:rFonts w:hint="eastAsia"/>
                      <w:spacing w:val="-1"/>
                      <w:kern w:val="0"/>
                      <w:szCs w:val="21"/>
                      <w:highlight w:val="none"/>
                      <w:lang w:val="en-US" w:eastAsia="zh-CN"/>
                    </w:rPr>
                    <w:t>3</w:t>
                  </w:r>
                </w:p>
              </w:tc>
              <w:tc>
                <w:tcPr>
                  <w:tcW w:w="1340" w:type="pct"/>
                  <w:noWrap w:val="0"/>
                  <w:vAlign w:val="center"/>
                </w:tcPr>
                <w:p w14:paraId="5D650003">
                  <w:pPr>
                    <w:widowControl/>
                    <w:jc w:val="center"/>
                    <w:rPr>
                      <w:spacing w:val="-1"/>
                      <w:kern w:val="0"/>
                      <w:szCs w:val="21"/>
                      <w:highlight w:val="none"/>
                    </w:rPr>
                  </w:pPr>
                  <w:r>
                    <w:rPr>
                      <w:spacing w:val="-1"/>
                      <w:kern w:val="0"/>
                      <w:szCs w:val="21"/>
                      <w:highlight w:val="none"/>
                    </w:rPr>
                    <w:t>二氧化氯</w:t>
                  </w:r>
                </w:p>
              </w:tc>
              <w:tc>
                <w:tcPr>
                  <w:tcW w:w="749" w:type="pct"/>
                  <w:noWrap w:val="0"/>
                  <w:vAlign w:val="center"/>
                </w:tcPr>
                <w:p w14:paraId="543AC8B4">
                  <w:pPr>
                    <w:widowControl/>
                    <w:jc w:val="center"/>
                    <w:rPr>
                      <w:spacing w:val="-1"/>
                      <w:kern w:val="0"/>
                      <w:szCs w:val="21"/>
                      <w:highlight w:val="none"/>
                    </w:rPr>
                  </w:pPr>
                  <w:r>
                    <w:rPr>
                      <w:spacing w:val="-1"/>
                      <w:kern w:val="0"/>
                      <w:szCs w:val="21"/>
                      <w:highlight w:val="none"/>
                    </w:rPr>
                    <w:t>10049-04-4</w:t>
                  </w:r>
                </w:p>
              </w:tc>
              <w:tc>
                <w:tcPr>
                  <w:tcW w:w="462" w:type="pct"/>
                  <w:noWrap w:val="0"/>
                  <w:vAlign w:val="center"/>
                </w:tcPr>
                <w:p w14:paraId="4AD3C03C">
                  <w:pPr>
                    <w:adjustRightInd w:val="0"/>
                    <w:snapToGrid w:val="0"/>
                    <w:jc w:val="center"/>
                    <w:rPr>
                      <w:rFonts w:hint="default" w:eastAsia="宋体"/>
                      <w:szCs w:val="21"/>
                      <w:highlight w:val="none"/>
                      <w:lang w:val="en-US" w:eastAsia="zh-CN"/>
                    </w:rPr>
                  </w:pPr>
                  <w:r>
                    <w:rPr>
                      <w:rFonts w:hint="eastAsia"/>
                      <w:szCs w:val="21"/>
                      <w:highlight w:val="none"/>
                      <w:lang w:val="en-US" w:eastAsia="zh-CN"/>
                    </w:rPr>
                    <w:t>0.5</w:t>
                  </w:r>
                </w:p>
              </w:tc>
              <w:tc>
                <w:tcPr>
                  <w:tcW w:w="700" w:type="pct"/>
                  <w:noWrap w:val="0"/>
                  <w:vAlign w:val="center"/>
                </w:tcPr>
                <w:p w14:paraId="67B9071A">
                  <w:pPr>
                    <w:adjustRightInd w:val="0"/>
                    <w:snapToGrid w:val="0"/>
                    <w:jc w:val="center"/>
                    <w:rPr>
                      <w:szCs w:val="21"/>
                      <w:highlight w:val="none"/>
                    </w:rPr>
                  </w:pPr>
                  <w:r>
                    <w:rPr>
                      <w:szCs w:val="21"/>
                      <w:highlight w:val="none"/>
                    </w:rPr>
                    <w:t>0.049</w:t>
                  </w:r>
                </w:p>
              </w:tc>
              <w:tc>
                <w:tcPr>
                  <w:tcW w:w="1957" w:type="dxa"/>
                  <w:noWrap w:val="0"/>
                  <w:vAlign w:val="center"/>
                </w:tcPr>
                <w:p w14:paraId="22C60A95">
                  <w:pPr>
                    <w:keepNext w:val="0"/>
                    <w:keepLines w:val="0"/>
                    <w:widowControl/>
                    <w:suppressLineNumbers w:val="0"/>
                    <w:jc w:val="center"/>
                    <w:textAlignment w:val="center"/>
                    <w:rPr>
                      <w:color w:val="000000"/>
                      <w:kern w:val="0"/>
                      <w:szCs w:val="21"/>
                      <w:highlight w:val="none"/>
                    </w:rPr>
                  </w:pPr>
                  <w:r>
                    <w:rPr>
                      <w:rFonts w:hint="default" w:ascii="Times New Roman" w:hAnsi="Times New Roman" w:eastAsia="宋体" w:cs="Times New Roman"/>
                      <w:i w:val="0"/>
                      <w:iCs w:val="0"/>
                      <w:color w:val="000000"/>
                      <w:kern w:val="0"/>
                      <w:sz w:val="21"/>
                      <w:szCs w:val="21"/>
                      <w:u w:val="none"/>
                      <w:lang w:val="en-US" w:eastAsia="zh-CN" w:bidi="ar"/>
                    </w:rPr>
                    <w:t>0.098</w:t>
                  </w:r>
                </w:p>
              </w:tc>
            </w:tr>
            <w:tr w14:paraId="2931E0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 w:hRule="atLeast"/>
                <w:jc w:val="center"/>
              </w:trPr>
              <w:tc>
                <w:tcPr>
                  <w:tcW w:w="542" w:type="pct"/>
                  <w:noWrap w:val="0"/>
                  <w:vAlign w:val="center"/>
                </w:tcPr>
                <w:p w14:paraId="1B7F97E4">
                  <w:pPr>
                    <w:widowControl/>
                    <w:jc w:val="center"/>
                    <w:rPr>
                      <w:rFonts w:hint="default"/>
                      <w:spacing w:val="-1"/>
                      <w:kern w:val="0"/>
                      <w:szCs w:val="21"/>
                      <w:highlight w:val="none"/>
                      <w:lang w:val="en-US" w:eastAsia="zh-CN"/>
                    </w:rPr>
                  </w:pPr>
                  <w:r>
                    <w:rPr>
                      <w:rFonts w:hint="eastAsia"/>
                      <w:spacing w:val="-1"/>
                      <w:kern w:val="0"/>
                      <w:szCs w:val="21"/>
                      <w:highlight w:val="none"/>
                      <w:lang w:val="en-US" w:eastAsia="zh-CN"/>
                    </w:rPr>
                    <w:t>4</w:t>
                  </w:r>
                </w:p>
              </w:tc>
              <w:tc>
                <w:tcPr>
                  <w:tcW w:w="1340" w:type="pct"/>
                  <w:noWrap w:val="0"/>
                  <w:vAlign w:val="center"/>
                </w:tcPr>
                <w:p w14:paraId="47EEE868">
                  <w:pPr>
                    <w:widowControl/>
                    <w:jc w:val="center"/>
                    <w:rPr>
                      <w:rFonts w:hint="eastAsia" w:eastAsia="宋体"/>
                      <w:spacing w:val="-1"/>
                      <w:kern w:val="0"/>
                      <w:szCs w:val="21"/>
                      <w:highlight w:val="none"/>
                      <w:lang w:eastAsia="zh-CN"/>
                    </w:rPr>
                  </w:pPr>
                  <w:r>
                    <w:rPr>
                      <w:rFonts w:hint="eastAsia"/>
                      <w:spacing w:val="-1"/>
                      <w:kern w:val="0"/>
                      <w:szCs w:val="21"/>
                      <w:highlight w:val="none"/>
                      <w:lang w:eastAsia="zh-CN"/>
                    </w:rPr>
                    <w:t>柴油</w:t>
                  </w:r>
                </w:p>
              </w:tc>
              <w:tc>
                <w:tcPr>
                  <w:tcW w:w="749" w:type="pct"/>
                  <w:noWrap w:val="0"/>
                  <w:vAlign w:val="center"/>
                </w:tcPr>
                <w:p w14:paraId="0A36EB37">
                  <w:pPr>
                    <w:widowControl/>
                    <w:jc w:val="center"/>
                    <w:rPr>
                      <w:spacing w:val="-1"/>
                      <w:kern w:val="0"/>
                      <w:szCs w:val="21"/>
                      <w:highlight w:val="none"/>
                    </w:rPr>
                  </w:pPr>
                  <w:r>
                    <w:rPr>
                      <w:rFonts w:hint="eastAsia"/>
                      <w:spacing w:val="-1"/>
                      <w:kern w:val="0"/>
                      <w:szCs w:val="21"/>
                      <w:highlight w:val="none"/>
                    </w:rPr>
                    <w:t>68334-30-5</w:t>
                  </w:r>
                </w:p>
              </w:tc>
              <w:tc>
                <w:tcPr>
                  <w:tcW w:w="462" w:type="pct"/>
                  <w:noWrap w:val="0"/>
                  <w:vAlign w:val="center"/>
                </w:tcPr>
                <w:p w14:paraId="7307A580">
                  <w:pPr>
                    <w:adjustRightInd w:val="0"/>
                    <w:snapToGrid w:val="0"/>
                    <w:jc w:val="center"/>
                    <w:rPr>
                      <w:rFonts w:hint="default" w:eastAsia="宋体"/>
                      <w:szCs w:val="21"/>
                      <w:highlight w:val="none"/>
                      <w:lang w:val="en-US" w:eastAsia="zh-CN"/>
                    </w:rPr>
                  </w:pPr>
                  <w:r>
                    <w:rPr>
                      <w:rFonts w:hint="eastAsia"/>
                      <w:szCs w:val="21"/>
                      <w:highlight w:val="none"/>
                      <w:lang w:val="en-US" w:eastAsia="zh-CN"/>
                    </w:rPr>
                    <w:t>2500</w:t>
                  </w:r>
                </w:p>
              </w:tc>
              <w:tc>
                <w:tcPr>
                  <w:tcW w:w="700" w:type="pct"/>
                  <w:noWrap w:val="0"/>
                  <w:vAlign w:val="center"/>
                </w:tcPr>
                <w:p w14:paraId="3385DC84">
                  <w:pPr>
                    <w:adjustRightInd w:val="0"/>
                    <w:snapToGrid w:val="0"/>
                    <w:jc w:val="center"/>
                    <w:rPr>
                      <w:rFonts w:hint="default" w:eastAsia="宋体"/>
                      <w:szCs w:val="21"/>
                      <w:highlight w:val="none"/>
                      <w:lang w:val="en-US" w:eastAsia="zh-CN"/>
                    </w:rPr>
                  </w:pPr>
                  <w:r>
                    <w:rPr>
                      <w:rFonts w:hint="eastAsia"/>
                      <w:szCs w:val="21"/>
                      <w:highlight w:val="none"/>
                      <w:lang w:val="en-US" w:eastAsia="zh-CN"/>
                    </w:rPr>
                    <w:t>0.5</w:t>
                  </w:r>
                </w:p>
              </w:tc>
              <w:tc>
                <w:tcPr>
                  <w:tcW w:w="1957" w:type="dxa"/>
                  <w:noWrap w:val="0"/>
                  <w:vAlign w:val="center"/>
                </w:tcPr>
                <w:p w14:paraId="4E97ABDC">
                  <w:pPr>
                    <w:keepNext w:val="0"/>
                    <w:keepLines w:val="0"/>
                    <w:widowControl/>
                    <w:suppressLineNumbers w:val="0"/>
                    <w:jc w:val="center"/>
                    <w:textAlignment w:val="center"/>
                    <w:rPr>
                      <w:rFonts w:hint="default" w:eastAsia="宋体"/>
                      <w:color w:val="000000"/>
                      <w:kern w:val="0"/>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0.0002</w:t>
                  </w:r>
                </w:p>
              </w:tc>
            </w:tr>
            <w:tr w14:paraId="463D9B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 w:hRule="atLeast"/>
                <w:jc w:val="center"/>
              </w:trPr>
              <w:tc>
                <w:tcPr>
                  <w:tcW w:w="542" w:type="pct"/>
                  <w:noWrap w:val="0"/>
                  <w:vAlign w:val="center"/>
                </w:tcPr>
                <w:p w14:paraId="2AE4D0C2">
                  <w:pPr>
                    <w:widowControl/>
                    <w:jc w:val="center"/>
                    <w:rPr>
                      <w:rFonts w:hint="default"/>
                      <w:spacing w:val="-1"/>
                      <w:kern w:val="0"/>
                      <w:szCs w:val="21"/>
                      <w:highlight w:val="none"/>
                      <w:lang w:val="en-US" w:eastAsia="zh-CN"/>
                    </w:rPr>
                  </w:pPr>
                  <w:r>
                    <w:rPr>
                      <w:rFonts w:hint="eastAsia"/>
                      <w:spacing w:val="-1"/>
                      <w:kern w:val="0"/>
                      <w:szCs w:val="21"/>
                      <w:highlight w:val="none"/>
                      <w:lang w:val="en-US" w:eastAsia="zh-CN"/>
                    </w:rPr>
                    <w:t>5</w:t>
                  </w:r>
                </w:p>
              </w:tc>
              <w:tc>
                <w:tcPr>
                  <w:tcW w:w="1340" w:type="pct"/>
                  <w:noWrap w:val="0"/>
                  <w:vAlign w:val="center"/>
                </w:tcPr>
                <w:p w14:paraId="746E43BC">
                  <w:pPr>
                    <w:widowControl/>
                    <w:jc w:val="center"/>
                    <w:rPr>
                      <w:rFonts w:hint="eastAsia"/>
                      <w:spacing w:val="-1"/>
                      <w:kern w:val="0"/>
                      <w:szCs w:val="21"/>
                      <w:highlight w:val="none"/>
                      <w:lang w:eastAsia="zh-CN"/>
                    </w:rPr>
                  </w:pPr>
                  <w:r>
                    <w:rPr>
                      <w:rFonts w:hint="eastAsia"/>
                      <w:spacing w:val="-1"/>
                      <w:kern w:val="0"/>
                      <w:szCs w:val="21"/>
                      <w:highlight w:val="none"/>
                      <w:lang w:val="en-US" w:eastAsia="zh-CN"/>
                    </w:rPr>
                    <w:t>0.5%</w:t>
                  </w:r>
                  <w:r>
                    <w:rPr>
                      <w:rFonts w:hint="eastAsia"/>
                      <w:spacing w:val="-1"/>
                      <w:kern w:val="0"/>
                      <w:szCs w:val="21"/>
                      <w:highlight w:val="none"/>
                      <w:lang w:eastAsia="zh-CN"/>
                    </w:rPr>
                    <w:t>碘伏消毒液</w:t>
                  </w:r>
                </w:p>
              </w:tc>
              <w:tc>
                <w:tcPr>
                  <w:tcW w:w="749" w:type="pct"/>
                  <w:noWrap w:val="0"/>
                  <w:vAlign w:val="center"/>
                </w:tcPr>
                <w:p w14:paraId="5310C403">
                  <w:pPr>
                    <w:widowControl/>
                    <w:jc w:val="center"/>
                    <w:rPr>
                      <w:rFonts w:hint="eastAsia" w:eastAsia="宋体"/>
                      <w:spacing w:val="-1"/>
                      <w:kern w:val="0"/>
                      <w:szCs w:val="21"/>
                      <w:highlight w:val="none"/>
                      <w:lang w:val="en-US" w:eastAsia="zh-CN"/>
                    </w:rPr>
                  </w:pPr>
                  <w:r>
                    <w:rPr>
                      <w:rFonts w:hint="eastAsia"/>
                      <w:spacing w:val="-1"/>
                      <w:kern w:val="0"/>
                      <w:szCs w:val="21"/>
                      <w:highlight w:val="none"/>
                      <w:lang w:val="en-US" w:eastAsia="zh-CN"/>
                    </w:rPr>
                    <w:t>/</w:t>
                  </w:r>
                </w:p>
              </w:tc>
              <w:tc>
                <w:tcPr>
                  <w:tcW w:w="462" w:type="pct"/>
                  <w:noWrap w:val="0"/>
                  <w:vAlign w:val="center"/>
                </w:tcPr>
                <w:p w14:paraId="4EE8D350">
                  <w:pPr>
                    <w:adjustRightInd w:val="0"/>
                    <w:snapToGrid w:val="0"/>
                    <w:jc w:val="center"/>
                    <w:rPr>
                      <w:rFonts w:hint="eastAsia"/>
                      <w:szCs w:val="21"/>
                      <w:highlight w:val="none"/>
                      <w:lang w:val="en-US" w:eastAsia="zh-CN"/>
                    </w:rPr>
                  </w:pPr>
                  <w:r>
                    <w:rPr>
                      <w:spacing w:val="-1"/>
                      <w:kern w:val="0"/>
                      <w:szCs w:val="21"/>
                      <w:highlight w:val="none"/>
                    </w:rPr>
                    <w:t>50</w:t>
                  </w:r>
                </w:p>
              </w:tc>
              <w:tc>
                <w:tcPr>
                  <w:tcW w:w="700" w:type="pct"/>
                  <w:noWrap w:val="0"/>
                  <w:vAlign w:val="center"/>
                </w:tcPr>
                <w:p w14:paraId="5E15D4A4">
                  <w:pPr>
                    <w:adjustRightInd w:val="0"/>
                    <w:snapToGrid w:val="0"/>
                    <w:jc w:val="center"/>
                    <w:rPr>
                      <w:rFonts w:hint="default"/>
                      <w:szCs w:val="21"/>
                      <w:highlight w:val="none"/>
                      <w:lang w:val="en-US" w:eastAsia="zh-CN"/>
                    </w:rPr>
                  </w:pPr>
                  <w:r>
                    <w:rPr>
                      <w:rFonts w:hint="eastAsia"/>
                      <w:szCs w:val="21"/>
                      <w:highlight w:val="none"/>
                      <w:lang w:val="en-US" w:eastAsia="zh-CN"/>
                    </w:rPr>
                    <w:t>0.005</w:t>
                  </w:r>
                </w:p>
              </w:tc>
              <w:tc>
                <w:tcPr>
                  <w:tcW w:w="1957" w:type="dxa"/>
                  <w:noWrap w:val="0"/>
                  <w:vAlign w:val="center"/>
                </w:tcPr>
                <w:p w14:paraId="30E2F741">
                  <w:pPr>
                    <w:keepNext w:val="0"/>
                    <w:keepLines w:val="0"/>
                    <w:widowControl/>
                    <w:suppressLineNumbers w:val="0"/>
                    <w:jc w:val="center"/>
                    <w:textAlignment w:val="center"/>
                    <w:rPr>
                      <w:rFonts w:hint="default"/>
                      <w:color w:val="000000"/>
                      <w:kern w:val="0"/>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0.0001</w:t>
                  </w:r>
                </w:p>
              </w:tc>
            </w:tr>
            <w:tr w14:paraId="267CBF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 w:hRule="atLeast"/>
                <w:jc w:val="center"/>
              </w:trPr>
              <w:tc>
                <w:tcPr>
                  <w:tcW w:w="542" w:type="pct"/>
                  <w:noWrap w:val="0"/>
                  <w:vAlign w:val="center"/>
                </w:tcPr>
                <w:p w14:paraId="32F3C26F">
                  <w:pPr>
                    <w:widowControl/>
                    <w:jc w:val="center"/>
                    <w:rPr>
                      <w:rFonts w:hint="default"/>
                      <w:spacing w:val="-1"/>
                      <w:kern w:val="0"/>
                      <w:szCs w:val="21"/>
                      <w:highlight w:val="none"/>
                      <w:lang w:val="en-US" w:eastAsia="zh-CN"/>
                    </w:rPr>
                  </w:pPr>
                  <w:r>
                    <w:rPr>
                      <w:rFonts w:hint="eastAsia"/>
                      <w:spacing w:val="-1"/>
                      <w:kern w:val="0"/>
                      <w:szCs w:val="21"/>
                      <w:highlight w:val="none"/>
                      <w:lang w:val="en-US" w:eastAsia="zh-CN"/>
                    </w:rPr>
                    <w:t>6</w:t>
                  </w:r>
                </w:p>
              </w:tc>
              <w:tc>
                <w:tcPr>
                  <w:tcW w:w="1340" w:type="pct"/>
                  <w:noWrap w:val="0"/>
                  <w:vAlign w:val="center"/>
                </w:tcPr>
                <w:p w14:paraId="6612B52B">
                  <w:pPr>
                    <w:widowControl/>
                    <w:jc w:val="center"/>
                    <w:rPr>
                      <w:rFonts w:hint="eastAsia"/>
                      <w:spacing w:val="-1"/>
                      <w:kern w:val="0"/>
                      <w:szCs w:val="21"/>
                      <w:highlight w:val="none"/>
                      <w:lang w:eastAsia="zh-CN"/>
                    </w:rPr>
                  </w:pPr>
                  <w:r>
                    <w:rPr>
                      <w:szCs w:val="21"/>
                      <w:highlight w:val="none"/>
                    </w:rPr>
                    <w:t>戊二醛消毒液</w:t>
                  </w:r>
                </w:p>
              </w:tc>
              <w:tc>
                <w:tcPr>
                  <w:tcW w:w="749" w:type="pct"/>
                  <w:noWrap w:val="0"/>
                  <w:vAlign w:val="center"/>
                </w:tcPr>
                <w:p w14:paraId="1D4A09AC">
                  <w:pPr>
                    <w:widowControl/>
                    <w:jc w:val="center"/>
                    <w:rPr>
                      <w:rFonts w:hint="eastAsia" w:eastAsia="宋体"/>
                      <w:spacing w:val="-1"/>
                      <w:kern w:val="0"/>
                      <w:szCs w:val="21"/>
                      <w:highlight w:val="none"/>
                      <w:lang w:val="en-US" w:eastAsia="zh-CN"/>
                    </w:rPr>
                  </w:pPr>
                  <w:r>
                    <w:rPr>
                      <w:rFonts w:hint="eastAsia"/>
                      <w:spacing w:val="-1"/>
                      <w:kern w:val="0"/>
                      <w:szCs w:val="21"/>
                      <w:highlight w:val="none"/>
                      <w:lang w:val="en-US" w:eastAsia="zh-CN"/>
                    </w:rPr>
                    <w:t>/</w:t>
                  </w:r>
                </w:p>
              </w:tc>
              <w:tc>
                <w:tcPr>
                  <w:tcW w:w="462" w:type="pct"/>
                  <w:noWrap w:val="0"/>
                  <w:vAlign w:val="center"/>
                </w:tcPr>
                <w:p w14:paraId="33477FA3">
                  <w:pPr>
                    <w:adjustRightInd w:val="0"/>
                    <w:snapToGrid w:val="0"/>
                    <w:jc w:val="center"/>
                    <w:rPr>
                      <w:rFonts w:hint="eastAsia"/>
                      <w:szCs w:val="21"/>
                      <w:highlight w:val="none"/>
                      <w:lang w:val="en-US" w:eastAsia="zh-CN"/>
                    </w:rPr>
                  </w:pPr>
                  <w:r>
                    <w:rPr>
                      <w:spacing w:val="-1"/>
                      <w:kern w:val="0"/>
                      <w:szCs w:val="21"/>
                      <w:highlight w:val="none"/>
                    </w:rPr>
                    <w:t>50</w:t>
                  </w:r>
                </w:p>
              </w:tc>
              <w:tc>
                <w:tcPr>
                  <w:tcW w:w="700" w:type="pct"/>
                  <w:noWrap w:val="0"/>
                  <w:vAlign w:val="center"/>
                </w:tcPr>
                <w:p w14:paraId="21EF7D41">
                  <w:pPr>
                    <w:adjustRightInd w:val="0"/>
                    <w:snapToGrid w:val="0"/>
                    <w:jc w:val="center"/>
                    <w:rPr>
                      <w:rFonts w:hint="default"/>
                      <w:szCs w:val="21"/>
                      <w:highlight w:val="none"/>
                      <w:lang w:val="en-US" w:eastAsia="zh-CN"/>
                    </w:rPr>
                  </w:pPr>
                  <w:r>
                    <w:rPr>
                      <w:rFonts w:hint="eastAsia"/>
                      <w:szCs w:val="21"/>
                      <w:highlight w:val="none"/>
                      <w:lang w:val="en-US" w:eastAsia="zh-CN"/>
                    </w:rPr>
                    <w:t>0.005</w:t>
                  </w:r>
                </w:p>
              </w:tc>
              <w:tc>
                <w:tcPr>
                  <w:tcW w:w="1957" w:type="dxa"/>
                  <w:noWrap w:val="0"/>
                  <w:vAlign w:val="center"/>
                </w:tcPr>
                <w:p w14:paraId="2AF451BE">
                  <w:pPr>
                    <w:keepNext w:val="0"/>
                    <w:keepLines w:val="0"/>
                    <w:widowControl/>
                    <w:suppressLineNumbers w:val="0"/>
                    <w:jc w:val="center"/>
                    <w:textAlignment w:val="center"/>
                    <w:rPr>
                      <w:rFonts w:hint="default"/>
                      <w:color w:val="000000"/>
                      <w:kern w:val="0"/>
                      <w:szCs w:val="21"/>
                      <w:highlight w:val="no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0.0001</w:t>
                  </w:r>
                </w:p>
              </w:tc>
            </w:tr>
            <w:tr w14:paraId="049700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 w:hRule="atLeast"/>
                <w:jc w:val="center"/>
              </w:trPr>
              <w:tc>
                <w:tcPr>
                  <w:tcW w:w="1882" w:type="pct"/>
                  <w:gridSpan w:val="2"/>
                  <w:noWrap w:val="0"/>
                  <w:vAlign w:val="center"/>
                </w:tcPr>
                <w:p w14:paraId="6887FC1F">
                  <w:pPr>
                    <w:widowControl/>
                    <w:jc w:val="center"/>
                    <w:rPr>
                      <w:rFonts w:hint="default" w:ascii="Times New Roman" w:hAnsi="Times New Roman" w:cs="Times New Roman"/>
                      <w:spacing w:val="-1"/>
                      <w:kern w:val="0"/>
                      <w:szCs w:val="21"/>
                      <w:highlight w:val="none"/>
                    </w:rPr>
                  </w:pPr>
                  <w:r>
                    <w:rPr>
                      <w:rFonts w:hint="default" w:ascii="Times New Roman" w:hAnsi="Times New Roman" w:cs="Times New Roman"/>
                      <w:spacing w:val="-1"/>
                      <w:kern w:val="0"/>
                      <w:szCs w:val="21"/>
                      <w:highlight w:val="none"/>
                    </w:rPr>
                    <w:t>合计</w:t>
                  </w:r>
                </w:p>
              </w:tc>
              <w:tc>
                <w:tcPr>
                  <w:tcW w:w="749" w:type="pct"/>
                  <w:noWrap w:val="0"/>
                  <w:vAlign w:val="center"/>
                </w:tcPr>
                <w:p w14:paraId="0AF47168">
                  <w:pPr>
                    <w:widowControl/>
                    <w:jc w:val="center"/>
                    <w:rPr>
                      <w:rFonts w:hint="default" w:ascii="Times New Roman" w:hAnsi="Times New Roman" w:cs="Times New Roman"/>
                      <w:spacing w:val="-1"/>
                      <w:kern w:val="0"/>
                      <w:szCs w:val="21"/>
                      <w:highlight w:val="none"/>
                    </w:rPr>
                  </w:pPr>
                  <w:r>
                    <w:rPr>
                      <w:rFonts w:hint="default" w:ascii="Times New Roman" w:hAnsi="Times New Roman" w:cs="Times New Roman"/>
                      <w:spacing w:val="-1"/>
                      <w:kern w:val="0"/>
                      <w:szCs w:val="21"/>
                      <w:highlight w:val="none"/>
                    </w:rPr>
                    <w:t>/</w:t>
                  </w:r>
                </w:p>
              </w:tc>
              <w:tc>
                <w:tcPr>
                  <w:tcW w:w="462" w:type="pct"/>
                  <w:noWrap w:val="0"/>
                  <w:vAlign w:val="center"/>
                </w:tcPr>
                <w:p w14:paraId="31A307A0">
                  <w:pPr>
                    <w:widowControl/>
                    <w:jc w:val="center"/>
                    <w:rPr>
                      <w:rFonts w:hint="default" w:ascii="Times New Roman" w:hAnsi="Times New Roman" w:cs="Times New Roman"/>
                      <w:spacing w:val="-1"/>
                      <w:kern w:val="0"/>
                      <w:szCs w:val="21"/>
                      <w:highlight w:val="none"/>
                    </w:rPr>
                  </w:pPr>
                  <w:r>
                    <w:rPr>
                      <w:rFonts w:hint="default" w:ascii="Times New Roman" w:hAnsi="Times New Roman" w:cs="Times New Roman"/>
                      <w:spacing w:val="-1"/>
                      <w:kern w:val="0"/>
                      <w:szCs w:val="21"/>
                      <w:highlight w:val="none"/>
                    </w:rPr>
                    <w:t>/</w:t>
                  </w:r>
                </w:p>
              </w:tc>
              <w:tc>
                <w:tcPr>
                  <w:tcW w:w="700" w:type="pct"/>
                  <w:noWrap w:val="0"/>
                  <w:vAlign w:val="center"/>
                </w:tcPr>
                <w:p w14:paraId="1A3527C3">
                  <w:pPr>
                    <w:widowControl/>
                    <w:jc w:val="center"/>
                    <w:rPr>
                      <w:rFonts w:hint="default" w:ascii="Times New Roman" w:hAnsi="Times New Roman" w:cs="Times New Roman"/>
                      <w:spacing w:val="-1"/>
                      <w:kern w:val="0"/>
                      <w:szCs w:val="21"/>
                      <w:highlight w:val="none"/>
                    </w:rPr>
                  </w:pPr>
                  <w:r>
                    <w:rPr>
                      <w:rFonts w:hint="default" w:ascii="Times New Roman" w:hAnsi="Times New Roman" w:cs="Times New Roman"/>
                      <w:spacing w:val="-1"/>
                      <w:kern w:val="0"/>
                      <w:szCs w:val="21"/>
                      <w:highlight w:val="none"/>
                    </w:rPr>
                    <w:t>/</w:t>
                  </w:r>
                </w:p>
              </w:tc>
              <w:tc>
                <w:tcPr>
                  <w:tcW w:w="1957" w:type="dxa"/>
                  <w:noWrap w:val="0"/>
                  <w:vAlign w:val="center"/>
                </w:tcPr>
                <w:p w14:paraId="465C80DA">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21"/>
                      <w:szCs w:val="21"/>
                      <w:highlight w:val="none"/>
                      <w:u w:val="no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0.09912</w:t>
                  </w:r>
                </w:p>
              </w:tc>
            </w:tr>
          </w:tbl>
          <w:p w14:paraId="3F9DAB2D">
            <w:pPr>
              <w:widowControl/>
              <w:ind w:firstLine="0" w:firstLineChars="0"/>
              <w:jc w:val="left"/>
              <w:rPr>
                <w:rFonts w:hint="default" w:ascii="Times New Roman" w:hAnsi="Times New Roman" w:cs="Times New Roman"/>
                <w:color w:val="000000"/>
              </w:rPr>
            </w:pPr>
            <w:r>
              <w:rPr>
                <w:rFonts w:hint="default" w:ascii="Times New Roman" w:hAnsi="Times New Roman" w:cs="Times New Roman"/>
                <w:color w:val="000000"/>
                <w:highlight w:val="none"/>
              </w:rPr>
              <w:t>注：对未列入表B1，但根据风险调查需要分析计算的危险物质，其临界量可</w:t>
            </w:r>
            <w:r>
              <w:rPr>
                <w:rFonts w:hint="default" w:ascii="Times New Roman" w:hAnsi="Times New Roman" w:cs="Times New Roman"/>
                <w:color w:val="000000"/>
              </w:rPr>
              <w:t>按表B.2中推荐值取，按50取。</w:t>
            </w:r>
          </w:p>
          <w:p w14:paraId="74269501">
            <w:pPr>
              <w:widowControl/>
              <w:spacing w:line="360" w:lineRule="auto"/>
              <w:ind w:firstLine="480" w:firstLineChars="200"/>
              <w:jc w:val="left"/>
              <w:rPr>
                <w:rFonts w:hint="default" w:ascii="Times New Roman" w:hAnsi="Times New Roman" w:cs="Times New Roman"/>
                <w:color w:val="000000"/>
                <w:sz w:val="24"/>
              </w:rPr>
            </w:pPr>
            <w:r>
              <w:rPr>
                <w:rFonts w:hint="default" w:ascii="Times New Roman" w:hAnsi="Times New Roman" w:cs="Times New Roman"/>
                <w:color w:val="000000"/>
                <w:sz w:val="24"/>
              </w:rPr>
              <w:t>因此可判断Q＜1，建设项目环境风险潜势为Ⅰ，根据《建设项目环境风险评价技术导则》（HJ169-2018）可知，项目风险评价为简单分析。</w:t>
            </w:r>
          </w:p>
          <w:p w14:paraId="069C3DF0">
            <w:pPr>
              <w:pStyle w:val="12"/>
              <w:spacing w:line="360" w:lineRule="auto"/>
              <w:ind w:firstLine="482" w:firstLineChars="200"/>
              <w:rPr>
                <w:rFonts w:hint="eastAsia" w:eastAsia="宋体"/>
                <w:b/>
                <w:bCs/>
                <w:sz w:val="24"/>
                <w:lang w:eastAsia="zh-CN"/>
              </w:rPr>
            </w:pPr>
            <w:r>
              <w:rPr>
                <w:rFonts w:hint="eastAsia"/>
                <w:b/>
                <w:bCs/>
                <w:sz w:val="24"/>
              </w:rPr>
              <w:t>6.2</w:t>
            </w:r>
            <w:r>
              <w:rPr>
                <w:rFonts w:hint="eastAsia"/>
                <w:b/>
                <w:bCs/>
                <w:sz w:val="24"/>
                <w:lang w:eastAsia="zh-CN"/>
              </w:rPr>
              <w:t>环境风险识别</w:t>
            </w:r>
          </w:p>
          <w:p w14:paraId="1ACF7BCA">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b w:val="0"/>
                <w:bCs w:val="0"/>
                <w:color w:val="auto"/>
                <w:sz w:val="24"/>
                <w:highlight w:val="none"/>
                <w:lang w:val="en-US" w:eastAsia="zh-CN"/>
              </w:rPr>
            </w:pPr>
            <w:r>
              <w:rPr>
                <w:rFonts w:hint="eastAsia"/>
                <w:b w:val="0"/>
                <w:bCs w:val="0"/>
                <w:color w:val="auto"/>
                <w:sz w:val="24"/>
                <w:highlight w:val="none"/>
                <w:lang w:eastAsia="zh-CN"/>
              </w:rPr>
              <w:t>（</w:t>
            </w:r>
            <w:r>
              <w:rPr>
                <w:rFonts w:hint="eastAsia"/>
                <w:b w:val="0"/>
                <w:bCs w:val="0"/>
                <w:color w:val="auto"/>
                <w:sz w:val="24"/>
                <w:highlight w:val="none"/>
                <w:lang w:val="en-US" w:eastAsia="zh-CN"/>
              </w:rPr>
              <w:t>1</w:t>
            </w:r>
            <w:r>
              <w:rPr>
                <w:rFonts w:hint="eastAsia"/>
                <w:b w:val="0"/>
                <w:bCs w:val="0"/>
                <w:color w:val="auto"/>
                <w:sz w:val="24"/>
                <w:highlight w:val="none"/>
                <w:lang w:eastAsia="zh-CN"/>
              </w:rPr>
              <w:t>）</w:t>
            </w:r>
            <w:r>
              <w:rPr>
                <w:rFonts w:hint="eastAsia"/>
                <w:b w:val="0"/>
                <w:bCs w:val="0"/>
                <w:color w:val="auto"/>
                <w:sz w:val="24"/>
                <w:highlight w:val="none"/>
                <w:lang w:val="en-US" w:eastAsia="zh-CN"/>
              </w:rPr>
              <w:t>物质危险性识别</w:t>
            </w:r>
          </w:p>
          <w:p w14:paraId="64A6B4B7">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b w:val="0"/>
                <w:bCs w:val="0"/>
                <w:color w:val="auto"/>
                <w:sz w:val="24"/>
                <w:highlight w:val="none"/>
                <w:lang w:val="en-US" w:eastAsia="zh-CN"/>
              </w:rPr>
            </w:pPr>
            <w:r>
              <w:rPr>
                <w:rFonts w:hint="eastAsia"/>
                <w:b w:val="0"/>
                <w:bCs w:val="0"/>
                <w:color w:val="auto"/>
                <w:sz w:val="24"/>
                <w:highlight w:val="none"/>
                <w:lang w:val="en-US" w:eastAsia="zh-CN"/>
              </w:rPr>
              <w:t>本项目涉及的危险物质危险特性、分布情况见下表。</w:t>
            </w:r>
          </w:p>
          <w:p w14:paraId="6F474777">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Times New Roman" w:hAnsi="Times New Roman" w:eastAsia="宋体" w:cs="Times New Roman"/>
                <w:b/>
                <w:bCs/>
                <w:color w:val="auto"/>
                <w:sz w:val="21"/>
                <w:szCs w:val="21"/>
                <w:highlight w:val="none"/>
                <w:lang w:val="en-US" w:eastAsia="zh-CN"/>
              </w:rPr>
            </w:pPr>
            <w:r>
              <w:rPr>
                <w:rFonts w:hint="eastAsia" w:ascii="Times New Roman" w:hAnsi="Times New Roman" w:eastAsia="宋体" w:cs="Times New Roman"/>
                <w:b/>
                <w:bCs/>
                <w:color w:val="auto"/>
                <w:sz w:val="21"/>
                <w:szCs w:val="21"/>
                <w:highlight w:val="none"/>
                <w:lang w:val="en-US" w:eastAsia="zh-CN"/>
              </w:rPr>
              <w:t>表4-2</w:t>
            </w:r>
            <w:r>
              <w:rPr>
                <w:rFonts w:hint="eastAsia" w:cs="Times New Roman"/>
                <w:b/>
                <w:bCs/>
                <w:color w:val="auto"/>
                <w:sz w:val="21"/>
                <w:szCs w:val="21"/>
                <w:highlight w:val="none"/>
                <w:lang w:val="en-US" w:eastAsia="zh-CN"/>
              </w:rPr>
              <w:t>0</w:t>
            </w:r>
            <w:r>
              <w:rPr>
                <w:rFonts w:hint="eastAsia" w:ascii="Times New Roman" w:hAnsi="Times New Roman" w:eastAsia="宋体" w:cs="Times New Roman"/>
                <w:b/>
                <w:bCs/>
                <w:color w:val="auto"/>
                <w:sz w:val="21"/>
                <w:szCs w:val="21"/>
                <w:highlight w:val="none"/>
                <w:lang w:val="en-US" w:eastAsia="zh-CN"/>
              </w:rPr>
              <w:t xml:space="preserve">  物质危险性识别结果一览表</w:t>
            </w:r>
          </w:p>
          <w:tbl>
            <w:tblPr>
              <w:tblStyle w:val="14"/>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21"/>
              <w:gridCol w:w="1609"/>
              <w:gridCol w:w="1854"/>
              <w:gridCol w:w="3215"/>
            </w:tblGrid>
            <w:tr w14:paraId="7CD23E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27" w:type="pct"/>
                  <w:tcBorders>
                    <w:tl2br w:val="nil"/>
                    <w:tr2bl w:val="nil"/>
                  </w:tcBorders>
                  <w:noWrap w:val="0"/>
                  <w:vAlign w:val="center"/>
                </w:tcPr>
                <w:p w14:paraId="5FAE3DC1">
                  <w:pPr>
                    <w:keepNext w:val="0"/>
                    <w:keepLines w:val="0"/>
                    <w:pageBreakBefore w:val="0"/>
                    <w:widowControl w:val="0"/>
                    <w:kinsoku/>
                    <w:wordWrap/>
                    <w:overflowPunct/>
                    <w:topLinePunct w:val="0"/>
                    <w:autoSpaceDE/>
                    <w:autoSpaceDN/>
                    <w:bidi w:val="0"/>
                    <w:adjustRightInd/>
                    <w:snapToGrid/>
                    <w:jc w:val="center"/>
                    <w:textAlignment w:val="auto"/>
                    <w:rPr>
                      <w:rFonts w:hint="default" w:eastAsia="宋体"/>
                      <w:color w:val="auto"/>
                      <w:szCs w:val="21"/>
                      <w:highlight w:val="none"/>
                      <w:lang w:val="en-US" w:eastAsia="zh-CN"/>
                    </w:rPr>
                  </w:pPr>
                  <w:r>
                    <w:rPr>
                      <w:rFonts w:hint="eastAsia" w:eastAsia="宋体"/>
                      <w:color w:val="auto"/>
                      <w:szCs w:val="21"/>
                      <w:highlight w:val="none"/>
                      <w:lang w:val="en-US" w:eastAsia="zh-CN"/>
                    </w:rPr>
                    <w:t>危险物质名称</w:t>
                  </w:r>
                </w:p>
              </w:tc>
              <w:tc>
                <w:tcPr>
                  <w:tcW w:w="981" w:type="pct"/>
                  <w:tcBorders>
                    <w:tl2br w:val="nil"/>
                    <w:tr2bl w:val="nil"/>
                  </w:tcBorders>
                  <w:noWrap w:val="0"/>
                  <w:vAlign w:val="center"/>
                </w:tcPr>
                <w:p w14:paraId="4BD3696C">
                  <w:pPr>
                    <w:keepNext w:val="0"/>
                    <w:keepLines w:val="0"/>
                    <w:pageBreakBefore w:val="0"/>
                    <w:widowControl w:val="0"/>
                    <w:kinsoku/>
                    <w:wordWrap/>
                    <w:overflowPunct/>
                    <w:topLinePunct w:val="0"/>
                    <w:autoSpaceDE/>
                    <w:autoSpaceDN/>
                    <w:bidi w:val="0"/>
                    <w:adjustRightInd/>
                    <w:snapToGrid/>
                    <w:jc w:val="center"/>
                    <w:textAlignment w:val="auto"/>
                    <w:rPr>
                      <w:rFonts w:hint="default" w:eastAsia="宋体"/>
                      <w:color w:val="auto"/>
                      <w:szCs w:val="21"/>
                      <w:highlight w:val="none"/>
                      <w:lang w:val="en-US" w:eastAsia="zh-CN"/>
                    </w:rPr>
                  </w:pPr>
                  <w:r>
                    <w:rPr>
                      <w:rFonts w:hint="eastAsia" w:eastAsia="宋体"/>
                      <w:color w:val="auto"/>
                      <w:szCs w:val="21"/>
                      <w:highlight w:val="none"/>
                      <w:lang w:val="en-US" w:eastAsia="zh-CN"/>
                    </w:rPr>
                    <w:t>分布的生产单元</w:t>
                  </w:r>
                </w:p>
              </w:tc>
              <w:tc>
                <w:tcPr>
                  <w:tcW w:w="1130" w:type="pct"/>
                  <w:tcBorders>
                    <w:tl2br w:val="nil"/>
                    <w:tr2bl w:val="nil"/>
                  </w:tcBorders>
                  <w:noWrap w:val="0"/>
                  <w:vAlign w:val="center"/>
                </w:tcPr>
                <w:p w14:paraId="6AB5D5FC">
                  <w:pPr>
                    <w:keepNext w:val="0"/>
                    <w:keepLines w:val="0"/>
                    <w:pageBreakBefore w:val="0"/>
                    <w:widowControl w:val="0"/>
                    <w:kinsoku/>
                    <w:wordWrap/>
                    <w:overflowPunct/>
                    <w:topLinePunct w:val="0"/>
                    <w:autoSpaceDE/>
                    <w:autoSpaceDN/>
                    <w:bidi w:val="0"/>
                    <w:adjustRightInd/>
                    <w:snapToGrid/>
                    <w:jc w:val="center"/>
                    <w:textAlignment w:val="auto"/>
                    <w:rPr>
                      <w:rFonts w:hint="default" w:eastAsia="宋体"/>
                      <w:color w:val="auto"/>
                      <w:szCs w:val="21"/>
                      <w:highlight w:val="none"/>
                      <w:lang w:val="en-US" w:eastAsia="zh-CN"/>
                    </w:rPr>
                  </w:pPr>
                  <w:r>
                    <w:rPr>
                      <w:rFonts w:hint="eastAsia" w:eastAsia="宋体"/>
                      <w:color w:val="auto"/>
                      <w:szCs w:val="21"/>
                      <w:highlight w:val="none"/>
                      <w:lang w:val="en-US" w:eastAsia="zh-CN"/>
                    </w:rPr>
                    <w:t>易燃易爆性</w:t>
                  </w:r>
                </w:p>
              </w:tc>
              <w:tc>
                <w:tcPr>
                  <w:tcW w:w="1960" w:type="pct"/>
                  <w:tcBorders>
                    <w:tl2br w:val="nil"/>
                    <w:tr2bl w:val="nil"/>
                  </w:tcBorders>
                  <w:noWrap w:val="0"/>
                  <w:vAlign w:val="center"/>
                </w:tcPr>
                <w:p w14:paraId="496DBBAC">
                  <w:pPr>
                    <w:keepNext w:val="0"/>
                    <w:keepLines w:val="0"/>
                    <w:pageBreakBefore w:val="0"/>
                    <w:widowControl w:val="0"/>
                    <w:kinsoku/>
                    <w:wordWrap/>
                    <w:overflowPunct/>
                    <w:topLinePunct w:val="0"/>
                    <w:autoSpaceDE/>
                    <w:autoSpaceDN/>
                    <w:bidi w:val="0"/>
                    <w:adjustRightInd/>
                    <w:snapToGrid/>
                    <w:jc w:val="center"/>
                    <w:textAlignment w:val="auto"/>
                    <w:rPr>
                      <w:rFonts w:hint="default" w:eastAsia="宋体"/>
                      <w:color w:val="auto"/>
                      <w:szCs w:val="21"/>
                      <w:highlight w:val="none"/>
                      <w:lang w:val="en-US" w:eastAsia="zh-CN"/>
                    </w:rPr>
                  </w:pPr>
                  <w:r>
                    <w:rPr>
                      <w:rFonts w:hint="eastAsia" w:eastAsia="宋体"/>
                      <w:color w:val="auto"/>
                      <w:szCs w:val="21"/>
                      <w:highlight w:val="none"/>
                      <w:lang w:val="en-US" w:eastAsia="zh-CN"/>
                    </w:rPr>
                    <w:t>有毒有害性</w:t>
                  </w:r>
                </w:p>
              </w:tc>
            </w:tr>
            <w:tr w14:paraId="2B8D39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2" w:hRule="atLeast"/>
                <w:jc w:val="center"/>
              </w:trPr>
              <w:tc>
                <w:tcPr>
                  <w:tcW w:w="927" w:type="pct"/>
                  <w:tcBorders>
                    <w:tl2br w:val="nil"/>
                    <w:tr2bl w:val="nil"/>
                  </w:tcBorders>
                  <w:noWrap w:val="0"/>
                  <w:vAlign w:val="center"/>
                </w:tcPr>
                <w:p w14:paraId="6B7A49C7">
                  <w:pPr>
                    <w:keepNext w:val="0"/>
                    <w:keepLines w:val="0"/>
                    <w:pageBreakBefore w:val="0"/>
                    <w:widowControl w:val="0"/>
                    <w:kinsoku/>
                    <w:wordWrap/>
                    <w:overflowPunct/>
                    <w:topLinePunct w:val="0"/>
                    <w:autoSpaceDE/>
                    <w:autoSpaceDN/>
                    <w:bidi w:val="0"/>
                    <w:adjustRightInd/>
                    <w:snapToGrid/>
                    <w:jc w:val="center"/>
                    <w:textAlignment w:val="auto"/>
                    <w:rPr>
                      <w:rFonts w:hint="default" w:eastAsia="宋体"/>
                      <w:color w:val="auto"/>
                      <w:szCs w:val="21"/>
                      <w:highlight w:val="none"/>
                      <w:lang w:val="en-US" w:eastAsia="zh-CN"/>
                    </w:rPr>
                  </w:pPr>
                  <w:r>
                    <w:rPr>
                      <w:rFonts w:hint="eastAsia" w:eastAsia="宋体"/>
                      <w:color w:val="auto"/>
                      <w:szCs w:val="21"/>
                      <w:highlight w:val="none"/>
                      <w:lang w:val="en-US" w:eastAsia="zh-CN"/>
                    </w:rPr>
                    <w:t>酒精</w:t>
                  </w:r>
                </w:p>
              </w:tc>
              <w:tc>
                <w:tcPr>
                  <w:tcW w:w="981" w:type="pct"/>
                  <w:tcBorders>
                    <w:tl2br w:val="nil"/>
                    <w:tr2bl w:val="nil"/>
                  </w:tcBorders>
                  <w:noWrap w:val="0"/>
                  <w:vAlign w:val="center"/>
                </w:tcPr>
                <w:p w14:paraId="2895C247">
                  <w:pPr>
                    <w:keepNext w:val="0"/>
                    <w:keepLines w:val="0"/>
                    <w:pageBreakBefore w:val="0"/>
                    <w:widowControl w:val="0"/>
                    <w:kinsoku/>
                    <w:wordWrap/>
                    <w:overflowPunct/>
                    <w:topLinePunct w:val="0"/>
                    <w:autoSpaceDE/>
                    <w:autoSpaceDN/>
                    <w:bidi w:val="0"/>
                    <w:adjustRightInd/>
                    <w:snapToGrid/>
                    <w:jc w:val="center"/>
                    <w:textAlignment w:val="auto"/>
                    <w:rPr>
                      <w:rFonts w:hint="default" w:eastAsia="宋体"/>
                      <w:color w:val="auto"/>
                      <w:szCs w:val="21"/>
                      <w:highlight w:val="none"/>
                      <w:lang w:val="en-US" w:eastAsia="zh-CN"/>
                    </w:rPr>
                  </w:pPr>
                  <w:r>
                    <w:rPr>
                      <w:rFonts w:hint="eastAsia" w:eastAsia="宋体"/>
                      <w:color w:val="auto"/>
                      <w:szCs w:val="21"/>
                      <w:highlight w:val="none"/>
                      <w:lang w:val="en-US" w:eastAsia="zh-CN"/>
                    </w:rPr>
                    <w:t>药库</w:t>
                  </w:r>
                </w:p>
              </w:tc>
              <w:tc>
                <w:tcPr>
                  <w:tcW w:w="1130" w:type="pct"/>
                  <w:tcBorders>
                    <w:tl2br w:val="nil"/>
                    <w:tr2bl w:val="nil"/>
                  </w:tcBorders>
                  <w:noWrap w:val="0"/>
                  <w:vAlign w:val="center"/>
                </w:tcPr>
                <w:p w14:paraId="623F6067">
                  <w:pPr>
                    <w:pStyle w:val="32"/>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易燃，爆炸下限为19.0%，引燃温度363℃</w:t>
                  </w:r>
                </w:p>
              </w:tc>
              <w:tc>
                <w:tcPr>
                  <w:tcW w:w="1960" w:type="pct"/>
                  <w:tcBorders>
                    <w:tl2br w:val="nil"/>
                    <w:tr2bl w:val="nil"/>
                  </w:tcBorders>
                  <w:noWrap w:val="0"/>
                  <w:vAlign w:val="center"/>
                </w:tcPr>
                <w:p w14:paraId="4C0FA0C0">
                  <w:pPr>
                    <w:pStyle w:val="32"/>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right="0"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LD</w:t>
                  </w:r>
                  <w:r>
                    <w:rPr>
                      <w:rFonts w:hint="default" w:ascii="Times New Roman" w:hAnsi="Times New Roman" w:eastAsia="宋体" w:cs="Times New Roman"/>
                      <w:color w:val="auto"/>
                      <w:sz w:val="21"/>
                      <w:szCs w:val="21"/>
                      <w:highlight w:val="none"/>
                      <w:vertAlign w:val="subscript"/>
                    </w:rPr>
                    <w:t>50</w:t>
                  </w:r>
                  <w:r>
                    <w:rPr>
                      <w:rFonts w:hint="default" w:ascii="Times New Roman" w:hAnsi="Times New Roman" w:eastAsia="宋体" w:cs="Times New Roman"/>
                      <w:color w:val="auto"/>
                      <w:sz w:val="21"/>
                      <w:szCs w:val="21"/>
                      <w:highlight w:val="none"/>
                    </w:rPr>
                    <w:t>：7060mg/kg（兔经口）；7430mg/kg（兔经皮）</w:t>
                  </w:r>
                </w:p>
                <w:p w14:paraId="05DD6B43">
                  <w:pPr>
                    <w:pStyle w:val="32"/>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leftChars="0" w:right="0" w:rightChars="0" w:firstLine="0" w:firstLineChars="0"/>
                    <w:jc w:val="center"/>
                    <w:textAlignment w:val="auto"/>
                    <w:rPr>
                      <w:rFonts w:hint="eastAsia"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LC</w:t>
                  </w:r>
                  <w:r>
                    <w:rPr>
                      <w:rFonts w:hint="default" w:ascii="Times New Roman" w:hAnsi="Times New Roman" w:eastAsia="宋体" w:cs="Times New Roman"/>
                      <w:color w:val="auto"/>
                      <w:sz w:val="21"/>
                      <w:szCs w:val="21"/>
                      <w:highlight w:val="none"/>
                      <w:vertAlign w:val="subscript"/>
                    </w:rPr>
                    <w:t>50</w:t>
                  </w:r>
                  <w:r>
                    <w:rPr>
                      <w:rFonts w:hint="default" w:ascii="Times New Roman" w:hAnsi="Times New Roman" w:eastAsia="宋体" w:cs="Times New Roman"/>
                      <w:color w:val="auto"/>
                      <w:sz w:val="21"/>
                      <w:szCs w:val="21"/>
                      <w:highlight w:val="none"/>
                    </w:rPr>
                    <w:t>:37620mg/m</w:t>
                  </w:r>
                  <w:r>
                    <w:rPr>
                      <w:rFonts w:hint="default" w:ascii="Times New Roman" w:hAnsi="Times New Roman" w:eastAsia="宋体" w:cs="Times New Roman"/>
                      <w:color w:val="auto"/>
                      <w:sz w:val="21"/>
                      <w:szCs w:val="21"/>
                      <w:highlight w:val="none"/>
                      <w:vertAlign w:val="superscript"/>
                    </w:rPr>
                    <w:t>3</w:t>
                  </w:r>
                  <w:r>
                    <w:rPr>
                      <w:rFonts w:hint="default" w:ascii="Times New Roman" w:hAnsi="Times New Roman" w:eastAsia="宋体" w:cs="Times New Roman"/>
                      <w:color w:val="auto"/>
                      <w:sz w:val="21"/>
                      <w:szCs w:val="21"/>
                      <w:highlight w:val="none"/>
                    </w:rPr>
                    <w:t>，10小时（大鼠吸入）</w:t>
                  </w:r>
                </w:p>
              </w:tc>
            </w:tr>
            <w:tr w14:paraId="1E0B40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2" w:hRule="atLeast"/>
                <w:jc w:val="center"/>
              </w:trPr>
              <w:tc>
                <w:tcPr>
                  <w:tcW w:w="927" w:type="pct"/>
                  <w:tcBorders>
                    <w:tl2br w:val="nil"/>
                    <w:tr2bl w:val="nil"/>
                  </w:tcBorders>
                  <w:noWrap w:val="0"/>
                  <w:vAlign w:val="center"/>
                </w:tcPr>
                <w:p w14:paraId="6D7AF6E6">
                  <w:pPr>
                    <w:keepNext w:val="0"/>
                    <w:keepLines w:val="0"/>
                    <w:pageBreakBefore w:val="0"/>
                    <w:widowControl w:val="0"/>
                    <w:kinsoku/>
                    <w:wordWrap/>
                    <w:overflowPunct/>
                    <w:topLinePunct w:val="0"/>
                    <w:autoSpaceDE/>
                    <w:autoSpaceDN/>
                    <w:bidi w:val="0"/>
                    <w:adjustRightInd/>
                    <w:snapToGrid/>
                    <w:jc w:val="center"/>
                    <w:textAlignment w:val="auto"/>
                    <w:rPr>
                      <w:rFonts w:hint="default" w:eastAsia="宋体"/>
                      <w:color w:val="auto"/>
                      <w:szCs w:val="21"/>
                      <w:highlight w:val="none"/>
                      <w:lang w:val="en-US" w:eastAsia="zh-CN"/>
                    </w:rPr>
                  </w:pPr>
                  <w:r>
                    <w:rPr>
                      <w:rFonts w:hint="eastAsia" w:eastAsia="宋体"/>
                      <w:color w:val="auto"/>
                      <w:szCs w:val="21"/>
                      <w:highlight w:val="none"/>
                      <w:lang w:val="en-US" w:eastAsia="zh-CN"/>
                    </w:rPr>
                    <w:t>医疗废物</w:t>
                  </w:r>
                </w:p>
              </w:tc>
              <w:tc>
                <w:tcPr>
                  <w:tcW w:w="981" w:type="pct"/>
                  <w:tcBorders>
                    <w:tl2br w:val="nil"/>
                    <w:tr2bl w:val="nil"/>
                  </w:tcBorders>
                  <w:noWrap w:val="0"/>
                  <w:vAlign w:val="center"/>
                </w:tcPr>
                <w:p w14:paraId="250858D5">
                  <w:pPr>
                    <w:keepNext w:val="0"/>
                    <w:keepLines w:val="0"/>
                    <w:pageBreakBefore w:val="0"/>
                    <w:widowControl w:val="0"/>
                    <w:kinsoku/>
                    <w:wordWrap/>
                    <w:overflowPunct/>
                    <w:topLinePunct w:val="0"/>
                    <w:autoSpaceDE/>
                    <w:autoSpaceDN/>
                    <w:bidi w:val="0"/>
                    <w:adjustRightInd/>
                    <w:snapToGrid/>
                    <w:jc w:val="center"/>
                    <w:textAlignment w:val="auto"/>
                    <w:rPr>
                      <w:rFonts w:hint="default" w:eastAsia="宋体"/>
                      <w:color w:val="auto"/>
                      <w:szCs w:val="21"/>
                      <w:highlight w:val="none"/>
                      <w:lang w:val="en-US" w:eastAsia="zh-CN"/>
                    </w:rPr>
                  </w:pPr>
                  <w:r>
                    <w:rPr>
                      <w:rFonts w:hint="eastAsia" w:eastAsia="宋体"/>
                      <w:color w:val="auto"/>
                      <w:szCs w:val="21"/>
                      <w:highlight w:val="none"/>
                      <w:lang w:val="en-US" w:eastAsia="zh-CN"/>
                    </w:rPr>
                    <w:t>医废间</w:t>
                  </w:r>
                </w:p>
              </w:tc>
              <w:tc>
                <w:tcPr>
                  <w:tcW w:w="1130" w:type="pct"/>
                  <w:tcBorders>
                    <w:tl2br w:val="nil"/>
                    <w:tr2bl w:val="nil"/>
                  </w:tcBorders>
                  <w:noWrap w:val="0"/>
                  <w:vAlign w:val="center"/>
                </w:tcPr>
                <w:p w14:paraId="07109AB7">
                  <w:pPr>
                    <w:keepNext w:val="0"/>
                    <w:keepLines w:val="0"/>
                    <w:pageBreakBefore w:val="0"/>
                    <w:widowControl w:val="0"/>
                    <w:kinsoku/>
                    <w:wordWrap/>
                    <w:overflowPunct/>
                    <w:topLinePunct w:val="0"/>
                    <w:autoSpaceDE/>
                    <w:autoSpaceDN/>
                    <w:bidi w:val="0"/>
                    <w:adjustRightInd/>
                    <w:snapToGrid/>
                    <w:jc w:val="center"/>
                    <w:textAlignment w:val="auto"/>
                    <w:rPr>
                      <w:rFonts w:hint="default" w:eastAsia="宋体"/>
                      <w:color w:val="auto"/>
                      <w:szCs w:val="21"/>
                      <w:highlight w:val="none"/>
                      <w:lang w:val="en-US" w:eastAsia="zh-CN"/>
                    </w:rPr>
                  </w:pPr>
                  <w:r>
                    <w:rPr>
                      <w:rFonts w:hint="eastAsia" w:eastAsia="宋体"/>
                      <w:color w:val="auto"/>
                      <w:szCs w:val="21"/>
                      <w:highlight w:val="none"/>
                      <w:lang w:val="en-US" w:eastAsia="zh-CN"/>
                    </w:rPr>
                    <w:t>/</w:t>
                  </w:r>
                </w:p>
              </w:tc>
              <w:tc>
                <w:tcPr>
                  <w:tcW w:w="1960" w:type="pct"/>
                  <w:tcBorders>
                    <w:tl2br w:val="nil"/>
                    <w:tr2bl w:val="nil"/>
                  </w:tcBorders>
                  <w:noWrap w:val="0"/>
                  <w:vAlign w:val="center"/>
                </w:tcPr>
                <w:p w14:paraId="560C9466">
                  <w:pPr>
                    <w:keepNext w:val="0"/>
                    <w:keepLines w:val="0"/>
                    <w:pageBreakBefore w:val="0"/>
                    <w:widowControl w:val="0"/>
                    <w:kinsoku/>
                    <w:wordWrap/>
                    <w:overflowPunct/>
                    <w:topLinePunct w:val="0"/>
                    <w:autoSpaceDE/>
                    <w:autoSpaceDN/>
                    <w:bidi w:val="0"/>
                    <w:adjustRightInd/>
                    <w:snapToGrid/>
                    <w:jc w:val="center"/>
                    <w:textAlignment w:val="auto"/>
                    <w:rPr>
                      <w:rFonts w:hint="default" w:eastAsia="宋体"/>
                      <w:color w:val="auto"/>
                      <w:szCs w:val="21"/>
                      <w:highlight w:val="none"/>
                      <w:lang w:val="en-US" w:eastAsia="zh-CN"/>
                    </w:rPr>
                  </w:pPr>
                  <w:r>
                    <w:rPr>
                      <w:rFonts w:hint="eastAsia" w:eastAsia="宋体"/>
                      <w:color w:val="auto"/>
                      <w:szCs w:val="21"/>
                      <w:highlight w:val="none"/>
                      <w:lang w:val="en-US" w:eastAsia="zh-CN"/>
                    </w:rPr>
                    <w:t>感染性、毒性</w:t>
                  </w:r>
                </w:p>
              </w:tc>
            </w:tr>
            <w:tr w14:paraId="03BAEA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2" w:hRule="atLeast"/>
                <w:jc w:val="center"/>
              </w:trPr>
              <w:tc>
                <w:tcPr>
                  <w:tcW w:w="927" w:type="pct"/>
                  <w:tcBorders>
                    <w:tl2br w:val="nil"/>
                    <w:tr2bl w:val="nil"/>
                  </w:tcBorders>
                  <w:noWrap w:val="0"/>
                  <w:vAlign w:val="center"/>
                </w:tcPr>
                <w:p w14:paraId="76864EA8">
                  <w:pPr>
                    <w:keepNext w:val="0"/>
                    <w:keepLines w:val="0"/>
                    <w:pageBreakBefore w:val="0"/>
                    <w:widowControl w:val="0"/>
                    <w:kinsoku/>
                    <w:wordWrap/>
                    <w:overflowPunct/>
                    <w:topLinePunct w:val="0"/>
                    <w:autoSpaceDE/>
                    <w:autoSpaceDN/>
                    <w:bidi w:val="0"/>
                    <w:adjustRightInd/>
                    <w:snapToGrid/>
                    <w:jc w:val="center"/>
                    <w:textAlignment w:val="auto"/>
                    <w:rPr>
                      <w:rFonts w:hint="default" w:eastAsia="宋体"/>
                      <w:color w:val="auto"/>
                      <w:szCs w:val="21"/>
                      <w:highlight w:val="none"/>
                      <w:lang w:val="en-US" w:eastAsia="zh-CN"/>
                    </w:rPr>
                  </w:pPr>
                  <w:r>
                    <w:rPr>
                      <w:rFonts w:hint="eastAsia" w:eastAsia="宋体"/>
                      <w:color w:val="auto"/>
                      <w:szCs w:val="21"/>
                      <w:highlight w:val="none"/>
                      <w:lang w:val="en-US" w:eastAsia="zh-CN"/>
                    </w:rPr>
                    <w:t>危险废物</w:t>
                  </w:r>
                </w:p>
              </w:tc>
              <w:tc>
                <w:tcPr>
                  <w:tcW w:w="981" w:type="pct"/>
                  <w:tcBorders>
                    <w:tl2br w:val="nil"/>
                    <w:tr2bl w:val="nil"/>
                  </w:tcBorders>
                  <w:noWrap w:val="0"/>
                  <w:vAlign w:val="center"/>
                </w:tcPr>
                <w:p w14:paraId="10037EA2">
                  <w:pPr>
                    <w:keepNext w:val="0"/>
                    <w:keepLines w:val="0"/>
                    <w:pageBreakBefore w:val="0"/>
                    <w:widowControl w:val="0"/>
                    <w:kinsoku/>
                    <w:wordWrap/>
                    <w:overflowPunct/>
                    <w:topLinePunct w:val="0"/>
                    <w:autoSpaceDE/>
                    <w:autoSpaceDN/>
                    <w:bidi w:val="0"/>
                    <w:adjustRightInd/>
                    <w:snapToGrid/>
                    <w:jc w:val="center"/>
                    <w:textAlignment w:val="auto"/>
                    <w:rPr>
                      <w:rFonts w:hint="default" w:eastAsia="宋体"/>
                      <w:color w:val="auto"/>
                      <w:szCs w:val="21"/>
                      <w:highlight w:val="none"/>
                      <w:lang w:val="en-US" w:eastAsia="zh-CN"/>
                    </w:rPr>
                  </w:pPr>
                  <w:r>
                    <w:rPr>
                      <w:rFonts w:hint="eastAsia" w:eastAsia="宋体"/>
                      <w:color w:val="auto"/>
                      <w:szCs w:val="21"/>
                      <w:highlight w:val="none"/>
                      <w:lang w:val="en-US" w:eastAsia="zh-CN"/>
                    </w:rPr>
                    <w:t>危废间</w:t>
                  </w:r>
                </w:p>
              </w:tc>
              <w:tc>
                <w:tcPr>
                  <w:tcW w:w="1130" w:type="pct"/>
                  <w:tcBorders>
                    <w:tl2br w:val="nil"/>
                    <w:tr2bl w:val="nil"/>
                  </w:tcBorders>
                  <w:noWrap w:val="0"/>
                  <w:vAlign w:val="center"/>
                </w:tcPr>
                <w:p w14:paraId="24EA13FF">
                  <w:pPr>
                    <w:keepNext w:val="0"/>
                    <w:keepLines w:val="0"/>
                    <w:pageBreakBefore w:val="0"/>
                    <w:widowControl w:val="0"/>
                    <w:kinsoku/>
                    <w:wordWrap/>
                    <w:overflowPunct/>
                    <w:topLinePunct w:val="0"/>
                    <w:autoSpaceDE/>
                    <w:autoSpaceDN/>
                    <w:bidi w:val="0"/>
                    <w:adjustRightInd/>
                    <w:snapToGrid/>
                    <w:jc w:val="center"/>
                    <w:textAlignment w:val="auto"/>
                    <w:rPr>
                      <w:rFonts w:hint="default" w:eastAsia="宋体"/>
                      <w:color w:val="auto"/>
                      <w:szCs w:val="21"/>
                      <w:highlight w:val="none"/>
                      <w:lang w:val="en-US" w:eastAsia="zh-CN"/>
                    </w:rPr>
                  </w:pPr>
                  <w:r>
                    <w:rPr>
                      <w:rFonts w:hint="eastAsia" w:eastAsia="宋体"/>
                      <w:color w:val="auto"/>
                      <w:szCs w:val="21"/>
                      <w:highlight w:val="none"/>
                      <w:lang w:val="en-US" w:eastAsia="zh-CN"/>
                    </w:rPr>
                    <w:t>/</w:t>
                  </w:r>
                </w:p>
              </w:tc>
              <w:tc>
                <w:tcPr>
                  <w:tcW w:w="1960" w:type="pct"/>
                  <w:tcBorders>
                    <w:tl2br w:val="nil"/>
                    <w:tr2bl w:val="nil"/>
                  </w:tcBorders>
                  <w:noWrap w:val="0"/>
                  <w:vAlign w:val="center"/>
                </w:tcPr>
                <w:p w14:paraId="17C56F2E">
                  <w:pPr>
                    <w:keepNext w:val="0"/>
                    <w:keepLines w:val="0"/>
                    <w:pageBreakBefore w:val="0"/>
                    <w:widowControl w:val="0"/>
                    <w:kinsoku/>
                    <w:wordWrap/>
                    <w:overflowPunct/>
                    <w:topLinePunct w:val="0"/>
                    <w:autoSpaceDE/>
                    <w:autoSpaceDN/>
                    <w:bidi w:val="0"/>
                    <w:adjustRightInd/>
                    <w:snapToGrid/>
                    <w:jc w:val="center"/>
                    <w:textAlignment w:val="auto"/>
                    <w:rPr>
                      <w:rFonts w:hint="default" w:eastAsia="宋体"/>
                      <w:color w:val="auto"/>
                      <w:szCs w:val="21"/>
                      <w:highlight w:val="none"/>
                      <w:lang w:val="en-US" w:eastAsia="zh-CN"/>
                    </w:rPr>
                  </w:pPr>
                  <w:r>
                    <w:rPr>
                      <w:rFonts w:hint="eastAsia" w:eastAsia="宋体"/>
                      <w:color w:val="auto"/>
                      <w:szCs w:val="21"/>
                      <w:highlight w:val="none"/>
                      <w:lang w:val="en-US" w:eastAsia="zh-CN"/>
                    </w:rPr>
                    <w:t>毒性</w:t>
                  </w:r>
                </w:p>
              </w:tc>
            </w:tr>
            <w:tr w14:paraId="04BBF9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2" w:hRule="atLeast"/>
                <w:jc w:val="center"/>
              </w:trPr>
              <w:tc>
                <w:tcPr>
                  <w:tcW w:w="927" w:type="pct"/>
                  <w:tcBorders>
                    <w:tl2br w:val="nil"/>
                    <w:tr2bl w:val="nil"/>
                  </w:tcBorders>
                  <w:noWrap w:val="0"/>
                  <w:vAlign w:val="center"/>
                </w:tcPr>
                <w:p w14:paraId="0332745E">
                  <w:pPr>
                    <w:keepNext w:val="0"/>
                    <w:keepLines w:val="0"/>
                    <w:pageBreakBefore w:val="0"/>
                    <w:widowControl w:val="0"/>
                    <w:kinsoku/>
                    <w:wordWrap/>
                    <w:overflowPunct/>
                    <w:topLinePunct w:val="0"/>
                    <w:autoSpaceDE/>
                    <w:autoSpaceDN/>
                    <w:bidi w:val="0"/>
                    <w:adjustRightInd/>
                    <w:snapToGrid/>
                    <w:jc w:val="center"/>
                    <w:textAlignment w:val="auto"/>
                    <w:rPr>
                      <w:rFonts w:hint="default" w:eastAsia="宋体"/>
                      <w:color w:val="auto"/>
                      <w:szCs w:val="21"/>
                      <w:highlight w:val="none"/>
                      <w:lang w:val="en-US" w:eastAsia="zh-CN"/>
                    </w:rPr>
                  </w:pPr>
                  <w:r>
                    <w:rPr>
                      <w:rFonts w:hint="eastAsia" w:eastAsia="宋体"/>
                      <w:color w:val="auto"/>
                      <w:szCs w:val="21"/>
                      <w:highlight w:val="none"/>
                      <w:lang w:val="en-US" w:eastAsia="zh-CN"/>
                    </w:rPr>
                    <w:t>综合废水</w:t>
                  </w:r>
                </w:p>
              </w:tc>
              <w:tc>
                <w:tcPr>
                  <w:tcW w:w="981" w:type="pct"/>
                  <w:tcBorders>
                    <w:tl2br w:val="nil"/>
                    <w:tr2bl w:val="nil"/>
                  </w:tcBorders>
                  <w:noWrap w:val="0"/>
                  <w:vAlign w:val="center"/>
                </w:tcPr>
                <w:p w14:paraId="3CAF00DA">
                  <w:pPr>
                    <w:keepNext w:val="0"/>
                    <w:keepLines w:val="0"/>
                    <w:pageBreakBefore w:val="0"/>
                    <w:widowControl w:val="0"/>
                    <w:kinsoku/>
                    <w:wordWrap/>
                    <w:overflowPunct/>
                    <w:topLinePunct w:val="0"/>
                    <w:autoSpaceDE/>
                    <w:autoSpaceDN/>
                    <w:bidi w:val="0"/>
                    <w:adjustRightInd/>
                    <w:snapToGrid/>
                    <w:jc w:val="center"/>
                    <w:textAlignment w:val="auto"/>
                    <w:rPr>
                      <w:rFonts w:hint="default" w:eastAsia="宋体"/>
                      <w:color w:val="auto"/>
                      <w:szCs w:val="21"/>
                      <w:highlight w:val="none"/>
                      <w:lang w:val="en-US" w:eastAsia="zh-CN"/>
                    </w:rPr>
                  </w:pPr>
                  <w:r>
                    <w:rPr>
                      <w:rFonts w:hint="eastAsia" w:eastAsia="宋体"/>
                      <w:color w:val="auto"/>
                      <w:szCs w:val="21"/>
                      <w:highlight w:val="none"/>
                      <w:lang w:val="en-US" w:eastAsia="zh-CN"/>
                    </w:rPr>
                    <w:t>污水处理站</w:t>
                  </w:r>
                </w:p>
              </w:tc>
              <w:tc>
                <w:tcPr>
                  <w:tcW w:w="1130" w:type="pct"/>
                  <w:tcBorders>
                    <w:tl2br w:val="nil"/>
                    <w:tr2bl w:val="nil"/>
                  </w:tcBorders>
                  <w:noWrap w:val="0"/>
                  <w:vAlign w:val="center"/>
                </w:tcPr>
                <w:p w14:paraId="0E955318">
                  <w:pPr>
                    <w:keepNext w:val="0"/>
                    <w:keepLines w:val="0"/>
                    <w:pageBreakBefore w:val="0"/>
                    <w:widowControl w:val="0"/>
                    <w:kinsoku/>
                    <w:wordWrap/>
                    <w:overflowPunct/>
                    <w:topLinePunct w:val="0"/>
                    <w:autoSpaceDE/>
                    <w:autoSpaceDN/>
                    <w:bidi w:val="0"/>
                    <w:adjustRightInd/>
                    <w:snapToGrid/>
                    <w:jc w:val="center"/>
                    <w:textAlignment w:val="auto"/>
                    <w:rPr>
                      <w:rFonts w:hint="default" w:eastAsia="宋体"/>
                      <w:color w:val="auto"/>
                      <w:szCs w:val="21"/>
                      <w:highlight w:val="none"/>
                      <w:lang w:val="en-US" w:eastAsia="zh-CN"/>
                    </w:rPr>
                  </w:pPr>
                  <w:r>
                    <w:rPr>
                      <w:rFonts w:hint="eastAsia" w:eastAsia="宋体"/>
                      <w:color w:val="auto"/>
                      <w:szCs w:val="21"/>
                      <w:highlight w:val="none"/>
                      <w:lang w:val="en-US" w:eastAsia="zh-CN"/>
                    </w:rPr>
                    <w:t>/</w:t>
                  </w:r>
                </w:p>
              </w:tc>
              <w:tc>
                <w:tcPr>
                  <w:tcW w:w="1960" w:type="pct"/>
                  <w:tcBorders>
                    <w:tl2br w:val="nil"/>
                    <w:tr2bl w:val="nil"/>
                  </w:tcBorders>
                  <w:noWrap w:val="0"/>
                  <w:vAlign w:val="center"/>
                </w:tcPr>
                <w:p w14:paraId="13D1A763">
                  <w:pPr>
                    <w:keepNext w:val="0"/>
                    <w:keepLines w:val="0"/>
                    <w:pageBreakBefore w:val="0"/>
                    <w:widowControl w:val="0"/>
                    <w:kinsoku/>
                    <w:wordWrap/>
                    <w:overflowPunct/>
                    <w:topLinePunct w:val="0"/>
                    <w:autoSpaceDE/>
                    <w:autoSpaceDN/>
                    <w:bidi w:val="0"/>
                    <w:adjustRightInd/>
                    <w:snapToGrid/>
                    <w:jc w:val="center"/>
                    <w:textAlignment w:val="auto"/>
                    <w:rPr>
                      <w:rFonts w:hint="default" w:eastAsia="宋体"/>
                      <w:color w:val="auto"/>
                      <w:szCs w:val="21"/>
                      <w:highlight w:val="none"/>
                      <w:lang w:val="en-US" w:eastAsia="zh-CN"/>
                    </w:rPr>
                  </w:pPr>
                  <w:r>
                    <w:rPr>
                      <w:rFonts w:hint="eastAsia" w:eastAsia="宋体"/>
                      <w:color w:val="auto"/>
                      <w:szCs w:val="21"/>
                      <w:highlight w:val="none"/>
                      <w:lang w:val="en-US" w:eastAsia="zh-CN"/>
                    </w:rPr>
                    <w:t>感染性</w:t>
                  </w:r>
                </w:p>
              </w:tc>
            </w:tr>
            <w:tr w14:paraId="7F3250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2" w:hRule="atLeast"/>
                <w:jc w:val="center"/>
              </w:trPr>
              <w:tc>
                <w:tcPr>
                  <w:tcW w:w="927" w:type="pct"/>
                  <w:tcBorders>
                    <w:tl2br w:val="nil"/>
                    <w:tr2bl w:val="nil"/>
                  </w:tcBorders>
                  <w:noWrap w:val="0"/>
                  <w:vAlign w:val="center"/>
                </w:tcPr>
                <w:p w14:paraId="4D91D6A3">
                  <w:pPr>
                    <w:keepNext w:val="0"/>
                    <w:keepLines w:val="0"/>
                    <w:pageBreakBefore w:val="0"/>
                    <w:widowControl w:val="0"/>
                    <w:kinsoku/>
                    <w:wordWrap/>
                    <w:overflowPunct/>
                    <w:topLinePunct w:val="0"/>
                    <w:autoSpaceDE/>
                    <w:autoSpaceDN/>
                    <w:bidi w:val="0"/>
                    <w:adjustRightInd/>
                    <w:snapToGrid/>
                    <w:jc w:val="center"/>
                    <w:textAlignment w:val="auto"/>
                    <w:rPr>
                      <w:rFonts w:hint="eastAsia" w:eastAsia="宋体"/>
                      <w:color w:val="auto"/>
                      <w:szCs w:val="21"/>
                      <w:highlight w:val="none"/>
                      <w:lang w:val="en-US" w:eastAsia="zh-CN"/>
                    </w:rPr>
                  </w:pPr>
                  <w:r>
                    <w:rPr>
                      <w:rFonts w:hint="eastAsia" w:eastAsia="宋体"/>
                      <w:color w:val="auto"/>
                      <w:szCs w:val="21"/>
                      <w:highlight w:val="none"/>
                      <w:lang w:val="en-US" w:eastAsia="zh-CN"/>
                    </w:rPr>
                    <w:t>柴油</w:t>
                  </w:r>
                </w:p>
              </w:tc>
              <w:tc>
                <w:tcPr>
                  <w:tcW w:w="981" w:type="pct"/>
                  <w:tcBorders>
                    <w:tl2br w:val="nil"/>
                    <w:tr2bl w:val="nil"/>
                  </w:tcBorders>
                  <w:noWrap w:val="0"/>
                  <w:vAlign w:val="center"/>
                </w:tcPr>
                <w:p w14:paraId="28D41C3A">
                  <w:pPr>
                    <w:keepNext w:val="0"/>
                    <w:keepLines w:val="0"/>
                    <w:pageBreakBefore w:val="0"/>
                    <w:widowControl w:val="0"/>
                    <w:kinsoku/>
                    <w:wordWrap/>
                    <w:overflowPunct/>
                    <w:topLinePunct w:val="0"/>
                    <w:autoSpaceDE/>
                    <w:autoSpaceDN/>
                    <w:bidi w:val="0"/>
                    <w:adjustRightInd/>
                    <w:snapToGrid/>
                    <w:jc w:val="center"/>
                    <w:textAlignment w:val="auto"/>
                    <w:rPr>
                      <w:rFonts w:hint="eastAsia" w:eastAsia="宋体"/>
                      <w:color w:val="auto"/>
                      <w:szCs w:val="21"/>
                      <w:highlight w:val="none"/>
                      <w:lang w:val="en-US" w:eastAsia="zh-CN"/>
                    </w:rPr>
                  </w:pPr>
                  <w:r>
                    <w:rPr>
                      <w:rFonts w:hint="eastAsia" w:eastAsia="宋体"/>
                      <w:color w:val="auto"/>
                      <w:szCs w:val="21"/>
                      <w:highlight w:val="none"/>
                      <w:lang w:val="en-US" w:eastAsia="zh-CN"/>
                    </w:rPr>
                    <w:t>柴油储存间</w:t>
                  </w:r>
                </w:p>
              </w:tc>
              <w:tc>
                <w:tcPr>
                  <w:tcW w:w="1130" w:type="pct"/>
                  <w:tcBorders>
                    <w:tl2br w:val="nil"/>
                    <w:tr2bl w:val="nil"/>
                  </w:tcBorders>
                  <w:noWrap w:val="0"/>
                  <w:vAlign w:val="center"/>
                </w:tcPr>
                <w:p w14:paraId="306DF09D">
                  <w:pPr>
                    <w:keepNext w:val="0"/>
                    <w:keepLines w:val="0"/>
                    <w:pageBreakBefore w:val="0"/>
                    <w:widowControl w:val="0"/>
                    <w:kinsoku/>
                    <w:wordWrap/>
                    <w:overflowPunct/>
                    <w:topLinePunct w:val="0"/>
                    <w:autoSpaceDE/>
                    <w:autoSpaceDN/>
                    <w:bidi w:val="0"/>
                    <w:adjustRightInd/>
                    <w:snapToGrid/>
                    <w:jc w:val="center"/>
                    <w:textAlignment w:val="auto"/>
                    <w:rPr>
                      <w:rFonts w:hint="eastAsia" w:eastAsia="宋体"/>
                      <w:color w:val="auto"/>
                      <w:szCs w:val="21"/>
                      <w:highlight w:val="none"/>
                      <w:lang w:val="en-US" w:eastAsia="zh-CN"/>
                    </w:rPr>
                  </w:pPr>
                  <w:r>
                    <w:rPr>
                      <w:rFonts w:hint="eastAsia" w:eastAsia="宋体"/>
                      <w:color w:val="auto"/>
                      <w:szCs w:val="21"/>
                      <w:highlight w:val="none"/>
                      <w:lang w:val="en-US" w:eastAsia="zh-CN"/>
                    </w:rPr>
                    <w:t>易燃，其蒸气与空气可形成爆炸性混合物，遇明火或高热能引起燃烧爆炸</w:t>
                  </w:r>
                </w:p>
              </w:tc>
              <w:tc>
                <w:tcPr>
                  <w:tcW w:w="1960" w:type="pct"/>
                  <w:tcBorders>
                    <w:tl2br w:val="nil"/>
                    <w:tr2bl w:val="nil"/>
                  </w:tcBorders>
                  <w:noWrap w:val="0"/>
                  <w:vAlign w:val="center"/>
                </w:tcPr>
                <w:p w14:paraId="73AF2582">
                  <w:pPr>
                    <w:keepNext w:val="0"/>
                    <w:keepLines w:val="0"/>
                    <w:pageBreakBefore w:val="0"/>
                    <w:widowControl w:val="0"/>
                    <w:kinsoku/>
                    <w:wordWrap/>
                    <w:overflowPunct/>
                    <w:topLinePunct w:val="0"/>
                    <w:autoSpaceDE/>
                    <w:autoSpaceDN/>
                    <w:bidi w:val="0"/>
                    <w:adjustRightInd/>
                    <w:snapToGrid/>
                    <w:jc w:val="center"/>
                    <w:textAlignment w:val="auto"/>
                    <w:rPr>
                      <w:rFonts w:hint="eastAsia" w:eastAsia="宋体"/>
                      <w:color w:val="auto"/>
                      <w:szCs w:val="21"/>
                      <w:highlight w:val="none"/>
                      <w:lang w:val="en-US" w:eastAsia="zh-CN"/>
                    </w:rPr>
                  </w:pPr>
                  <w:r>
                    <w:rPr>
                      <w:rFonts w:hint="eastAsia" w:eastAsia="宋体"/>
                      <w:color w:val="auto"/>
                      <w:szCs w:val="21"/>
                      <w:highlight w:val="none"/>
                      <w:lang w:val="en-US" w:eastAsia="zh-CN"/>
                    </w:rPr>
                    <w:t>刺激性</w:t>
                  </w:r>
                </w:p>
              </w:tc>
            </w:tr>
          </w:tbl>
          <w:p w14:paraId="2361C7B6">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b w:val="0"/>
                <w:bCs w:val="0"/>
                <w:color w:val="auto"/>
                <w:sz w:val="24"/>
                <w:highlight w:val="none"/>
                <w:lang w:val="en-US" w:eastAsia="zh-CN"/>
              </w:rPr>
            </w:pPr>
            <w:r>
              <w:rPr>
                <w:rFonts w:hint="eastAsia"/>
                <w:b w:val="0"/>
                <w:bCs w:val="0"/>
                <w:color w:val="auto"/>
                <w:sz w:val="24"/>
                <w:highlight w:val="none"/>
                <w:lang w:eastAsia="zh-CN"/>
              </w:rPr>
              <w:t>（</w:t>
            </w:r>
            <w:r>
              <w:rPr>
                <w:rFonts w:hint="eastAsia"/>
                <w:b w:val="0"/>
                <w:bCs w:val="0"/>
                <w:color w:val="auto"/>
                <w:sz w:val="24"/>
                <w:highlight w:val="none"/>
                <w:lang w:val="en-US" w:eastAsia="zh-CN"/>
              </w:rPr>
              <w:t>2</w:t>
            </w:r>
            <w:r>
              <w:rPr>
                <w:rFonts w:hint="eastAsia"/>
                <w:b w:val="0"/>
                <w:bCs w:val="0"/>
                <w:color w:val="auto"/>
                <w:sz w:val="24"/>
                <w:highlight w:val="none"/>
                <w:lang w:eastAsia="zh-CN"/>
              </w:rPr>
              <w:t>）</w:t>
            </w:r>
            <w:r>
              <w:rPr>
                <w:rFonts w:hint="eastAsia"/>
                <w:b w:val="0"/>
                <w:bCs w:val="0"/>
                <w:color w:val="auto"/>
                <w:sz w:val="24"/>
                <w:highlight w:val="none"/>
                <w:lang w:val="en-US" w:eastAsia="zh-CN"/>
              </w:rPr>
              <w:t>生产系统危险性识别</w:t>
            </w:r>
          </w:p>
          <w:p w14:paraId="54A420D3">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b w:val="0"/>
                <w:bCs w:val="0"/>
                <w:color w:val="auto"/>
                <w:sz w:val="24"/>
                <w:highlight w:val="none"/>
                <w:lang w:val="en-US" w:eastAsia="zh-CN"/>
              </w:rPr>
            </w:pPr>
            <w:r>
              <w:rPr>
                <w:rFonts w:hint="eastAsia"/>
                <w:b w:val="0"/>
                <w:bCs w:val="0"/>
                <w:color w:val="auto"/>
                <w:sz w:val="24"/>
                <w:highlight w:val="none"/>
                <w:lang w:val="en-US" w:eastAsia="zh-CN"/>
              </w:rPr>
              <w:t>结合物质危险性识别，确定危险单元为药房、污水处理站、医废暂存间和危废暂存间，生产系统危险性识别结果见下表。</w:t>
            </w:r>
          </w:p>
          <w:p w14:paraId="654E2D6F">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bCs/>
                <w:color w:val="auto"/>
                <w:sz w:val="21"/>
                <w:szCs w:val="21"/>
                <w:highlight w:val="none"/>
                <w:lang w:val="en-US" w:eastAsia="zh-CN"/>
              </w:rPr>
            </w:pPr>
            <w:r>
              <w:rPr>
                <w:rFonts w:hint="eastAsia" w:ascii="Times New Roman" w:hAnsi="Times New Roman" w:eastAsia="宋体" w:cs="Times New Roman"/>
                <w:b/>
                <w:bCs/>
                <w:color w:val="auto"/>
                <w:sz w:val="21"/>
                <w:szCs w:val="21"/>
                <w:highlight w:val="none"/>
                <w:lang w:val="en-US" w:eastAsia="zh-CN"/>
              </w:rPr>
              <w:t>表4-2</w:t>
            </w:r>
            <w:r>
              <w:rPr>
                <w:rFonts w:hint="eastAsia" w:cs="Times New Roman"/>
                <w:b/>
                <w:bCs/>
                <w:color w:val="auto"/>
                <w:sz w:val="21"/>
                <w:szCs w:val="21"/>
                <w:highlight w:val="none"/>
                <w:lang w:val="en-US" w:eastAsia="zh-CN"/>
              </w:rPr>
              <w:t>1</w:t>
            </w:r>
            <w:r>
              <w:rPr>
                <w:rFonts w:hint="eastAsia" w:ascii="Times New Roman" w:hAnsi="Times New Roman" w:eastAsia="宋体" w:cs="Times New Roman"/>
                <w:b/>
                <w:bCs/>
                <w:color w:val="auto"/>
                <w:sz w:val="21"/>
                <w:szCs w:val="21"/>
                <w:highlight w:val="none"/>
                <w:lang w:val="en-US" w:eastAsia="zh-CN"/>
              </w:rPr>
              <w:t xml:space="preserve"> 生产系统危险性识别结果一览表</w:t>
            </w:r>
          </w:p>
          <w:tbl>
            <w:tblPr>
              <w:tblStyle w:val="14"/>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6"/>
              <w:gridCol w:w="1022"/>
              <w:gridCol w:w="902"/>
              <w:gridCol w:w="1325"/>
              <w:gridCol w:w="1197"/>
              <w:gridCol w:w="1120"/>
              <w:gridCol w:w="1768"/>
            </w:tblGrid>
            <w:tr w14:paraId="2FB8A7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 w:hRule="atLeast"/>
                <w:jc w:val="center"/>
              </w:trPr>
              <w:tc>
                <w:tcPr>
                  <w:tcW w:w="528" w:type="pct"/>
                  <w:vMerge w:val="restart"/>
                  <w:tcBorders>
                    <w:tl2br w:val="nil"/>
                    <w:tr2bl w:val="nil"/>
                  </w:tcBorders>
                  <w:noWrap w:val="0"/>
                  <w:vAlign w:val="center"/>
                </w:tcPr>
                <w:p w14:paraId="0846EE66">
                  <w:pPr>
                    <w:keepNext w:val="0"/>
                    <w:keepLines w:val="0"/>
                    <w:pageBreakBefore w:val="0"/>
                    <w:widowControl w:val="0"/>
                    <w:kinsoku/>
                    <w:wordWrap/>
                    <w:overflowPunct/>
                    <w:topLinePunct w:val="0"/>
                    <w:autoSpaceDE/>
                    <w:autoSpaceDN/>
                    <w:bidi w:val="0"/>
                    <w:adjustRightInd/>
                    <w:snapToGrid/>
                    <w:jc w:val="center"/>
                    <w:textAlignment w:val="auto"/>
                    <w:rPr>
                      <w:rFonts w:hint="default" w:eastAsia="宋体"/>
                      <w:color w:val="auto"/>
                      <w:szCs w:val="21"/>
                      <w:highlight w:val="none"/>
                      <w:lang w:val="en-US" w:eastAsia="zh-CN"/>
                    </w:rPr>
                  </w:pPr>
                  <w:r>
                    <w:rPr>
                      <w:rFonts w:hint="eastAsia" w:eastAsia="宋体"/>
                      <w:color w:val="auto"/>
                      <w:szCs w:val="21"/>
                      <w:highlight w:val="none"/>
                      <w:lang w:val="en-US" w:eastAsia="zh-CN"/>
                    </w:rPr>
                    <w:t>危险单元</w:t>
                  </w:r>
                </w:p>
              </w:tc>
              <w:tc>
                <w:tcPr>
                  <w:tcW w:w="623" w:type="pct"/>
                  <w:vMerge w:val="restart"/>
                  <w:tcBorders>
                    <w:tl2br w:val="nil"/>
                    <w:tr2bl w:val="nil"/>
                  </w:tcBorders>
                  <w:noWrap w:val="0"/>
                  <w:vAlign w:val="center"/>
                </w:tcPr>
                <w:p w14:paraId="3D79DBAD">
                  <w:pPr>
                    <w:keepNext w:val="0"/>
                    <w:keepLines w:val="0"/>
                    <w:pageBreakBefore w:val="0"/>
                    <w:widowControl w:val="0"/>
                    <w:kinsoku/>
                    <w:wordWrap/>
                    <w:overflowPunct/>
                    <w:topLinePunct w:val="0"/>
                    <w:autoSpaceDE/>
                    <w:autoSpaceDN/>
                    <w:bidi w:val="0"/>
                    <w:adjustRightInd/>
                    <w:snapToGrid/>
                    <w:jc w:val="center"/>
                    <w:textAlignment w:val="auto"/>
                    <w:rPr>
                      <w:rFonts w:hint="default" w:eastAsia="宋体"/>
                      <w:color w:val="auto"/>
                      <w:szCs w:val="21"/>
                      <w:highlight w:val="none"/>
                      <w:lang w:val="en-US" w:eastAsia="zh-CN"/>
                    </w:rPr>
                  </w:pPr>
                  <w:r>
                    <w:rPr>
                      <w:rFonts w:hint="eastAsia" w:eastAsia="宋体"/>
                      <w:color w:val="auto"/>
                      <w:szCs w:val="21"/>
                      <w:highlight w:val="none"/>
                      <w:lang w:val="en-US" w:eastAsia="zh-CN"/>
                    </w:rPr>
                    <w:t>危险物质</w:t>
                  </w:r>
                </w:p>
              </w:tc>
              <w:tc>
                <w:tcPr>
                  <w:tcW w:w="550" w:type="pct"/>
                  <w:vMerge w:val="restart"/>
                  <w:tcBorders>
                    <w:tl2br w:val="nil"/>
                    <w:tr2bl w:val="nil"/>
                  </w:tcBorders>
                  <w:noWrap w:val="0"/>
                  <w:vAlign w:val="center"/>
                </w:tcPr>
                <w:p w14:paraId="1FE89555">
                  <w:pPr>
                    <w:keepNext w:val="0"/>
                    <w:keepLines w:val="0"/>
                    <w:pageBreakBefore w:val="0"/>
                    <w:widowControl w:val="0"/>
                    <w:kinsoku/>
                    <w:wordWrap/>
                    <w:overflowPunct/>
                    <w:topLinePunct w:val="0"/>
                    <w:autoSpaceDE/>
                    <w:autoSpaceDN/>
                    <w:bidi w:val="0"/>
                    <w:adjustRightInd/>
                    <w:snapToGrid/>
                    <w:jc w:val="center"/>
                    <w:textAlignment w:val="auto"/>
                    <w:rPr>
                      <w:rFonts w:hint="default" w:eastAsia="宋体"/>
                      <w:color w:val="auto"/>
                      <w:szCs w:val="21"/>
                      <w:highlight w:val="none"/>
                      <w:lang w:val="en-US" w:eastAsia="zh-CN"/>
                    </w:rPr>
                  </w:pPr>
                  <w:r>
                    <w:rPr>
                      <w:rFonts w:hint="eastAsia" w:eastAsia="宋体"/>
                      <w:color w:val="auto"/>
                      <w:szCs w:val="21"/>
                      <w:highlight w:val="none"/>
                      <w:lang w:val="en-US" w:eastAsia="zh-CN"/>
                    </w:rPr>
                    <w:t>最大储存量</w:t>
                  </w:r>
                </w:p>
              </w:tc>
              <w:tc>
                <w:tcPr>
                  <w:tcW w:w="3298" w:type="pct"/>
                  <w:gridSpan w:val="4"/>
                  <w:tcBorders>
                    <w:tl2br w:val="nil"/>
                    <w:tr2bl w:val="nil"/>
                  </w:tcBorders>
                  <w:noWrap w:val="0"/>
                  <w:vAlign w:val="center"/>
                </w:tcPr>
                <w:p w14:paraId="6CA1D45D">
                  <w:pPr>
                    <w:keepNext w:val="0"/>
                    <w:keepLines w:val="0"/>
                    <w:pageBreakBefore w:val="0"/>
                    <w:widowControl w:val="0"/>
                    <w:kinsoku/>
                    <w:wordWrap/>
                    <w:overflowPunct/>
                    <w:topLinePunct w:val="0"/>
                    <w:autoSpaceDE/>
                    <w:autoSpaceDN/>
                    <w:bidi w:val="0"/>
                    <w:adjustRightInd/>
                    <w:snapToGrid/>
                    <w:jc w:val="center"/>
                    <w:textAlignment w:val="auto"/>
                    <w:rPr>
                      <w:rFonts w:hint="default" w:eastAsia="宋体"/>
                      <w:color w:val="auto"/>
                      <w:szCs w:val="21"/>
                      <w:highlight w:val="none"/>
                      <w:lang w:val="en-US" w:eastAsia="zh-CN"/>
                    </w:rPr>
                  </w:pPr>
                  <w:r>
                    <w:rPr>
                      <w:rFonts w:hint="eastAsia" w:eastAsia="宋体"/>
                      <w:color w:val="auto"/>
                      <w:szCs w:val="21"/>
                      <w:highlight w:val="none"/>
                      <w:lang w:val="en-US" w:eastAsia="zh-CN"/>
                    </w:rPr>
                    <w:t>风险源</w:t>
                  </w:r>
                </w:p>
              </w:tc>
            </w:tr>
            <w:tr w14:paraId="69A791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 w:hRule="atLeast"/>
                <w:jc w:val="center"/>
              </w:trPr>
              <w:tc>
                <w:tcPr>
                  <w:tcW w:w="528" w:type="pct"/>
                  <w:vMerge w:val="continue"/>
                  <w:tcBorders>
                    <w:tl2br w:val="nil"/>
                    <w:tr2bl w:val="nil"/>
                  </w:tcBorders>
                  <w:noWrap w:val="0"/>
                  <w:vAlign w:val="center"/>
                </w:tcPr>
                <w:p w14:paraId="146B4E82">
                  <w:pPr>
                    <w:keepNext w:val="0"/>
                    <w:keepLines w:val="0"/>
                    <w:pageBreakBefore w:val="0"/>
                    <w:widowControl w:val="0"/>
                    <w:kinsoku/>
                    <w:wordWrap/>
                    <w:overflowPunct/>
                    <w:topLinePunct w:val="0"/>
                    <w:autoSpaceDE/>
                    <w:autoSpaceDN/>
                    <w:bidi w:val="0"/>
                    <w:adjustRightInd/>
                    <w:snapToGrid/>
                    <w:jc w:val="center"/>
                    <w:textAlignment w:val="auto"/>
                    <w:rPr>
                      <w:color w:val="auto"/>
                      <w:highlight w:val="none"/>
                    </w:rPr>
                  </w:pPr>
                </w:p>
              </w:tc>
              <w:tc>
                <w:tcPr>
                  <w:tcW w:w="623" w:type="pct"/>
                  <w:vMerge w:val="continue"/>
                  <w:tcBorders>
                    <w:tl2br w:val="nil"/>
                    <w:tr2bl w:val="nil"/>
                  </w:tcBorders>
                  <w:noWrap w:val="0"/>
                  <w:vAlign w:val="center"/>
                </w:tcPr>
                <w:p w14:paraId="42DAB96B">
                  <w:pPr>
                    <w:keepNext w:val="0"/>
                    <w:keepLines w:val="0"/>
                    <w:pageBreakBefore w:val="0"/>
                    <w:widowControl w:val="0"/>
                    <w:kinsoku/>
                    <w:wordWrap/>
                    <w:overflowPunct/>
                    <w:topLinePunct w:val="0"/>
                    <w:autoSpaceDE/>
                    <w:autoSpaceDN/>
                    <w:bidi w:val="0"/>
                    <w:adjustRightInd/>
                    <w:snapToGrid/>
                    <w:jc w:val="center"/>
                    <w:textAlignment w:val="auto"/>
                    <w:rPr>
                      <w:color w:val="auto"/>
                      <w:highlight w:val="none"/>
                    </w:rPr>
                  </w:pPr>
                </w:p>
              </w:tc>
              <w:tc>
                <w:tcPr>
                  <w:tcW w:w="550" w:type="pct"/>
                  <w:vMerge w:val="continue"/>
                  <w:tcBorders>
                    <w:tl2br w:val="nil"/>
                    <w:tr2bl w:val="nil"/>
                  </w:tcBorders>
                  <w:noWrap w:val="0"/>
                  <w:vAlign w:val="center"/>
                </w:tcPr>
                <w:p w14:paraId="66A0DFE3">
                  <w:pPr>
                    <w:keepNext w:val="0"/>
                    <w:keepLines w:val="0"/>
                    <w:pageBreakBefore w:val="0"/>
                    <w:widowControl w:val="0"/>
                    <w:kinsoku/>
                    <w:wordWrap/>
                    <w:overflowPunct/>
                    <w:topLinePunct w:val="0"/>
                    <w:autoSpaceDE/>
                    <w:autoSpaceDN/>
                    <w:bidi w:val="0"/>
                    <w:adjustRightInd/>
                    <w:snapToGrid/>
                    <w:jc w:val="center"/>
                    <w:textAlignment w:val="auto"/>
                    <w:rPr>
                      <w:color w:val="auto"/>
                      <w:highlight w:val="none"/>
                    </w:rPr>
                  </w:pPr>
                </w:p>
              </w:tc>
              <w:tc>
                <w:tcPr>
                  <w:tcW w:w="808" w:type="pct"/>
                  <w:tcBorders>
                    <w:tl2br w:val="nil"/>
                    <w:tr2bl w:val="nil"/>
                  </w:tcBorders>
                  <w:noWrap w:val="0"/>
                  <w:vAlign w:val="center"/>
                </w:tcPr>
                <w:p w14:paraId="7B5C8FF6">
                  <w:pPr>
                    <w:keepNext w:val="0"/>
                    <w:keepLines w:val="0"/>
                    <w:pageBreakBefore w:val="0"/>
                    <w:widowControl w:val="0"/>
                    <w:kinsoku/>
                    <w:wordWrap/>
                    <w:overflowPunct/>
                    <w:topLinePunct w:val="0"/>
                    <w:autoSpaceDE/>
                    <w:autoSpaceDN/>
                    <w:bidi w:val="0"/>
                    <w:adjustRightInd/>
                    <w:snapToGrid/>
                    <w:jc w:val="center"/>
                    <w:textAlignment w:val="auto"/>
                    <w:rPr>
                      <w:rFonts w:hint="default" w:eastAsia="宋体"/>
                      <w:color w:val="auto"/>
                      <w:szCs w:val="21"/>
                      <w:highlight w:val="none"/>
                      <w:lang w:val="en-US" w:eastAsia="zh-CN"/>
                    </w:rPr>
                  </w:pPr>
                  <w:r>
                    <w:rPr>
                      <w:rFonts w:hint="eastAsia" w:eastAsia="宋体"/>
                      <w:color w:val="auto"/>
                      <w:szCs w:val="21"/>
                      <w:highlight w:val="none"/>
                      <w:lang w:val="en-US" w:eastAsia="zh-CN"/>
                    </w:rPr>
                    <w:t>名称</w:t>
                  </w:r>
                </w:p>
              </w:tc>
              <w:tc>
                <w:tcPr>
                  <w:tcW w:w="730" w:type="pct"/>
                  <w:tcBorders>
                    <w:tl2br w:val="nil"/>
                    <w:tr2bl w:val="nil"/>
                  </w:tcBorders>
                  <w:noWrap w:val="0"/>
                  <w:vAlign w:val="center"/>
                </w:tcPr>
                <w:p w14:paraId="056C8E45">
                  <w:pPr>
                    <w:keepNext w:val="0"/>
                    <w:keepLines w:val="0"/>
                    <w:pageBreakBefore w:val="0"/>
                    <w:widowControl w:val="0"/>
                    <w:kinsoku/>
                    <w:wordWrap/>
                    <w:overflowPunct/>
                    <w:topLinePunct w:val="0"/>
                    <w:autoSpaceDE/>
                    <w:autoSpaceDN/>
                    <w:bidi w:val="0"/>
                    <w:adjustRightInd/>
                    <w:snapToGrid/>
                    <w:jc w:val="center"/>
                    <w:textAlignment w:val="auto"/>
                    <w:rPr>
                      <w:rFonts w:hint="default" w:eastAsia="宋体"/>
                      <w:color w:val="auto"/>
                      <w:szCs w:val="21"/>
                      <w:highlight w:val="none"/>
                      <w:lang w:val="en-US" w:eastAsia="zh-CN"/>
                    </w:rPr>
                  </w:pPr>
                  <w:r>
                    <w:rPr>
                      <w:rFonts w:hint="eastAsia" w:eastAsia="宋体"/>
                      <w:color w:val="auto"/>
                      <w:szCs w:val="21"/>
                      <w:highlight w:val="none"/>
                      <w:lang w:val="en-US" w:eastAsia="zh-CN"/>
                    </w:rPr>
                    <w:t>危险性</w:t>
                  </w:r>
                </w:p>
              </w:tc>
              <w:tc>
                <w:tcPr>
                  <w:tcW w:w="683" w:type="pct"/>
                  <w:tcBorders>
                    <w:tl2br w:val="nil"/>
                    <w:tr2bl w:val="nil"/>
                  </w:tcBorders>
                  <w:noWrap w:val="0"/>
                  <w:vAlign w:val="center"/>
                </w:tcPr>
                <w:p w14:paraId="48230D20">
                  <w:pPr>
                    <w:keepNext w:val="0"/>
                    <w:keepLines w:val="0"/>
                    <w:pageBreakBefore w:val="0"/>
                    <w:widowControl w:val="0"/>
                    <w:kinsoku/>
                    <w:wordWrap/>
                    <w:overflowPunct/>
                    <w:topLinePunct w:val="0"/>
                    <w:autoSpaceDE/>
                    <w:autoSpaceDN/>
                    <w:bidi w:val="0"/>
                    <w:adjustRightInd/>
                    <w:snapToGrid/>
                    <w:jc w:val="center"/>
                    <w:textAlignment w:val="auto"/>
                    <w:rPr>
                      <w:rFonts w:hint="default" w:eastAsia="宋体"/>
                      <w:color w:val="auto"/>
                      <w:szCs w:val="21"/>
                      <w:highlight w:val="none"/>
                      <w:lang w:val="en-US" w:eastAsia="zh-CN"/>
                    </w:rPr>
                  </w:pPr>
                  <w:r>
                    <w:rPr>
                      <w:rFonts w:hint="eastAsia" w:eastAsia="宋体"/>
                      <w:color w:val="auto"/>
                      <w:szCs w:val="21"/>
                      <w:highlight w:val="none"/>
                      <w:lang w:val="en-US" w:eastAsia="zh-CN"/>
                    </w:rPr>
                    <w:t>存在条件</w:t>
                  </w:r>
                </w:p>
              </w:tc>
              <w:tc>
                <w:tcPr>
                  <w:tcW w:w="1075" w:type="pct"/>
                  <w:tcBorders>
                    <w:tl2br w:val="nil"/>
                    <w:tr2bl w:val="nil"/>
                  </w:tcBorders>
                  <w:noWrap w:val="0"/>
                  <w:vAlign w:val="center"/>
                </w:tcPr>
                <w:p w14:paraId="09C1A695">
                  <w:pPr>
                    <w:keepNext w:val="0"/>
                    <w:keepLines w:val="0"/>
                    <w:pageBreakBefore w:val="0"/>
                    <w:widowControl w:val="0"/>
                    <w:kinsoku/>
                    <w:wordWrap/>
                    <w:overflowPunct/>
                    <w:topLinePunct w:val="0"/>
                    <w:autoSpaceDE/>
                    <w:autoSpaceDN/>
                    <w:bidi w:val="0"/>
                    <w:adjustRightInd/>
                    <w:snapToGrid/>
                    <w:jc w:val="center"/>
                    <w:textAlignment w:val="auto"/>
                    <w:rPr>
                      <w:rFonts w:hint="default" w:eastAsia="宋体"/>
                      <w:color w:val="auto"/>
                      <w:szCs w:val="21"/>
                      <w:highlight w:val="none"/>
                      <w:lang w:val="en-US" w:eastAsia="zh-CN"/>
                    </w:rPr>
                  </w:pPr>
                  <w:r>
                    <w:rPr>
                      <w:rFonts w:hint="eastAsia" w:eastAsia="宋体"/>
                      <w:color w:val="auto"/>
                      <w:szCs w:val="21"/>
                      <w:highlight w:val="none"/>
                      <w:lang w:val="en-US" w:eastAsia="zh-CN"/>
                    </w:rPr>
                    <w:t>转化为事故的触发因素</w:t>
                  </w:r>
                </w:p>
              </w:tc>
            </w:tr>
            <w:tr w14:paraId="4F6C80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2" w:hRule="atLeast"/>
                <w:jc w:val="center"/>
              </w:trPr>
              <w:tc>
                <w:tcPr>
                  <w:tcW w:w="528" w:type="pct"/>
                  <w:tcBorders>
                    <w:tl2br w:val="nil"/>
                    <w:tr2bl w:val="nil"/>
                  </w:tcBorders>
                  <w:noWrap w:val="0"/>
                  <w:vAlign w:val="center"/>
                </w:tcPr>
                <w:p w14:paraId="29368656">
                  <w:pPr>
                    <w:keepNext w:val="0"/>
                    <w:keepLines w:val="0"/>
                    <w:pageBreakBefore w:val="0"/>
                    <w:widowControl w:val="0"/>
                    <w:kinsoku/>
                    <w:wordWrap/>
                    <w:overflowPunct/>
                    <w:topLinePunct w:val="0"/>
                    <w:autoSpaceDE/>
                    <w:autoSpaceDN/>
                    <w:bidi w:val="0"/>
                    <w:adjustRightInd/>
                    <w:snapToGrid/>
                    <w:jc w:val="center"/>
                    <w:textAlignment w:val="auto"/>
                    <w:rPr>
                      <w:rFonts w:hint="default" w:eastAsia="宋体"/>
                      <w:color w:val="auto"/>
                      <w:szCs w:val="21"/>
                      <w:highlight w:val="none"/>
                      <w:lang w:val="en-US" w:eastAsia="zh-CN"/>
                    </w:rPr>
                  </w:pPr>
                  <w:r>
                    <w:rPr>
                      <w:rFonts w:hint="eastAsia" w:eastAsia="宋体"/>
                      <w:color w:val="auto"/>
                      <w:szCs w:val="21"/>
                      <w:highlight w:val="none"/>
                      <w:lang w:val="en-US" w:eastAsia="zh-CN"/>
                    </w:rPr>
                    <w:t>药库</w:t>
                  </w:r>
                </w:p>
              </w:tc>
              <w:tc>
                <w:tcPr>
                  <w:tcW w:w="623" w:type="pct"/>
                  <w:tcBorders>
                    <w:tl2br w:val="nil"/>
                    <w:tr2bl w:val="nil"/>
                  </w:tcBorders>
                  <w:noWrap w:val="0"/>
                  <w:vAlign w:val="center"/>
                </w:tcPr>
                <w:p w14:paraId="17668760">
                  <w:pPr>
                    <w:keepNext w:val="0"/>
                    <w:keepLines w:val="0"/>
                    <w:pageBreakBefore w:val="0"/>
                    <w:widowControl w:val="0"/>
                    <w:kinsoku/>
                    <w:wordWrap/>
                    <w:overflowPunct/>
                    <w:topLinePunct w:val="0"/>
                    <w:autoSpaceDE/>
                    <w:autoSpaceDN/>
                    <w:bidi w:val="0"/>
                    <w:adjustRightInd/>
                    <w:snapToGrid/>
                    <w:jc w:val="center"/>
                    <w:textAlignment w:val="auto"/>
                    <w:rPr>
                      <w:rFonts w:hint="default" w:eastAsia="宋体"/>
                      <w:color w:val="auto"/>
                      <w:szCs w:val="21"/>
                      <w:highlight w:val="none"/>
                      <w:lang w:val="en-US" w:eastAsia="zh-CN"/>
                    </w:rPr>
                  </w:pPr>
                  <w:r>
                    <w:rPr>
                      <w:rFonts w:hint="eastAsia" w:eastAsia="宋体"/>
                      <w:color w:val="auto"/>
                      <w:szCs w:val="21"/>
                      <w:highlight w:val="none"/>
                      <w:lang w:val="en-US" w:eastAsia="zh-CN"/>
                    </w:rPr>
                    <w:t>酒精</w:t>
                  </w:r>
                </w:p>
              </w:tc>
              <w:tc>
                <w:tcPr>
                  <w:tcW w:w="550" w:type="pct"/>
                  <w:tcBorders>
                    <w:tl2br w:val="nil"/>
                    <w:tr2bl w:val="nil"/>
                  </w:tcBorders>
                  <w:noWrap w:val="0"/>
                  <w:vAlign w:val="center"/>
                </w:tcPr>
                <w:p w14:paraId="0F2439B1">
                  <w:pPr>
                    <w:keepNext w:val="0"/>
                    <w:keepLines w:val="0"/>
                    <w:pageBreakBefore w:val="0"/>
                    <w:widowControl w:val="0"/>
                    <w:kinsoku/>
                    <w:wordWrap/>
                    <w:overflowPunct/>
                    <w:topLinePunct w:val="0"/>
                    <w:autoSpaceDE/>
                    <w:autoSpaceDN/>
                    <w:bidi w:val="0"/>
                    <w:adjustRightInd/>
                    <w:snapToGrid/>
                    <w:jc w:val="center"/>
                    <w:textAlignment w:val="auto"/>
                    <w:rPr>
                      <w:rFonts w:hint="default"/>
                      <w:color w:val="auto"/>
                      <w:kern w:val="2"/>
                      <w:sz w:val="21"/>
                      <w:szCs w:val="21"/>
                      <w:highlight w:val="none"/>
                      <w:lang w:val="en-US" w:eastAsia="zh-CN" w:bidi="ar-SA"/>
                    </w:rPr>
                  </w:pPr>
                  <w:r>
                    <w:rPr>
                      <w:rFonts w:hint="eastAsia"/>
                      <w:color w:val="auto"/>
                      <w:szCs w:val="21"/>
                      <w:highlight w:val="none"/>
                      <w:lang w:val="en-US" w:eastAsia="zh-CN"/>
                    </w:rPr>
                    <w:t>0.0375t</w:t>
                  </w:r>
                </w:p>
              </w:tc>
              <w:tc>
                <w:tcPr>
                  <w:tcW w:w="808" w:type="pct"/>
                  <w:tcBorders>
                    <w:tl2br w:val="nil"/>
                    <w:tr2bl w:val="nil"/>
                  </w:tcBorders>
                  <w:noWrap w:val="0"/>
                  <w:vAlign w:val="center"/>
                </w:tcPr>
                <w:p w14:paraId="0EAD83E6">
                  <w:pPr>
                    <w:pStyle w:val="32"/>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酒精瓶</w:t>
                  </w:r>
                </w:p>
              </w:tc>
              <w:tc>
                <w:tcPr>
                  <w:tcW w:w="730" w:type="pct"/>
                  <w:tcBorders>
                    <w:tl2br w:val="nil"/>
                    <w:tr2bl w:val="nil"/>
                  </w:tcBorders>
                  <w:noWrap w:val="0"/>
                  <w:vAlign w:val="center"/>
                </w:tcPr>
                <w:p w14:paraId="6CACC3C2">
                  <w:pPr>
                    <w:pStyle w:val="32"/>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易燃</w:t>
                  </w:r>
                </w:p>
              </w:tc>
              <w:tc>
                <w:tcPr>
                  <w:tcW w:w="683" w:type="pct"/>
                  <w:tcBorders>
                    <w:tl2br w:val="nil"/>
                    <w:tr2bl w:val="nil"/>
                  </w:tcBorders>
                  <w:noWrap w:val="0"/>
                  <w:vAlign w:val="center"/>
                </w:tcPr>
                <w:p w14:paraId="4C0DEBBC">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leftChars="0" w:right="0" w:rightChars="0" w:firstLine="0" w:firstLineChars="0"/>
                    <w:jc w:val="center"/>
                    <w:textAlignment w:val="auto"/>
                    <w:rPr>
                      <w:color w:val="auto"/>
                      <w:highlight w:val="none"/>
                    </w:rPr>
                  </w:pPr>
                  <w:r>
                    <w:rPr>
                      <w:color w:val="auto"/>
                      <w:highlight w:val="none"/>
                    </w:rPr>
                    <w:t>常温、</w:t>
                  </w:r>
                </w:p>
                <w:p w14:paraId="680D54D1">
                  <w:pPr>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leftChars="0" w:right="0" w:rightChars="0" w:firstLine="0" w:firstLineChars="0"/>
                    <w:jc w:val="center"/>
                    <w:textAlignment w:val="auto"/>
                    <w:rPr>
                      <w:rFonts w:hint="eastAsia" w:ascii="Times New Roman" w:hAnsi="Times New Roman" w:eastAsia="宋体" w:cs="Times New Roman"/>
                      <w:color w:val="auto"/>
                      <w:kern w:val="2"/>
                      <w:sz w:val="21"/>
                      <w:szCs w:val="21"/>
                      <w:highlight w:val="none"/>
                      <w:lang w:val="en-US" w:eastAsia="zh-CN" w:bidi="ar-SA"/>
                    </w:rPr>
                  </w:pPr>
                  <w:r>
                    <w:rPr>
                      <w:color w:val="auto"/>
                      <w:highlight w:val="none"/>
                    </w:rPr>
                    <w:t>常压</w:t>
                  </w:r>
                </w:p>
              </w:tc>
              <w:tc>
                <w:tcPr>
                  <w:tcW w:w="1075" w:type="pct"/>
                  <w:tcBorders>
                    <w:tl2br w:val="nil"/>
                    <w:tr2bl w:val="nil"/>
                  </w:tcBorders>
                  <w:noWrap w:val="0"/>
                  <w:vAlign w:val="center"/>
                </w:tcPr>
                <w:p w14:paraId="140C5C2C">
                  <w:pPr>
                    <w:pStyle w:val="32"/>
                    <w:keepNext w:val="0"/>
                    <w:keepLines w:val="0"/>
                    <w:pageBreakBefore w:val="0"/>
                    <w:widowControl w:val="0"/>
                    <w:suppressLineNumbers w:val="0"/>
                    <w:kinsoku/>
                    <w:wordWrap/>
                    <w:overflowPunct/>
                    <w:topLinePunct w:val="0"/>
                    <w:autoSpaceDE/>
                    <w:autoSpaceDN/>
                    <w:bidi w:val="0"/>
                    <w:adjustRightInd/>
                    <w:snapToGrid/>
                    <w:spacing w:before="0" w:beforeLines="0" w:beforeAutospacing="0" w:after="0" w:afterLines="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破损泄漏</w:t>
                  </w:r>
                </w:p>
              </w:tc>
            </w:tr>
            <w:tr w14:paraId="330DBF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2" w:hRule="atLeast"/>
                <w:jc w:val="center"/>
              </w:trPr>
              <w:tc>
                <w:tcPr>
                  <w:tcW w:w="528" w:type="pct"/>
                  <w:tcBorders>
                    <w:tl2br w:val="nil"/>
                    <w:tr2bl w:val="nil"/>
                  </w:tcBorders>
                  <w:noWrap w:val="0"/>
                  <w:vAlign w:val="center"/>
                </w:tcPr>
                <w:p w14:paraId="1729D0F3">
                  <w:pPr>
                    <w:keepNext w:val="0"/>
                    <w:keepLines w:val="0"/>
                    <w:pageBreakBefore w:val="0"/>
                    <w:widowControl w:val="0"/>
                    <w:kinsoku/>
                    <w:wordWrap/>
                    <w:overflowPunct/>
                    <w:topLinePunct w:val="0"/>
                    <w:autoSpaceDE/>
                    <w:autoSpaceDN/>
                    <w:bidi w:val="0"/>
                    <w:adjustRightInd/>
                    <w:snapToGrid/>
                    <w:jc w:val="center"/>
                    <w:textAlignment w:val="auto"/>
                    <w:rPr>
                      <w:rFonts w:hint="default" w:eastAsia="宋体"/>
                      <w:color w:val="auto"/>
                      <w:szCs w:val="21"/>
                      <w:highlight w:val="none"/>
                      <w:lang w:val="en-US" w:eastAsia="zh-CN"/>
                    </w:rPr>
                  </w:pPr>
                  <w:r>
                    <w:rPr>
                      <w:rFonts w:hint="eastAsia" w:eastAsia="宋体"/>
                      <w:color w:val="auto"/>
                      <w:szCs w:val="21"/>
                      <w:highlight w:val="none"/>
                      <w:lang w:val="en-US" w:eastAsia="zh-CN"/>
                    </w:rPr>
                    <w:t>医废间</w:t>
                  </w:r>
                </w:p>
              </w:tc>
              <w:tc>
                <w:tcPr>
                  <w:tcW w:w="623" w:type="pct"/>
                  <w:tcBorders>
                    <w:tl2br w:val="nil"/>
                    <w:tr2bl w:val="nil"/>
                  </w:tcBorders>
                  <w:noWrap w:val="0"/>
                  <w:vAlign w:val="center"/>
                </w:tcPr>
                <w:p w14:paraId="016EAF75">
                  <w:pPr>
                    <w:keepNext w:val="0"/>
                    <w:keepLines w:val="0"/>
                    <w:pageBreakBefore w:val="0"/>
                    <w:widowControl w:val="0"/>
                    <w:kinsoku/>
                    <w:wordWrap/>
                    <w:overflowPunct/>
                    <w:topLinePunct w:val="0"/>
                    <w:autoSpaceDE/>
                    <w:autoSpaceDN/>
                    <w:bidi w:val="0"/>
                    <w:adjustRightInd/>
                    <w:snapToGrid/>
                    <w:jc w:val="center"/>
                    <w:textAlignment w:val="auto"/>
                    <w:rPr>
                      <w:rFonts w:hint="default" w:eastAsia="宋体"/>
                      <w:color w:val="auto"/>
                      <w:szCs w:val="21"/>
                      <w:highlight w:val="none"/>
                      <w:lang w:val="en-US" w:eastAsia="zh-CN"/>
                    </w:rPr>
                  </w:pPr>
                  <w:r>
                    <w:rPr>
                      <w:rFonts w:hint="eastAsia" w:eastAsia="宋体"/>
                      <w:color w:val="auto"/>
                      <w:szCs w:val="21"/>
                      <w:highlight w:val="none"/>
                      <w:lang w:val="en-US" w:eastAsia="zh-CN"/>
                    </w:rPr>
                    <w:t>医疗废物</w:t>
                  </w:r>
                </w:p>
              </w:tc>
              <w:tc>
                <w:tcPr>
                  <w:tcW w:w="550" w:type="pct"/>
                  <w:tcBorders>
                    <w:tl2br w:val="nil"/>
                    <w:tr2bl w:val="nil"/>
                  </w:tcBorders>
                  <w:noWrap w:val="0"/>
                  <w:vAlign w:val="center"/>
                </w:tcPr>
                <w:p w14:paraId="7DE6A759">
                  <w:pPr>
                    <w:keepNext w:val="0"/>
                    <w:keepLines w:val="0"/>
                    <w:pageBreakBefore w:val="0"/>
                    <w:widowControl w:val="0"/>
                    <w:kinsoku/>
                    <w:wordWrap/>
                    <w:overflowPunct/>
                    <w:topLinePunct w:val="0"/>
                    <w:autoSpaceDE/>
                    <w:autoSpaceDN/>
                    <w:bidi w:val="0"/>
                    <w:adjustRightInd/>
                    <w:snapToGrid/>
                    <w:jc w:val="center"/>
                    <w:textAlignment w:val="auto"/>
                    <w:rPr>
                      <w:rFonts w:hint="default"/>
                      <w:color w:val="auto"/>
                      <w:kern w:val="2"/>
                      <w:sz w:val="21"/>
                      <w:szCs w:val="21"/>
                      <w:highlight w:val="none"/>
                      <w:lang w:val="en-US" w:eastAsia="zh-CN" w:bidi="ar-SA"/>
                    </w:rPr>
                  </w:pPr>
                  <w:r>
                    <w:rPr>
                      <w:rFonts w:hint="eastAsia"/>
                      <w:color w:val="auto"/>
                      <w:szCs w:val="21"/>
                      <w:highlight w:val="none"/>
                      <w:lang w:val="en-US" w:eastAsia="zh-CN"/>
                    </w:rPr>
                    <w:t>0.19t</w:t>
                  </w:r>
                </w:p>
              </w:tc>
              <w:tc>
                <w:tcPr>
                  <w:tcW w:w="808" w:type="pct"/>
                  <w:tcBorders>
                    <w:tl2br w:val="nil"/>
                    <w:tr2bl w:val="nil"/>
                  </w:tcBorders>
                  <w:noWrap w:val="0"/>
                  <w:vAlign w:val="center"/>
                </w:tcPr>
                <w:p w14:paraId="07B10E58">
                  <w:pPr>
                    <w:keepNext w:val="0"/>
                    <w:keepLines w:val="0"/>
                    <w:pageBreakBefore w:val="0"/>
                    <w:widowControl w:val="0"/>
                    <w:kinsoku/>
                    <w:wordWrap/>
                    <w:overflowPunct/>
                    <w:topLinePunct w:val="0"/>
                    <w:autoSpaceDE/>
                    <w:autoSpaceDN/>
                    <w:bidi w:val="0"/>
                    <w:adjustRightInd/>
                    <w:snapToGrid/>
                    <w:jc w:val="center"/>
                    <w:textAlignment w:val="auto"/>
                    <w:rPr>
                      <w:rFonts w:hint="default" w:eastAsia="宋体"/>
                      <w:color w:val="auto"/>
                      <w:szCs w:val="21"/>
                      <w:highlight w:val="none"/>
                      <w:lang w:val="en-US" w:eastAsia="zh-CN"/>
                    </w:rPr>
                  </w:pPr>
                  <w:r>
                    <w:rPr>
                      <w:rFonts w:hint="eastAsia" w:eastAsia="宋体"/>
                      <w:color w:val="auto"/>
                      <w:szCs w:val="21"/>
                      <w:highlight w:val="none"/>
                      <w:lang w:val="en-US" w:eastAsia="zh-CN"/>
                    </w:rPr>
                    <w:t>医疗废物、检验废水、废药品</w:t>
                  </w:r>
                </w:p>
              </w:tc>
              <w:tc>
                <w:tcPr>
                  <w:tcW w:w="730" w:type="pct"/>
                  <w:tcBorders>
                    <w:tl2br w:val="nil"/>
                    <w:tr2bl w:val="nil"/>
                  </w:tcBorders>
                  <w:noWrap w:val="0"/>
                  <w:vAlign w:val="center"/>
                </w:tcPr>
                <w:p w14:paraId="3746922E">
                  <w:pPr>
                    <w:keepNext w:val="0"/>
                    <w:keepLines w:val="0"/>
                    <w:pageBreakBefore w:val="0"/>
                    <w:widowControl w:val="0"/>
                    <w:kinsoku/>
                    <w:wordWrap/>
                    <w:overflowPunct/>
                    <w:topLinePunct w:val="0"/>
                    <w:autoSpaceDE/>
                    <w:autoSpaceDN/>
                    <w:bidi w:val="0"/>
                    <w:adjustRightInd/>
                    <w:snapToGrid/>
                    <w:jc w:val="center"/>
                    <w:textAlignment w:val="auto"/>
                    <w:rPr>
                      <w:rFonts w:hint="default" w:eastAsia="宋体"/>
                      <w:color w:val="auto"/>
                      <w:szCs w:val="21"/>
                      <w:highlight w:val="none"/>
                      <w:lang w:val="en-US" w:eastAsia="zh-CN"/>
                    </w:rPr>
                  </w:pPr>
                  <w:r>
                    <w:rPr>
                      <w:rFonts w:hint="eastAsia"/>
                      <w:color w:val="auto"/>
                      <w:highlight w:val="none"/>
                      <w:lang w:val="en-US" w:eastAsia="zh-CN"/>
                    </w:rPr>
                    <w:t>毒</w:t>
                  </w:r>
                  <w:r>
                    <w:rPr>
                      <w:rFonts w:hint="default"/>
                      <w:color w:val="auto"/>
                      <w:highlight w:val="none"/>
                      <w:lang w:val="en" w:eastAsia="zh-CN"/>
                    </w:rPr>
                    <w:t>性</w:t>
                  </w:r>
                  <w:r>
                    <w:rPr>
                      <w:rFonts w:hint="eastAsia"/>
                      <w:color w:val="auto"/>
                      <w:highlight w:val="none"/>
                      <w:lang w:val="en" w:eastAsia="zh-CN"/>
                    </w:rPr>
                    <w:t>、</w:t>
                  </w:r>
                  <w:r>
                    <w:rPr>
                      <w:rFonts w:hint="eastAsia"/>
                      <w:color w:val="auto"/>
                      <w:highlight w:val="none"/>
                      <w:lang w:val="en-US" w:eastAsia="zh-CN"/>
                    </w:rPr>
                    <w:t>反应性、腐蚀性</w:t>
                  </w:r>
                  <w:r>
                    <w:rPr>
                      <w:rFonts w:hint="default"/>
                      <w:color w:val="auto"/>
                      <w:highlight w:val="none"/>
                      <w:lang w:val="en" w:eastAsia="zh-CN"/>
                    </w:rPr>
                    <w:t>和感染性</w:t>
                  </w:r>
                </w:p>
              </w:tc>
              <w:tc>
                <w:tcPr>
                  <w:tcW w:w="683" w:type="pct"/>
                  <w:tcBorders>
                    <w:tl2br w:val="nil"/>
                    <w:tr2bl w:val="nil"/>
                  </w:tcBorders>
                  <w:noWrap w:val="0"/>
                  <w:vAlign w:val="center"/>
                </w:tcPr>
                <w:p w14:paraId="2818E23F">
                  <w:pPr>
                    <w:keepNext w:val="0"/>
                    <w:keepLines w:val="0"/>
                    <w:pageBreakBefore w:val="0"/>
                    <w:widowControl w:val="0"/>
                    <w:kinsoku/>
                    <w:wordWrap/>
                    <w:overflowPunct/>
                    <w:topLinePunct w:val="0"/>
                    <w:autoSpaceDE/>
                    <w:autoSpaceDN/>
                    <w:bidi w:val="0"/>
                    <w:adjustRightInd/>
                    <w:snapToGrid/>
                    <w:jc w:val="center"/>
                    <w:textAlignment w:val="auto"/>
                    <w:rPr>
                      <w:color w:val="auto"/>
                      <w:highlight w:val="none"/>
                    </w:rPr>
                  </w:pPr>
                  <w:r>
                    <w:rPr>
                      <w:color w:val="auto"/>
                      <w:highlight w:val="none"/>
                    </w:rPr>
                    <w:t>常温、</w:t>
                  </w:r>
                </w:p>
                <w:p w14:paraId="657D86AF">
                  <w:pPr>
                    <w:keepNext w:val="0"/>
                    <w:keepLines w:val="0"/>
                    <w:pageBreakBefore w:val="0"/>
                    <w:widowControl w:val="0"/>
                    <w:kinsoku/>
                    <w:wordWrap/>
                    <w:overflowPunct/>
                    <w:topLinePunct w:val="0"/>
                    <w:autoSpaceDE/>
                    <w:autoSpaceDN/>
                    <w:bidi w:val="0"/>
                    <w:adjustRightInd/>
                    <w:snapToGrid/>
                    <w:jc w:val="center"/>
                    <w:textAlignment w:val="auto"/>
                    <w:rPr>
                      <w:rFonts w:hint="default" w:eastAsia="宋体"/>
                      <w:color w:val="auto"/>
                      <w:szCs w:val="21"/>
                      <w:highlight w:val="none"/>
                      <w:lang w:val="en-US" w:eastAsia="zh-CN"/>
                    </w:rPr>
                  </w:pPr>
                  <w:r>
                    <w:rPr>
                      <w:color w:val="auto"/>
                      <w:highlight w:val="none"/>
                    </w:rPr>
                    <w:t>常压</w:t>
                  </w:r>
                </w:p>
              </w:tc>
              <w:tc>
                <w:tcPr>
                  <w:tcW w:w="1075" w:type="pct"/>
                  <w:tcBorders>
                    <w:tl2br w:val="nil"/>
                    <w:tr2bl w:val="nil"/>
                  </w:tcBorders>
                  <w:noWrap w:val="0"/>
                  <w:vAlign w:val="center"/>
                </w:tcPr>
                <w:p w14:paraId="4BA0D7D7">
                  <w:pPr>
                    <w:keepNext w:val="0"/>
                    <w:keepLines w:val="0"/>
                    <w:pageBreakBefore w:val="0"/>
                    <w:widowControl w:val="0"/>
                    <w:kinsoku/>
                    <w:wordWrap/>
                    <w:overflowPunct/>
                    <w:topLinePunct w:val="0"/>
                    <w:autoSpaceDE/>
                    <w:autoSpaceDN/>
                    <w:bidi w:val="0"/>
                    <w:adjustRightInd/>
                    <w:snapToGrid/>
                    <w:jc w:val="center"/>
                    <w:textAlignment w:val="auto"/>
                    <w:rPr>
                      <w:rFonts w:hint="default" w:eastAsia="宋体"/>
                      <w:color w:val="auto"/>
                      <w:szCs w:val="21"/>
                      <w:highlight w:val="none"/>
                      <w:lang w:val="en-US" w:eastAsia="zh-CN"/>
                    </w:rPr>
                  </w:pPr>
                  <w:r>
                    <w:rPr>
                      <w:rFonts w:hint="eastAsia" w:eastAsia="宋体"/>
                      <w:color w:val="auto"/>
                      <w:szCs w:val="21"/>
                      <w:highlight w:val="none"/>
                      <w:lang w:val="en-US" w:eastAsia="zh-CN"/>
                    </w:rPr>
                    <w:t>医疗废物包装或容器泄漏</w:t>
                  </w:r>
                </w:p>
              </w:tc>
            </w:tr>
            <w:tr w14:paraId="290FCC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2" w:hRule="atLeast"/>
                <w:jc w:val="center"/>
              </w:trPr>
              <w:tc>
                <w:tcPr>
                  <w:tcW w:w="528" w:type="pct"/>
                  <w:tcBorders>
                    <w:tl2br w:val="nil"/>
                    <w:tr2bl w:val="nil"/>
                  </w:tcBorders>
                  <w:noWrap w:val="0"/>
                  <w:vAlign w:val="center"/>
                </w:tcPr>
                <w:p w14:paraId="484CAFB9">
                  <w:pPr>
                    <w:keepNext w:val="0"/>
                    <w:keepLines w:val="0"/>
                    <w:pageBreakBefore w:val="0"/>
                    <w:widowControl w:val="0"/>
                    <w:kinsoku/>
                    <w:wordWrap/>
                    <w:overflowPunct/>
                    <w:topLinePunct w:val="0"/>
                    <w:autoSpaceDE/>
                    <w:autoSpaceDN/>
                    <w:bidi w:val="0"/>
                    <w:adjustRightInd/>
                    <w:snapToGrid/>
                    <w:jc w:val="center"/>
                    <w:textAlignment w:val="auto"/>
                    <w:rPr>
                      <w:rFonts w:hint="default" w:eastAsia="宋体"/>
                      <w:color w:val="auto"/>
                      <w:szCs w:val="21"/>
                      <w:highlight w:val="none"/>
                      <w:lang w:val="en-US" w:eastAsia="zh-CN"/>
                    </w:rPr>
                  </w:pPr>
                  <w:r>
                    <w:rPr>
                      <w:rFonts w:hint="eastAsia" w:eastAsia="宋体"/>
                      <w:color w:val="auto"/>
                      <w:szCs w:val="21"/>
                      <w:highlight w:val="none"/>
                      <w:lang w:val="en-US" w:eastAsia="zh-CN"/>
                    </w:rPr>
                    <w:t>危废间</w:t>
                  </w:r>
                </w:p>
              </w:tc>
              <w:tc>
                <w:tcPr>
                  <w:tcW w:w="623" w:type="pct"/>
                  <w:tcBorders>
                    <w:tl2br w:val="nil"/>
                    <w:tr2bl w:val="nil"/>
                  </w:tcBorders>
                  <w:noWrap w:val="0"/>
                  <w:vAlign w:val="center"/>
                </w:tcPr>
                <w:p w14:paraId="7A0C466A">
                  <w:pPr>
                    <w:keepNext w:val="0"/>
                    <w:keepLines w:val="0"/>
                    <w:pageBreakBefore w:val="0"/>
                    <w:widowControl w:val="0"/>
                    <w:kinsoku/>
                    <w:wordWrap/>
                    <w:overflowPunct/>
                    <w:topLinePunct w:val="0"/>
                    <w:autoSpaceDE/>
                    <w:autoSpaceDN/>
                    <w:bidi w:val="0"/>
                    <w:adjustRightInd/>
                    <w:snapToGrid/>
                    <w:jc w:val="center"/>
                    <w:textAlignment w:val="auto"/>
                    <w:rPr>
                      <w:rFonts w:hint="default" w:eastAsia="宋体"/>
                      <w:color w:val="auto"/>
                      <w:szCs w:val="21"/>
                      <w:highlight w:val="none"/>
                      <w:lang w:val="en-US" w:eastAsia="zh-CN"/>
                    </w:rPr>
                  </w:pPr>
                  <w:r>
                    <w:rPr>
                      <w:rFonts w:hint="eastAsia" w:eastAsia="宋体"/>
                      <w:color w:val="auto"/>
                      <w:szCs w:val="21"/>
                      <w:highlight w:val="none"/>
                      <w:lang w:val="en-US" w:eastAsia="zh-CN"/>
                    </w:rPr>
                    <w:t>危险废物</w:t>
                  </w:r>
                </w:p>
              </w:tc>
              <w:tc>
                <w:tcPr>
                  <w:tcW w:w="550" w:type="pct"/>
                  <w:tcBorders>
                    <w:tl2br w:val="nil"/>
                    <w:tr2bl w:val="nil"/>
                  </w:tcBorders>
                  <w:noWrap w:val="0"/>
                  <w:vAlign w:val="center"/>
                </w:tcPr>
                <w:p w14:paraId="1AE4A0F4">
                  <w:pPr>
                    <w:keepNext w:val="0"/>
                    <w:keepLines w:val="0"/>
                    <w:pageBreakBefore w:val="0"/>
                    <w:widowControl w:val="0"/>
                    <w:kinsoku/>
                    <w:wordWrap/>
                    <w:overflowPunct/>
                    <w:topLinePunct w:val="0"/>
                    <w:autoSpaceDE/>
                    <w:autoSpaceDN/>
                    <w:bidi w:val="0"/>
                    <w:adjustRightInd/>
                    <w:snapToGrid/>
                    <w:jc w:val="center"/>
                    <w:textAlignment w:val="auto"/>
                    <w:rPr>
                      <w:rFonts w:hint="default" w:eastAsia="宋体"/>
                      <w:color w:val="auto"/>
                      <w:szCs w:val="21"/>
                      <w:highlight w:val="none"/>
                      <w:lang w:val="en-US" w:eastAsia="zh-CN"/>
                    </w:rPr>
                  </w:pPr>
                  <w:r>
                    <w:rPr>
                      <w:rFonts w:hint="eastAsia"/>
                      <w:color w:val="auto"/>
                      <w:szCs w:val="21"/>
                      <w:highlight w:val="none"/>
                      <w:lang w:val="en-US" w:eastAsia="zh-CN"/>
                    </w:rPr>
                    <w:t>0.012</w:t>
                  </w:r>
                  <w:r>
                    <w:rPr>
                      <w:rFonts w:hint="eastAsia" w:eastAsia="宋体"/>
                      <w:color w:val="auto"/>
                      <w:szCs w:val="21"/>
                      <w:highlight w:val="none"/>
                      <w:lang w:val="en-US" w:eastAsia="zh-CN"/>
                    </w:rPr>
                    <w:t>t</w:t>
                  </w:r>
                </w:p>
              </w:tc>
              <w:tc>
                <w:tcPr>
                  <w:tcW w:w="808" w:type="pct"/>
                  <w:tcBorders>
                    <w:tl2br w:val="nil"/>
                    <w:tr2bl w:val="nil"/>
                  </w:tcBorders>
                  <w:noWrap w:val="0"/>
                  <w:vAlign w:val="center"/>
                </w:tcPr>
                <w:p w14:paraId="535FE6F0">
                  <w:pPr>
                    <w:keepNext w:val="0"/>
                    <w:keepLines w:val="0"/>
                    <w:pageBreakBefore w:val="0"/>
                    <w:widowControl w:val="0"/>
                    <w:kinsoku/>
                    <w:wordWrap/>
                    <w:overflowPunct/>
                    <w:topLinePunct w:val="0"/>
                    <w:autoSpaceDE/>
                    <w:autoSpaceDN/>
                    <w:bidi w:val="0"/>
                    <w:adjustRightInd/>
                    <w:snapToGrid/>
                    <w:jc w:val="center"/>
                    <w:textAlignment w:val="auto"/>
                    <w:rPr>
                      <w:rFonts w:hint="default" w:eastAsia="宋体"/>
                      <w:color w:val="auto"/>
                      <w:szCs w:val="21"/>
                      <w:highlight w:val="none"/>
                      <w:lang w:val="en-US" w:eastAsia="zh-CN"/>
                    </w:rPr>
                  </w:pPr>
                  <w:r>
                    <w:rPr>
                      <w:rFonts w:hint="eastAsia" w:eastAsia="宋体"/>
                      <w:color w:val="auto"/>
                      <w:szCs w:val="21"/>
                      <w:highlight w:val="none"/>
                      <w:lang w:val="en-US" w:eastAsia="zh-CN"/>
                    </w:rPr>
                    <w:t>栅渣</w:t>
                  </w:r>
                </w:p>
              </w:tc>
              <w:tc>
                <w:tcPr>
                  <w:tcW w:w="730" w:type="pct"/>
                  <w:tcBorders>
                    <w:tl2br w:val="nil"/>
                    <w:tr2bl w:val="nil"/>
                  </w:tcBorders>
                  <w:noWrap w:val="0"/>
                  <w:vAlign w:val="center"/>
                </w:tcPr>
                <w:p w14:paraId="5E91F26A">
                  <w:pPr>
                    <w:keepNext w:val="0"/>
                    <w:keepLines w:val="0"/>
                    <w:pageBreakBefore w:val="0"/>
                    <w:widowControl w:val="0"/>
                    <w:kinsoku/>
                    <w:wordWrap/>
                    <w:overflowPunct/>
                    <w:topLinePunct w:val="0"/>
                    <w:autoSpaceDE/>
                    <w:autoSpaceDN/>
                    <w:bidi w:val="0"/>
                    <w:adjustRightInd/>
                    <w:snapToGrid/>
                    <w:jc w:val="center"/>
                    <w:textAlignment w:val="auto"/>
                    <w:rPr>
                      <w:rFonts w:hint="default" w:eastAsia="宋体"/>
                      <w:color w:val="auto"/>
                      <w:szCs w:val="21"/>
                      <w:highlight w:val="none"/>
                      <w:lang w:val="en-US" w:eastAsia="zh-CN"/>
                    </w:rPr>
                  </w:pPr>
                  <w:r>
                    <w:rPr>
                      <w:rFonts w:hint="eastAsia" w:eastAsia="宋体"/>
                      <w:color w:val="auto"/>
                      <w:szCs w:val="21"/>
                      <w:highlight w:val="none"/>
                      <w:lang w:val="en-US" w:eastAsia="zh-CN"/>
                    </w:rPr>
                    <w:t>毒性、感染性</w:t>
                  </w:r>
                </w:p>
              </w:tc>
              <w:tc>
                <w:tcPr>
                  <w:tcW w:w="683" w:type="pct"/>
                  <w:tcBorders>
                    <w:tl2br w:val="nil"/>
                    <w:tr2bl w:val="nil"/>
                  </w:tcBorders>
                  <w:noWrap w:val="0"/>
                  <w:vAlign w:val="center"/>
                </w:tcPr>
                <w:p w14:paraId="7D4FD6F8">
                  <w:pPr>
                    <w:keepNext w:val="0"/>
                    <w:keepLines w:val="0"/>
                    <w:pageBreakBefore w:val="0"/>
                    <w:widowControl w:val="0"/>
                    <w:kinsoku/>
                    <w:wordWrap/>
                    <w:overflowPunct/>
                    <w:topLinePunct w:val="0"/>
                    <w:autoSpaceDE/>
                    <w:autoSpaceDN/>
                    <w:bidi w:val="0"/>
                    <w:adjustRightInd/>
                    <w:snapToGrid/>
                    <w:jc w:val="center"/>
                    <w:textAlignment w:val="auto"/>
                    <w:rPr>
                      <w:color w:val="auto"/>
                      <w:highlight w:val="none"/>
                    </w:rPr>
                  </w:pPr>
                  <w:r>
                    <w:rPr>
                      <w:color w:val="auto"/>
                      <w:highlight w:val="none"/>
                    </w:rPr>
                    <w:t>常温、</w:t>
                  </w:r>
                </w:p>
                <w:p w14:paraId="35554C77">
                  <w:pPr>
                    <w:keepNext w:val="0"/>
                    <w:keepLines w:val="0"/>
                    <w:pageBreakBefore w:val="0"/>
                    <w:widowControl w:val="0"/>
                    <w:kinsoku/>
                    <w:wordWrap/>
                    <w:overflowPunct/>
                    <w:topLinePunct w:val="0"/>
                    <w:autoSpaceDE/>
                    <w:autoSpaceDN/>
                    <w:bidi w:val="0"/>
                    <w:adjustRightInd/>
                    <w:snapToGrid/>
                    <w:jc w:val="center"/>
                    <w:textAlignment w:val="auto"/>
                    <w:rPr>
                      <w:rFonts w:hint="default" w:eastAsia="宋体"/>
                      <w:color w:val="auto"/>
                      <w:szCs w:val="21"/>
                      <w:highlight w:val="none"/>
                      <w:lang w:val="en-US" w:eastAsia="zh-CN"/>
                    </w:rPr>
                  </w:pPr>
                  <w:r>
                    <w:rPr>
                      <w:color w:val="auto"/>
                      <w:highlight w:val="none"/>
                    </w:rPr>
                    <w:t>常压</w:t>
                  </w:r>
                </w:p>
              </w:tc>
              <w:tc>
                <w:tcPr>
                  <w:tcW w:w="1075" w:type="pct"/>
                  <w:tcBorders>
                    <w:tl2br w:val="nil"/>
                    <w:tr2bl w:val="nil"/>
                  </w:tcBorders>
                  <w:noWrap w:val="0"/>
                  <w:vAlign w:val="center"/>
                </w:tcPr>
                <w:p w14:paraId="10733052">
                  <w:pPr>
                    <w:keepNext w:val="0"/>
                    <w:keepLines w:val="0"/>
                    <w:pageBreakBefore w:val="0"/>
                    <w:widowControl w:val="0"/>
                    <w:kinsoku/>
                    <w:wordWrap/>
                    <w:overflowPunct/>
                    <w:topLinePunct w:val="0"/>
                    <w:autoSpaceDE/>
                    <w:autoSpaceDN/>
                    <w:bidi w:val="0"/>
                    <w:adjustRightInd/>
                    <w:snapToGrid/>
                    <w:jc w:val="center"/>
                    <w:textAlignment w:val="auto"/>
                    <w:rPr>
                      <w:rFonts w:hint="default" w:eastAsia="宋体"/>
                      <w:color w:val="auto"/>
                      <w:szCs w:val="21"/>
                      <w:highlight w:val="none"/>
                      <w:lang w:val="en-US" w:eastAsia="zh-CN"/>
                    </w:rPr>
                  </w:pPr>
                  <w:r>
                    <w:rPr>
                      <w:rFonts w:hint="eastAsia" w:eastAsia="宋体"/>
                      <w:color w:val="auto"/>
                      <w:szCs w:val="21"/>
                      <w:highlight w:val="none"/>
                      <w:lang w:val="en-US" w:eastAsia="zh-CN"/>
                    </w:rPr>
                    <w:t>危废包装袋泄漏</w:t>
                  </w:r>
                </w:p>
              </w:tc>
            </w:tr>
            <w:tr w14:paraId="076280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2" w:hRule="atLeast"/>
                <w:jc w:val="center"/>
              </w:trPr>
              <w:tc>
                <w:tcPr>
                  <w:tcW w:w="528" w:type="pct"/>
                  <w:tcBorders>
                    <w:tl2br w:val="nil"/>
                    <w:tr2bl w:val="nil"/>
                  </w:tcBorders>
                  <w:noWrap w:val="0"/>
                  <w:vAlign w:val="center"/>
                </w:tcPr>
                <w:p w14:paraId="27171254">
                  <w:pPr>
                    <w:keepNext w:val="0"/>
                    <w:keepLines w:val="0"/>
                    <w:pageBreakBefore w:val="0"/>
                    <w:widowControl w:val="0"/>
                    <w:kinsoku/>
                    <w:wordWrap/>
                    <w:overflowPunct/>
                    <w:topLinePunct w:val="0"/>
                    <w:autoSpaceDE/>
                    <w:autoSpaceDN/>
                    <w:bidi w:val="0"/>
                    <w:adjustRightInd/>
                    <w:snapToGrid/>
                    <w:jc w:val="center"/>
                    <w:textAlignment w:val="auto"/>
                    <w:rPr>
                      <w:rFonts w:hint="default" w:eastAsia="宋体"/>
                      <w:color w:val="auto"/>
                      <w:szCs w:val="21"/>
                      <w:highlight w:val="none"/>
                      <w:lang w:val="en-US" w:eastAsia="zh-CN"/>
                    </w:rPr>
                  </w:pPr>
                  <w:r>
                    <w:rPr>
                      <w:rFonts w:hint="eastAsia" w:eastAsia="宋体"/>
                      <w:color w:val="auto"/>
                      <w:szCs w:val="21"/>
                      <w:highlight w:val="none"/>
                      <w:lang w:val="en-US" w:eastAsia="zh-CN"/>
                    </w:rPr>
                    <w:t>污水处理站</w:t>
                  </w:r>
                </w:p>
              </w:tc>
              <w:tc>
                <w:tcPr>
                  <w:tcW w:w="623" w:type="pct"/>
                  <w:tcBorders>
                    <w:tl2br w:val="nil"/>
                    <w:tr2bl w:val="nil"/>
                  </w:tcBorders>
                  <w:noWrap w:val="0"/>
                  <w:vAlign w:val="center"/>
                </w:tcPr>
                <w:p w14:paraId="1C4DA828">
                  <w:pPr>
                    <w:keepNext w:val="0"/>
                    <w:keepLines w:val="0"/>
                    <w:pageBreakBefore w:val="0"/>
                    <w:widowControl w:val="0"/>
                    <w:kinsoku/>
                    <w:wordWrap/>
                    <w:overflowPunct/>
                    <w:topLinePunct w:val="0"/>
                    <w:autoSpaceDE/>
                    <w:autoSpaceDN/>
                    <w:bidi w:val="0"/>
                    <w:adjustRightInd/>
                    <w:snapToGrid/>
                    <w:jc w:val="center"/>
                    <w:textAlignment w:val="auto"/>
                    <w:rPr>
                      <w:rFonts w:hint="default" w:eastAsia="宋体"/>
                      <w:color w:val="auto"/>
                      <w:szCs w:val="21"/>
                      <w:highlight w:val="none"/>
                      <w:lang w:val="en-US" w:eastAsia="zh-CN"/>
                    </w:rPr>
                  </w:pPr>
                  <w:r>
                    <w:rPr>
                      <w:rFonts w:hint="eastAsia" w:eastAsia="宋体"/>
                      <w:color w:val="auto"/>
                      <w:szCs w:val="21"/>
                      <w:highlight w:val="none"/>
                      <w:lang w:val="en-US" w:eastAsia="zh-CN"/>
                    </w:rPr>
                    <w:t>综合废水</w:t>
                  </w:r>
                </w:p>
              </w:tc>
              <w:tc>
                <w:tcPr>
                  <w:tcW w:w="550" w:type="pct"/>
                  <w:tcBorders>
                    <w:tl2br w:val="nil"/>
                    <w:tr2bl w:val="nil"/>
                  </w:tcBorders>
                  <w:noWrap w:val="0"/>
                  <w:vAlign w:val="center"/>
                </w:tcPr>
                <w:p w14:paraId="1A9EDA9A">
                  <w:pPr>
                    <w:keepNext w:val="0"/>
                    <w:keepLines w:val="0"/>
                    <w:pageBreakBefore w:val="0"/>
                    <w:widowControl w:val="0"/>
                    <w:kinsoku/>
                    <w:wordWrap/>
                    <w:overflowPunct/>
                    <w:topLinePunct w:val="0"/>
                    <w:autoSpaceDE/>
                    <w:autoSpaceDN/>
                    <w:bidi w:val="0"/>
                    <w:adjustRightInd/>
                    <w:snapToGrid/>
                    <w:jc w:val="center"/>
                    <w:textAlignment w:val="auto"/>
                    <w:rPr>
                      <w:rFonts w:hint="default" w:eastAsia="宋体"/>
                      <w:color w:val="auto"/>
                      <w:szCs w:val="21"/>
                      <w:highlight w:val="none"/>
                      <w:lang w:val="en-US" w:eastAsia="zh-CN"/>
                    </w:rPr>
                  </w:pPr>
                  <w:r>
                    <w:rPr>
                      <w:rFonts w:hint="eastAsia"/>
                      <w:color w:val="auto"/>
                      <w:szCs w:val="21"/>
                      <w:highlight w:val="none"/>
                      <w:lang w:val="en-US" w:eastAsia="zh-CN"/>
                    </w:rPr>
                    <w:t>50.524</w:t>
                  </w:r>
                  <w:r>
                    <w:rPr>
                      <w:rFonts w:hint="eastAsia" w:eastAsia="宋体"/>
                      <w:color w:val="auto"/>
                      <w:szCs w:val="21"/>
                      <w:highlight w:val="none"/>
                      <w:lang w:val="en-US" w:eastAsia="zh-CN"/>
                    </w:rPr>
                    <w:t>t</w:t>
                  </w:r>
                </w:p>
              </w:tc>
              <w:tc>
                <w:tcPr>
                  <w:tcW w:w="808" w:type="pct"/>
                  <w:tcBorders>
                    <w:tl2br w:val="nil"/>
                    <w:tr2bl w:val="nil"/>
                  </w:tcBorders>
                  <w:noWrap w:val="0"/>
                  <w:vAlign w:val="center"/>
                </w:tcPr>
                <w:p w14:paraId="48B18080">
                  <w:pPr>
                    <w:keepNext w:val="0"/>
                    <w:keepLines w:val="0"/>
                    <w:pageBreakBefore w:val="0"/>
                    <w:widowControl w:val="0"/>
                    <w:kinsoku/>
                    <w:wordWrap/>
                    <w:overflowPunct/>
                    <w:topLinePunct w:val="0"/>
                    <w:autoSpaceDE/>
                    <w:autoSpaceDN/>
                    <w:bidi w:val="0"/>
                    <w:adjustRightInd/>
                    <w:snapToGrid/>
                    <w:jc w:val="center"/>
                    <w:textAlignment w:val="auto"/>
                    <w:rPr>
                      <w:rFonts w:hint="default" w:eastAsia="宋体"/>
                      <w:color w:val="auto"/>
                      <w:szCs w:val="21"/>
                      <w:highlight w:val="none"/>
                      <w:lang w:val="en-US" w:eastAsia="zh-CN"/>
                    </w:rPr>
                  </w:pPr>
                  <w:r>
                    <w:rPr>
                      <w:rFonts w:hint="eastAsia" w:eastAsia="宋体"/>
                      <w:color w:val="auto"/>
                      <w:szCs w:val="21"/>
                      <w:highlight w:val="none"/>
                      <w:lang w:val="en-US" w:eastAsia="zh-CN"/>
                    </w:rPr>
                    <w:t>收水管线</w:t>
                  </w:r>
                </w:p>
              </w:tc>
              <w:tc>
                <w:tcPr>
                  <w:tcW w:w="730" w:type="pct"/>
                  <w:tcBorders>
                    <w:tl2br w:val="nil"/>
                    <w:tr2bl w:val="nil"/>
                  </w:tcBorders>
                  <w:noWrap w:val="0"/>
                  <w:vAlign w:val="center"/>
                </w:tcPr>
                <w:p w14:paraId="274B392C">
                  <w:pPr>
                    <w:keepNext w:val="0"/>
                    <w:keepLines w:val="0"/>
                    <w:pageBreakBefore w:val="0"/>
                    <w:widowControl w:val="0"/>
                    <w:kinsoku/>
                    <w:wordWrap/>
                    <w:overflowPunct/>
                    <w:topLinePunct w:val="0"/>
                    <w:autoSpaceDE/>
                    <w:autoSpaceDN/>
                    <w:bidi w:val="0"/>
                    <w:adjustRightInd/>
                    <w:snapToGrid/>
                    <w:jc w:val="center"/>
                    <w:textAlignment w:val="auto"/>
                    <w:rPr>
                      <w:rFonts w:hint="default" w:eastAsia="宋体"/>
                      <w:color w:val="auto"/>
                      <w:szCs w:val="21"/>
                      <w:highlight w:val="none"/>
                      <w:lang w:val="en-US" w:eastAsia="zh-CN"/>
                    </w:rPr>
                  </w:pPr>
                  <w:r>
                    <w:rPr>
                      <w:rFonts w:hint="eastAsia" w:eastAsia="宋体"/>
                      <w:color w:val="auto"/>
                      <w:szCs w:val="21"/>
                      <w:highlight w:val="none"/>
                      <w:lang w:val="en-US" w:eastAsia="zh-CN"/>
                    </w:rPr>
                    <w:t>感染性</w:t>
                  </w:r>
                </w:p>
              </w:tc>
              <w:tc>
                <w:tcPr>
                  <w:tcW w:w="683" w:type="pct"/>
                  <w:tcBorders>
                    <w:tl2br w:val="nil"/>
                    <w:tr2bl w:val="nil"/>
                  </w:tcBorders>
                  <w:noWrap w:val="0"/>
                  <w:vAlign w:val="center"/>
                </w:tcPr>
                <w:p w14:paraId="55BAEB7D">
                  <w:pPr>
                    <w:keepNext w:val="0"/>
                    <w:keepLines w:val="0"/>
                    <w:pageBreakBefore w:val="0"/>
                    <w:widowControl w:val="0"/>
                    <w:kinsoku/>
                    <w:wordWrap/>
                    <w:overflowPunct/>
                    <w:topLinePunct w:val="0"/>
                    <w:autoSpaceDE/>
                    <w:autoSpaceDN/>
                    <w:bidi w:val="0"/>
                    <w:adjustRightInd/>
                    <w:snapToGrid/>
                    <w:jc w:val="center"/>
                    <w:textAlignment w:val="auto"/>
                    <w:rPr>
                      <w:rFonts w:hint="eastAsia"/>
                      <w:color w:val="auto"/>
                      <w:highlight w:val="none"/>
                      <w:lang w:val="en-US" w:eastAsia="zh-CN"/>
                    </w:rPr>
                  </w:pPr>
                  <w:r>
                    <w:rPr>
                      <w:rFonts w:hint="eastAsia"/>
                      <w:color w:val="auto"/>
                      <w:highlight w:val="none"/>
                      <w:lang w:val="en-US" w:eastAsia="zh-CN"/>
                    </w:rPr>
                    <w:t>常温、</w:t>
                  </w:r>
                </w:p>
                <w:p w14:paraId="6128317E">
                  <w:pPr>
                    <w:keepNext w:val="0"/>
                    <w:keepLines w:val="0"/>
                    <w:pageBreakBefore w:val="0"/>
                    <w:widowControl w:val="0"/>
                    <w:kinsoku/>
                    <w:wordWrap/>
                    <w:overflowPunct/>
                    <w:topLinePunct w:val="0"/>
                    <w:autoSpaceDE/>
                    <w:autoSpaceDN/>
                    <w:bidi w:val="0"/>
                    <w:adjustRightInd/>
                    <w:snapToGrid/>
                    <w:jc w:val="center"/>
                    <w:textAlignment w:val="auto"/>
                    <w:rPr>
                      <w:rFonts w:hint="eastAsia" w:eastAsia="宋体"/>
                      <w:color w:val="auto"/>
                      <w:highlight w:val="none"/>
                      <w:lang w:val="en-US" w:eastAsia="zh-CN"/>
                    </w:rPr>
                  </w:pPr>
                  <w:r>
                    <w:rPr>
                      <w:rFonts w:hint="eastAsia"/>
                      <w:color w:val="auto"/>
                      <w:highlight w:val="none"/>
                      <w:lang w:val="en-US" w:eastAsia="zh-CN"/>
                    </w:rPr>
                    <w:t>常压</w:t>
                  </w:r>
                </w:p>
              </w:tc>
              <w:tc>
                <w:tcPr>
                  <w:tcW w:w="1075" w:type="pct"/>
                  <w:tcBorders>
                    <w:tl2br w:val="nil"/>
                    <w:tr2bl w:val="nil"/>
                  </w:tcBorders>
                  <w:noWrap w:val="0"/>
                  <w:vAlign w:val="center"/>
                </w:tcPr>
                <w:p w14:paraId="1696D992">
                  <w:pPr>
                    <w:keepNext w:val="0"/>
                    <w:keepLines w:val="0"/>
                    <w:pageBreakBefore w:val="0"/>
                    <w:widowControl w:val="0"/>
                    <w:kinsoku/>
                    <w:wordWrap/>
                    <w:overflowPunct/>
                    <w:topLinePunct w:val="0"/>
                    <w:autoSpaceDE/>
                    <w:autoSpaceDN/>
                    <w:bidi w:val="0"/>
                    <w:adjustRightInd/>
                    <w:snapToGrid/>
                    <w:jc w:val="center"/>
                    <w:textAlignment w:val="auto"/>
                    <w:rPr>
                      <w:rFonts w:hint="default" w:eastAsia="宋体"/>
                      <w:color w:val="auto"/>
                      <w:szCs w:val="21"/>
                      <w:highlight w:val="none"/>
                      <w:lang w:val="en-US" w:eastAsia="zh-CN"/>
                    </w:rPr>
                  </w:pPr>
                  <w:r>
                    <w:rPr>
                      <w:rFonts w:hint="eastAsia" w:eastAsia="宋体"/>
                      <w:color w:val="auto"/>
                      <w:szCs w:val="21"/>
                      <w:highlight w:val="none"/>
                      <w:lang w:val="en-US" w:eastAsia="zh-CN"/>
                    </w:rPr>
                    <w:t>收水管线破损</w:t>
                  </w:r>
                </w:p>
              </w:tc>
            </w:tr>
            <w:tr w14:paraId="36AB3F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2" w:hRule="atLeast"/>
                <w:jc w:val="center"/>
              </w:trPr>
              <w:tc>
                <w:tcPr>
                  <w:tcW w:w="528" w:type="pct"/>
                  <w:tcBorders>
                    <w:tl2br w:val="nil"/>
                    <w:tr2bl w:val="nil"/>
                  </w:tcBorders>
                  <w:noWrap w:val="0"/>
                  <w:vAlign w:val="center"/>
                </w:tcPr>
                <w:p w14:paraId="0FD2A735">
                  <w:pPr>
                    <w:keepNext w:val="0"/>
                    <w:keepLines w:val="0"/>
                    <w:pageBreakBefore w:val="0"/>
                    <w:widowControl w:val="0"/>
                    <w:kinsoku/>
                    <w:wordWrap/>
                    <w:overflowPunct/>
                    <w:topLinePunct w:val="0"/>
                    <w:autoSpaceDE/>
                    <w:autoSpaceDN/>
                    <w:bidi w:val="0"/>
                    <w:adjustRightInd/>
                    <w:snapToGrid/>
                    <w:jc w:val="center"/>
                    <w:textAlignment w:val="auto"/>
                    <w:rPr>
                      <w:rFonts w:hint="eastAsia" w:eastAsia="宋体"/>
                      <w:color w:val="auto"/>
                      <w:szCs w:val="21"/>
                      <w:highlight w:val="none"/>
                      <w:lang w:val="en-US" w:eastAsia="zh-CN"/>
                    </w:rPr>
                  </w:pPr>
                  <w:r>
                    <w:rPr>
                      <w:rFonts w:hint="eastAsia" w:eastAsia="宋体"/>
                      <w:color w:val="auto"/>
                      <w:szCs w:val="21"/>
                      <w:highlight w:val="none"/>
                      <w:lang w:val="en-US" w:eastAsia="zh-CN"/>
                    </w:rPr>
                    <w:t>柴油储存间</w:t>
                  </w:r>
                </w:p>
              </w:tc>
              <w:tc>
                <w:tcPr>
                  <w:tcW w:w="623" w:type="pct"/>
                  <w:tcBorders>
                    <w:tl2br w:val="nil"/>
                    <w:tr2bl w:val="nil"/>
                  </w:tcBorders>
                  <w:noWrap w:val="0"/>
                  <w:vAlign w:val="center"/>
                </w:tcPr>
                <w:p w14:paraId="3C476E2E">
                  <w:pPr>
                    <w:keepNext w:val="0"/>
                    <w:keepLines w:val="0"/>
                    <w:pageBreakBefore w:val="0"/>
                    <w:widowControl w:val="0"/>
                    <w:kinsoku/>
                    <w:wordWrap/>
                    <w:overflowPunct/>
                    <w:topLinePunct w:val="0"/>
                    <w:autoSpaceDE/>
                    <w:autoSpaceDN/>
                    <w:bidi w:val="0"/>
                    <w:adjustRightInd/>
                    <w:snapToGrid/>
                    <w:jc w:val="center"/>
                    <w:textAlignment w:val="auto"/>
                    <w:rPr>
                      <w:rFonts w:hint="eastAsia" w:eastAsia="宋体"/>
                      <w:color w:val="auto"/>
                      <w:szCs w:val="21"/>
                      <w:highlight w:val="none"/>
                      <w:lang w:val="en-US" w:eastAsia="zh-CN"/>
                    </w:rPr>
                  </w:pPr>
                  <w:r>
                    <w:rPr>
                      <w:rFonts w:hint="eastAsia" w:eastAsia="宋体"/>
                      <w:color w:val="auto"/>
                      <w:szCs w:val="21"/>
                      <w:highlight w:val="none"/>
                      <w:lang w:val="en-US" w:eastAsia="zh-CN"/>
                    </w:rPr>
                    <w:t>柴油</w:t>
                  </w:r>
                </w:p>
              </w:tc>
              <w:tc>
                <w:tcPr>
                  <w:tcW w:w="550" w:type="pct"/>
                  <w:tcBorders>
                    <w:tl2br w:val="nil"/>
                    <w:tr2bl w:val="nil"/>
                  </w:tcBorders>
                  <w:noWrap w:val="0"/>
                  <w:vAlign w:val="center"/>
                </w:tcPr>
                <w:p w14:paraId="403C30D3">
                  <w:pPr>
                    <w:keepNext w:val="0"/>
                    <w:keepLines w:val="0"/>
                    <w:pageBreakBefore w:val="0"/>
                    <w:widowControl w:val="0"/>
                    <w:kinsoku/>
                    <w:wordWrap/>
                    <w:overflowPunct/>
                    <w:topLinePunct w:val="0"/>
                    <w:autoSpaceDE/>
                    <w:autoSpaceDN/>
                    <w:bidi w:val="0"/>
                    <w:adjustRightInd/>
                    <w:snapToGrid/>
                    <w:jc w:val="center"/>
                    <w:textAlignment w:val="auto"/>
                    <w:rPr>
                      <w:rFonts w:hint="default" w:eastAsia="宋体"/>
                      <w:color w:val="auto"/>
                      <w:szCs w:val="21"/>
                      <w:highlight w:val="none"/>
                      <w:lang w:val="en-US" w:eastAsia="zh-CN"/>
                    </w:rPr>
                  </w:pPr>
                  <w:r>
                    <w:rPr>
                      <w:rFonts w:hint="eastAsia" w:eastAsia="宋体"/>
                      <w:color w:val="auto"/>
                      <w:szCs w:val="21"/>
                      <w:highlight w:val="none"/>
                      <w:lang w:val="en-US" w:eastAsia="zh-CN"/>
                    </w:rPr>
                    <w:t>0.</w:t>
                  </w:r>
                  <w:r>
                    <w:rPr>
                      <w:rFonts w:hint="eastAsia"/>
                      <w:color w:val="auto"/>
                      <w:szCs w:val="21"/>
                      <w:highlight w:val="none"/>
                      <w:lang w:val="en-US" w:eastAsia="zh-CN"/>
                    </w:rPr>
                    <w:t>5</w:t>
                  </w:r>
                  <w:r>
                    <w:rPr>
                      <w:rFonts w:hint="eastAsia" w:eastAsia="宋体"/>
                      <w:color w:val="auto"/>
                      <w:szCs w:val="21"/>
                      <w:highlight w:val="none"/>
                      <w:lang w:val="en-US" w:eastAsia="zh-CN"/>
                    </w:rPr>
                    <w:t>t</w:t>
                  </w:r>
                </w:p>
              </w:tc>
              <w:tc>
                <w:tcPr>
                  <w:tcW w:w="808" w:type="pct"/>
                  <w:tcBorders>
                    <w:tl2br w:val="nil"/>
                    <w:tr2bl w:val="nil"/>
                  </w:tcBorders>
                  <w:noWrap w:val="0"/>
                  <w:vAlign w:val="center"/>
                </w:tcPr>
                <w:p w14:paraId="7B9A2ABE">
                  <w:pPr>
                    <w:keepNext w:val="0"/>
                    <w:keepLines w:val="0"/>
                    <w:pageBreakBefore w:val="0"/>
                    <w:widowControl w:val="0"/>
                    <w:kinsoku/>
                    <w:wordWrap/>
                    <w:overflowPunct/>
                    <w:topLinePunct w:val="0"/>
                    <w:autoSpaceDE/>
                    <w:autoSpaceDN/>
                    <w:bidi w:val="0"/>
                    <w:adjustRightInd/>
                    <w:snapToGrid/>
                    <w:jc w:val="center"/>
                    <w:textAlignment w:val="auto"/>
                    <w:rPr>
                      <w:rFonts w:hint="default" w:eastAsia="宋体"/>
                      <w:color w:val="auto"/>
                      <w:szCs w:val="21"/>
                      <w:highlight w:val="none"/>
                      <w:lang w:val="en-US" w:eastAsia="zh-CN"/>
                    </w:rPr>
                  </w:pPr>
                  <w:r>
                    <w:rPr>
                      <w:rFonts w:hint="eastAsia" w:eastAsia="宋体"/>
                      <w:color w:val="auto"/>
                      <w:szCs w:val="21"/>
                      <w:highlight w:val="none"/>
                      <w:lang w:val="en-US" w:eastAsia="zh-CN"/>
                    </w:rPr>
                    <w:t>柴油桶</w:t>
                  </w:r>
                </w:p>
              </w:tc>
              <w:tc>
                <w:tcPr>
                  <w:tcW w:w="730" w:type="pct"/>
                  <w:tcBorders>
                    <w:tl2br w:val="nil"/>
                    <w:tr2bl w:val="nil"/>
                  </w:tcBorders>
                  <w:noWrap w:val="0"/>
                  <w:vAlign w:val="center"/>
                </w:tcPr>
                <w:p w14:paraId="4AB15755">
                  <w:pPr>
                    <w:keepNext w:val="0"/>
                    <w:keepLines w:val="0"/>
                    <w:pageBreakBefore w:val="0"/>
                    <w:widowControl w:val="0"/>
                    <w:kinsoku/>
                    <w:wordWrap/>
                    <w:overflowPunct/>
                    <w:topLinePunct w:val="0"/>
                    <w:autoSpaceDE/>
                    <w:autoSpaceDN/>
                    <w:bidi w:val="0"/>
                    <w:adjustRightInd/>
                    <w:snapToGrid/>
                    <w:jc w:val="center"/>
                    <w:textAlignment w:val="auto"/>
                    <w:rPr>
                      <w:rFonts w:hint="eastAsia" w:eastAsia="宋体"/>
                      <w:color w:val="auto"/>
                      <w:szCs w:val="21"/>
                      <w:highlight w:val="none"/>
                      <w:lang w:val="en-US" w:eastAsia="zh-CN"/>
                    </w:rPr>
                  </w:pPr>
                  <w:r>
                    <w:rPr>
                      <w:rFonts w:hint="eastAsia" w:eastAsia="宋体"/>
                      <w:color w:val="auto"/>
                      <w:szCs w:val="21"/>
                      <w:highlight w:val="none"/>
                      <w:lang w:val="en-US" w:eastAsia="zh-CN"/>
                    </w:rPr>
                    <w:t>易燃</w:t>
                  </w:r>
                </w:p>
              </w:tc>
              <w:tc>
                <w:tcPr>
                  <w:tcW w:w="683" w:type="pct"/>
                  <w:tcBorders>
                    <w:tl2br w:val="nil"/>
                    <w:tr2bl w:val="nil"/>
                  </w:tcBorders>
                  <w:noWrap w:val="0"/>
                  <w:vAlign w:val="center"/>
                </w:tcPr>
                <w:p w14:paraId="1BDB984C">
                  <w:pPr>
                    <w:keepNext w:val="0"/>
                    <w:keepLines w:val="0"/>
                    <w:pageBreakBefore w:val="0"/>
                    <w:widowControl w:val="0"/>
                    <w:kinsoku/>
                    <w:wordWrap/>
                    <w:overflowPunct/>
                    <w:topLinePunct w:val="0"/>
                    <w:autoSpaceDE/>
                    <w:autoSpaceDN/>
                    <w:bidi w:val="0"/>
                    <w:adjustRightInd/>
                    <w:snapToGrid/>
                    <w:jc w:val="center"/>
                    <w:textAlignment w:val="auto"/>
                    <w:rPr>
                      <w:rFonts w:hint="eastAsia"/>
                      <w:color w:val="auto"/>
                      <w:highlight w:val="none"/>
                      <w:lang w:val="en-US" w:eastAsia="zh-CN"/>
                    </w:rPr>
                  </w:pPr>
                  <w:r>
                    <w:rPr>
                      <w:rFonts w:hint="eastAsia"/>
                      <w:color w:val="auto"/>
                      <w:highlight w:val="none"/>
                      <w:lang w:val="en-US" w:eastAsia="zh-CN"/>
                    </w:rPr>
                    <w:t>常温、</w:t>
                  </w:r>
                </w:p>
                <w:p w14:paraId="66EC27A7">
                  <w:pPr>
                    <w:keepNext w:val="0"/>
                    <w:keepLines w:val="0"/>
                    <w:pageBreakBefore w:val="0"/>
                    <w:widowControl w:val="0"/>
                    <w:kinsoku/>
                    <w:wordWrap/>
                    <w:overflowPunct/>
                    <w:topLinePunct w:val="0"/>
                    <w:autoSpaceDE/>
                    <w:autoSpaceDN/>
                    <w:bidi w:val="0"/>
                    <w:adjustRightInd/>
                    <w:snapToGrid/>
                    <w:jc w:val="center"/>
                    <w:textAlignment w:val="auto"/>
                    <w:rPr>
                      <w:rFonts w:hint="eastAsia"/>
                      <w:color w:val="auto"/>
                      <w:highlight w:val="none"/>
                      <w:lang w:val="en-US" w:eastAsia="zh-CN"/>
                    </w:rPr>
                  </w:pPr>
                  <w:r>
                    <w:rPr>
                      <w:rFonts w:hint="eastAsia"/>
                      <w:color w:val="auto"/>
                      <w:highlight w:val="none"/>
                      <w:lang w:val="en-US" w:eastAsia="zh-CN"/>
                    </w:rPr>
                    <w:t>常压</w:t>
                  </w:r>
                </w:p>
              </w:tc>
              <w:tc>
                <w:tcPr>
                  <w:tcW w:w="1075" w:type="pct"/>
                  <w:tcBorders>
                    <w:tl2br w:val="nil"/>
                    <w:tr2bl w:val="nil"/>
                  </w:tcBorders>
                  <w:noWrap w:val="0"/>
                  <w:vAlign w:val="center"/>
                </w:tcPr>
                <w:p w14:paraId="7D4F092F">
                  <w:pPr>
                    <w:keepNext w:val="0"/>
                    <w:keepLines w:val="0"/>
                    <w:pageBreakBefore w:val="0"/>
                    <w:widowControl w:val="0"/>
                    <w:kinsoku/>
                    <w:wordWrap/>
                    <w:overflowPunct/>
                    <w:topLinePunct w:val="0"/>
                    <w:autoSpaceDE/>
                    <w:autoSpaceDN/>
                    <w:bidi w:val="0"/>
                    <w:adjustRightInd/>
                    <w:snapToGrid/>
                    <w:jc w:val="center"/>
                    <w:textAlignment w:val="auto"/>
                    <w:rPr>
                      <w:rFonts w:hint="eastAsia" w:eastAsia="宋体"/>
                      <w:color w:val="auto"/>
                      <w:szCs w:val="21"/>
                      <w:highlight w:val="none"/>
                      <w:lang w:val="en-US" w:eastAsia="zh-CN"/>
                    </w:rPr>
                  </w:pPr>
                  <w:r>
                    <w:rPr>
                      <w:rFonts w:hint="eastAsia" w:ascii="Times New Roman" w:hAnsi="Times New Roman" w:eastAsia="宋体" w:cs="Times New Roman"/>
                      <w:color w:val="auto"/>
                      <w:kern w:val="2"/>
                      <w:sz w:val="21"/>
                      <w:szCs w:val="21"/>
                      <w:highlight w:val="none"/>
                      <w:lang w:val="en-US" w:eastAsia="zh-CN" w:bidi="ar-SA"/>
                    </w:rPr>
                    <w:t>破损泄漏</w:t>
                  </w:r>
                </w:p>
              </w:tc>
            </w:tr>
          </w:tbl>
          <w:p w14:paraId="42EC1542">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b w:val="0"/>
                <w:bCs w:val="0"/>
                <w:color w:val="auto"/>
                <w:sz w:val="24"/>
                <w:highlight w:val="none"/>
                <w:lang w:val="en-US" w:eastAsia="zh-CN"/>
              </w:rPr>
            </w:pPr>
            <w:r>
              <w:rPr>
                <w:rFonts w:hint="eastAsia"/>
                <w:b w:val="0"/>
                <w:bCs w:val="0"/>
                <w:color w:val="auto"/>
                <w:sz w:val="24"/>
                <w:highlight w:val="none"/>
                <w:lang w:val="en-US" w:eastAsia="zh-CN"/>
              </w:rPr>
              <w:t>（3）环境风险类型及危害分析</w:t>
            </w:r>
          </w:p>
          <w:p w14:paraId="75D016AB">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b w:val="0"/>
                <w:bCs w:val="0"/>
                <w:color w:val="auto"/>
                <w:sz w:val="24"/>
                <w:highlight w:val="none"/>
                <w:lang w:val="en-US" w:eastAsia="zh-CN"/>
              </w:rPr>
            </w:pPr>
            <w:r>
              <w:rPr>
                <w:rFonts w:hint="eastAsia"/>
                <w:b w:val="0"/>
                <w:bCs w:val="0"/>
                <w:color w:val="auto"/>
                <w:sz w:val="24"/>
                <w:highlight w:val="none"/>
                <w:lang w:val="en-US" w:eastAsia="zh-CN"/>
              </w:rPr>
              <w:t>根据物质及生产系统危险性识别结果，酒精、医疗废物、危险废物、废水和柴油储存不当时导致泄漏，可能会影响大气、地下水和土壤环境。</w:t>
            </w:r>
          </w:p>
          <w:p w14:paraId="7771D973">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b w:val="0"/>
                <w:bCs w:val="0"/>
                <w:color w:val="auto"/>
                <w:sz w:val="24"/>
                <w:highlight w:val="none"/>
                <w:lang w:val="en-US" w:eastAsia="zh-CN"/>
              </w:rPr>
            </w:pPr>
            <w:r>
              <w:rPr>
                <w:rFonts w:hint="eastAsia"/>
                <w:b w:val="0"/>
                <w:bCs w:val="0"/>
                <w:color w:val="auto"/>
                <w:sz w:val="24"/>
                <w:highlight w:val="none"/>
                <w:lang w:val="en-US" w:eastAsia="zh-CN"/>
              </w:rPr>
              <w:t>（4）识别结果</w:t>
            </w:r>
          </w:p>
          <w:p w14:paraId="2E33F595">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b w:val="0"/>
                <w:bCs w:val="0"/>
                <w:color w:val="auto"/>
                <w:sz w:val="24"/>
                <w:highlight w:val="none"/>
                <w:lang w:val="en-US" w:eastAsia="zh-CN"/>
              </w:rPr>
            </w:pPr>
            <w:r>
              <w:rPr>
                <w:rFonts w:hint="eastAsia"/>
                <w:b w:val="0"/>
                <w:bCs w:val="0"/>
                <w:color w:val="auto"/>
                <w:sz w:val="24"/>
                <w:highlight w:val="none"/>
                <w:lang w:val="en-US" w:eastAsia="zh-CN"/>
              </w:rPr>
              <w:t>环境风险识别见下表。</w:t>
            </w:r>
          </w:p>
          <w:p w14:paraId="263FD474">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b/>
                <w:bCs/>
                <w:color w:val="auto"/>
                <w:sz w:val="21"/>
                <w:szCs w:val="21"/>
                <w:highlight w:val="none"/>
                <w:lang w:val="en-US" w:eastAsia="zh-CN"/>
              </w:rPr>
            </w:pPr>
            <w:r>
              <w:rPr>
                <w:rFonts w:hint="eastAsia" w:ascii="Times New Roman" w:hAnsi="Times New Roman" w:eastAsia="宋体" w:cs="Times New Roman"/>
                <w:b/>
                <w:bCs/>
                <w:color w:val="auto"/>
                <w:sz w:val="21"/>
                <w:szCs w:val="21"/>
                <w:highlight w:val="none"/>
                <w:lang w:val="en-US" w:eastAsia="zh-CN"/>
              </w:rPr>
              <w:t>表4-2</w:t>
            </w:r>
            <w:r>
              <w:rPr>
                <w:rFonts w:hint="eastAsia" w:cs="Times New Roman"/>
                <w:b/>
                <w:bCs/>
                <w:color w:val="auto"/>
                <w:sz w:val="21"/>
                <w:szCs w:val="21"/>
                <w:highlight w:val="none"/>
                <w:lang w:val="en-US" w:eastAsia="zh-CN"/>
              </w:rPr>
              <w:t>2</w:t>
            </w:r>
            <w:r>
              <w:rPr>
                <w:rFonts w:hint="eastAsia" w:ascii="Times New Roman" w:hAnsi="Times New Roman" w:eastAsia="宋体" w:cs="Times New Roman"/>
                <w:b/>
                <w:bCs/>
                <w:color w:val="auto"/>
                <w:sz w:val="21"/>
                <w:szCs w:val="21"/>
                <w:highlight w:val="none"/>
                <w:lang w:val="en-US" w:eastAsia="zh-CN"/>
              </w:rPr>
              <w:t xml:space="preserve">  环境风险识别结果一览表</w:t>
            </w:r>
          </w:p>
          <w:tbl>
            <w:tblPr>
              <w:tblStyle w:val="14"/>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5"/>
              <w:gridCol w:w="1763"/>
              <w:gridCol w:w="2308"/>
              <w:gridCol w:w="891"/>
              <w:gridCol w:w="881"/>
              <w:gridCol w:w="1490"/>
            </w:tblGrid>
            <w:tr w14:paraId="285422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 w:hRule="atLeast"/>
                <w:jc w:val="center"/>
              </w:trPr>
              <w:tc>
                <w:tcPr>
                  <w:tcW w:w="527" w:type="pct"/>
                  <w:tcBorders>
                    <w:tl2br w:val="nil"/>
                    <w:tr2bl w:val="nil"/>
                  </w:tcBorders>
                  <w:noWrap w:val="0"/>
                  <w:vAlign w:val="center"/>
                </w:tcPr>
                <w:p w14:paraId="550B27AD">
                  <w:pPr>
                    <w:keepNext w:val="0"/>
                    <w:keepLines w:val="0"/>
                    <w:pageBreakBefore w:val="0"/>
                    <w:widowControl w:val="0"/>
                    <w:kinsoku/>
                    <w:wordWrap/>
                    <w:overflowPunct/>
                    <w:topLinePunct w:val="0"/>
                    <w:autoSpaceDE/>
                    <w:autoSpaceDN/>
                    <w:bidi w:val="0"/>
                    <w:adjustRightInd/>
                    <w:snapToGrid/>
                    <w:jc w:val="center"/>
                    <w:textAlignment w:val="auto"/>
                    <w:rPr>
                      <w:rFonts w:hint="default" w:eastAsia="宋体"/>
                      <w:color w:val="auto"/>
                      <w:szCs w:val="21"/>
                      <w:highlight w:val="none"/>
                      <w:lang w:val="en-US" w:eastAsia="zh-CN"/>
                    </w:rPr>
                  </w:pPr>
                  <w:r>
                    <w:rPr>
                      <w:rFonts w:hint="eastAsia" w:eastAsia="宋体"/>
                      <w:color w:val="auto"/>
                      <w:szCs w:val="21"/>
                      <w:highlight w:val="none"/>
                      <w:lang w:val="en-US" w:eastAsia="zh-CN"/>
                    </w:rPr>
                    <w:t>危险单元</w:t>
                  </w:r>
                </w:p>
              </w:tc>
              <w:tc>
                <w:tcPr>
                  <w:tcW w:w="1075" w:type="pct"/>
                  <w:tcBorders>
                    <w:tl2br w:val="nil"/>
                    <w:tr2bl w:val="nil"/>
                  </w:tcBorders>
                  <w:noWrap w:val="0"/>
                  <w:vAlign w:val="center"/>
                </w:tcPr>
                <w:p w14:paraId="702A51BE">
                  <w:pPr>
                    <w:keepNext w:val="0"/>
                    <w:keepLines w:val="0"/>
                    <w:pageBreakBefore w:val="0"/>
                    <w:widowControl w:val="0"/>
                    <w:kinsoku/>
                    <w:wordWrap/>
                    <w:overflowPunct/>
                    <w:topLinePunct w:val="0"/>
                    <w:autoSpaceDE/>
                    <w:autoSpaceDN/>
                    <w:bidi w:val="0"/>
                    <w:adjustRightInd/>
                    <w:snapToGrid/>
                    <w:jc w:val="center"/>
                    <w:textAlignment w:val="auto"/>
                    <w:rPr>
                      <w:rFonts w:hint="default" w:eastAsia="宋体"/>
                      <w:color w:val="auto"/>
                      <w:szCs w:val="21"/>
                      <w:highlight w:val="none"/>
                      <w:lang w:val="en-US" w:eastAsia="zh-CN"/>
                    </w:rPr>
                  </w:pPr>
                  <w:r>
                    <w:rPr>
                      <w:rFonts w:hint="eastAsia" w:eastAsia="宋体"/>
                      <w:color w:val="auto"/>
                      <w:szCs w:val="21"/>
                      <w:highlight w:val="none"/>
                      <w:lang w:val="en-US" w:eastAsia="zh-CN"/>
                    </w:rPr>
                    <w:t>风险源</w:t>
                  </w:r>
                </w:p>
              </w:tc>
              <w:tc>
                <w:tcPr>
                  <w:tcW w:w="1407" w:type="pct"/>
                  <w:tcBorders>
                    <w:tl2br w:val="nil"/>
                    <w:tr2bl w:val="nil"/>
                  </w:tcBorders>
                  <w:noWrap w:val="0"/>
                  <w:vAlign w:val="center"/>
                </w:tcPr>
                <w:p w14:paraId="478307F7">
                  <w:pPr>
                    <w:keepNext w:val="0"/>
                    <w:keepLines w:val="0"/>
                    <w:pageBreakBefore w:val="0"/>
                    <w:widowControl w:val="0"/>
                    <w:kinsoku/>
                    <w:wordWrap/>
                    <w:overflowPunct/>
                    <w:topLinePunct w:val="0"/>
                    <w:autoSpaceDE/>
                    <w:autoSpaceDN/>
                    <w:bidi w:val="0"/>
                    <w:adjustRightInd/>
                    <w:snapToGrid/>
                    <w:jc w:val="center"/>
                    <w:textAlignment w:val="auto"/>
                    <w:rPr>
                      <w:rFonts w:hint="default" w:eastAsia="宋体"/>
                      <w:color w:val="auto"/>
                      <w:szCs w:val="21"/>
                      <w:highlight w:val="none"/>
                      <w:lang w:val="en-US" w:eastAsia="zh-CN"/>
                    </w:rPr>
                  </w:pPr>
                  <w:r>
                    <w:rPr>
                      <w:rFonts w:hint="eastAsia" w:eastAsia="宋体"/>
                      <w:color w:val="auto"/>
                      <w:szCs w:val="21"/>
                      <w:highlight w:val="none"/>
                      <w:lang w:val="en-US" w:eastAsia="zh-CN"/>
                    </w:rPr>
                    <w:t>主要危险物质</w:t>
                  </w:r>
                </w:p>
              </w:tc>
              <w:tc>
                <w:tcPr>
                  <w:tcW w:w="543" w:type="pct"/>
                  <w:tcBorders>
                    <w:tl2br w:val="nil"/>
                    <w:tr2bl w:val="nil"/>
                  </w:tcBorders>
                  <w:noWrap w:val="0"/>
                  <w:vAlign w:val="center"/>
                </w:tcPr>
                <w:p w14:paraId="4197C673">
                  <w:pPr>
                    <w:keepNext w:val="0"/>
                    <w:keepLines w:val="0"/>
                    <w:pageBreakBefore w:val="0"/>
                    <w:widowControl w:val="0"/>
                    <w:kinsoku/>
                    <w:wordWrap/>
                    <w:overflowPunct/>
                    <w:topLinePunct w:val="0"/>
                    <w:autoSpaceDE/>
                    <w:autoSpaceDN/>
                    <w:bidi w:val="0"/>
                    <w:adjustRightInd/>
                    <w:snapToGrid/>
                    <w:jc w:val="center"/>
                    <w:textAlignment w:val="auto"/>
                    <w:rPr>
                      <w:rFonts w:hint="default" w:eastAsia="宋体"/>
                      <w:color w:val="auto"/>
                      <w:szCs w:val="21"/>
                      <w:highlight w:val="none"/>
                      <w:lang w:val="en-US" w:eastAsia="zh-CN"/>
                    </w:rPr>
                  </w:pPr>
                  <w:r>
                    <w:rPr>
                      <w:rFonts w:hint="eastAsia" w:eastAsia="宋体"/>
                      <w:color w:val="auto"/>
                      <w:szCs w:val="21"/>
                      <w:highlight w:val="none"/>
                      <w:lang w:val="en-US" w:eastAsia="zh-CN"/>
                    </w:rPr>
                    <w:t>环境风险类型</w:t>
                  </w:r>
                </w:p>
              </w:tc>
              <w:tc>
                <w:tcPr>
                  <w:tcW w:w="537" w:type="pct"/>
                  <w:tcBorders>
                    <w:tl2br w:val="nil"/>
                    <w:tr2bl w:val="nil"/>
                  </w:tcBorders>
                  <w:noWrap w:val="0"/>
                  <w:vAlign w:val="center"/>
                </w:tcPr>
                <w:p w14:paraId="62CAADBB">
                  <w:pPr>
                    <w:keepNext w:val="0"/>
                    <w:keepLines w:val="0"/>
                    <w:pageBreakBefore w:val="0"/>
                    <w:widowControl w:val="0"/>
                    <w:kinsoku/>
                    <w:wordWrap/>
                    <w:overflowPunct/>
                    <w:topLinePunct w:val="0"/>
                    <w:autoSpaceDE/>
                    <w:autoSpaceDN/>
                    <w:bidi w:val="0"/>
                    <w:adjustRightInd/>
                    <w:snapToGrid/>
                    <w:jc w:val="center"/>
                    <w:textAlignment w:val="auto"/>
                    <w:rPr>
                      <w:rFonts w:hint="default" w:eastAsia="宋体"/>
                      <w:color w:val="auto"/>
                      <w:szCs w:val="21"/>
                      <w:highlight w:val="none"/>
                      <w:lang w:val="en-US" w:eastAsia="zh-CN"/>
                    </w:rPr>
                  </w:pPr>
                  <w:r>
                    <w:rPr>
                      <w:rFonts w:hint="eastAsia" w:eastAsia="宋体"/>
                      <w:color w:val="auto"/>
                      <w:szCs w:val="21"/>
                      <w:highlight w:val="none"/>
                      <w:lang w:val="en-US" w:eastAsia="zh-CN"/>
                    </w:rPr>
                    <w:t>环境影响途径</w:t>
                  </w:r>
                </w:p>
              </w:tc>
              <w:tc>
                <w:tcPr>
                  <w:tcW w:w="908" w:type="pct"/>
                  <w:tcBorders>
                    <w:tl2br w:val="nil"/>
                    <w:tr2bl w:val="nil"/>
                  </w:tcBorders>
                  <w:noWrap w:val="0"/>
                  <w:vAlign w:val="center"/>
                </w:tcPr>
                <w:p w14:paraId="4947B477">
                  <w:pPr>
                    <w:keepNext w:val="0"/>
                    <w:keepLines w:val="0"/>
                    <w:pageBreakBefore w:val="0"/>
                    <w:widowControl w:val="0"/>
                    <w:kinsoku/>
                    <w:wordWrap/>
                    <w:overflowPunct/>
                    <w:topLinePunct w:val="0"/>
                    <w:autoSpaceDE/>
                    <w:autoSpaceDN/>
                    <w:bidi w:val="0"/>
                    <w:adjustRightInd/>
                    <w:snapToGrid/>
                    <w:jc w:val="center"/>
                    <w:textAlignment w:val="auto"/>
                    <w:rPr>
                      <w:rFonts w:hint="default" w:eastAsia="宋体"/>
                      <w:color w:val="auto"/>
                      <w:szCs w:val="21"/>
                      <w:highlight w:val="none"/>
                      <w:lang w:val="en-US" w:eastAsia="zh-CN"/>
                    </w:rPr>
                  </w:pPr>
                  <w:r>
                    <w:rPr>
                      <w:rFonts w:hint="eastAsia" w:eastAsia="宋体"/>
                      <w:color w:val="auto"/>
                      <w:szCs w:val="21"/>
                      <w:highlight w:val="none"/>
                      <w:lang w:val="en-US" w:eastAsia="zh-CN"/>
                    </w:rPr>
                    <w:t>可能受影响的环境敏感目标</w:t>
                  </w:r>
                </w:p>
              </w:tc>
            </w:tr>
            <w:tr w14:paraId="1F160B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 w:hRule="atLeast"/>
                <w:jc w:val="center"/>
              </w:trPr>
              <w:tc>
                <w:tcPr>
                  <w:tcW w:w="527" w:type="pct"/>
                  <w:tcBorders>
                    <w:tl2br w:val="nil"/>
                    <w:tr2bl w:val="nil"/>
                  </w:tcBorders>
                  <w:noWrap w:val="0"/>
                  <w:vAlign w:val="center"/>
                </w:tcPr>
                <w:p w14:paraId="2442605F">
                  <w:pPr>
                    <w:keepNext w:val="0"/>
                    <w:keepLines w:val="0"/>
                    <w:pageBreakBefore w:val="0"/>
                    <w:widowControl w:val="0"/>
                    <w:kinsoku/>
                    <w:wordWrap/>
                    <w:overflowPunct/>
                    <w:topLinePunct w:val="0"/>
                    <w:autoSpaceDE/>
                    <w:autoSpaceDN/>
                    <w:bidi w:val="0"/>
                    <w:adjustRightInd/>
                    <w:snapToGrid/>
                    <w:jc w:val="center"/>
                    <w:textAlignment w:val="auto"/>
                    <w:rPr>
                      <w:rFonts w:hint="default" w:eastAsia="宋体"/>
                      <w:color w:val="auto"/>
                      <w:szCs w:val="21"/>
                      <w:highlight w:val="none"/>
                      <w:lang w:val="en-US" w:eastAsia="zh-CN"/>
                    </w:rPr>
                  </w:pPr>
                  <w:r>
                    <w:rPr>
                      <w:rFonts w:hint="eastAsia" w:eastAsia="宋体"/>
                      <w:color w:val="auto"/>
                      <w:szCs w:val="21"/>
                      <w:highlight w:val="none"/>
                      <w:lang w:val="en-US" w:eastAsia="zh-CN"/>
                    </w:rPr>
                    <w:t>药库</w:t>
                  </w:r>
                </w:p>
              </w:tc>
              <w:tc>
                <w:tcPr>
                  <w:tcW w:w="1075" w:type="pct"/>
                  <w:tcBorders>
                    <w:tl2br w:val="nil"/>
                    <w:tr2bl w:val="nil"/>
                  </w:tcBorders>
                  <w:noWrap w:val="0"/>
                  <w:vAlign w:val="center"/>
                </w:tcPr>
                <w:p w14:paraId="399CFCCE">
                  <w:pPr>
                    <w:pStyle w:val="32"/>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酒精瓶</w:t>
                  </w:r>
                </w:p>
              </w:tc>
              <w:tc>
                <w:tcPr>
                  <w:tcW w:w="1407" w:type="pct"/>
                  <w:tcBorders>
                    <w:tl2br w:val="nil"/>
                    <w:tr2bl w:val="nil"/>
                  </w:tcBorders>
                  <w:noWrap w:val="0"/>
                  <w:vAlign w:val="center"/>
                </w:tcPr>
                <w:p w14:paraId="48664E19">
                  <w:pPr>
                    <w:keepNext w:val="0"/>
                    <w:keepLines w:val="0"/>
                    <w:pageBreakBefore w:val="0"/>
                    <w:widowControl w:val="0"/>
                    <w:kinsoku/>
                    <w:wordWrap/>
                    <w:overflowPunct/>
                    <w:topLinePunct w:val="0"/>
                    <w:autoSpaceDE/>
                    <w:autoSpaceDN/>
                    <w:bidi w:val="0"/>
                    <w:adjustRightInd/>
                    <w:snapToGrid/>
                    <w:jc w:val="center"/>
                    <w:textAlignment w:val="auto"/>
                    <w:rPr>
                      <w:rFonts w:hint="eastAsia" w:eastAsia="宋体"/>
                      <w:color w:val="auto"/>
                      <w:kern w:val="2"/>
                      <w:sz w:val="21"/>
                      <w:szCs w:val="21"/>
                      <w:highlight w:val="none"/>
                      <w:lang w:val="en-US" w:eastAsia="zh-CN" w:bidi="ar-SA"/>
                    </w:rPr>
                  </w:pPr>
                  <w:r>
                    <w:rPr>
                      <w:rFonts w:hint="eastAsia" w:eastAsia="宋体"/>
                      <w:color w:val="auto"/>
                      <w:szCs w:val="21"/>
                      <w:highlight w:val="none"/>
                      <w:lang w:val="en-US" w:eastAsia="zh-CN"/>
                    </w:rPr>
                    <w:t>乙醇</w:t>
                  </w:r>
                </w:p>
              </w:tc>
              <w:tc>
                <w:tcPr>
                  <w:tcW w:w="543" w:type="pct"/>
                  <w:vMerge w:val="restart"/>
                  <w:tcBorders>
                    <w:tl2br w:val="nil"/>
                    <w:tr2bl w:val="nil"/>
                  </w:tcBorders>
                  <w:noWrap w:val="0"/>
                  <w:vAlign w:val="center"/>
                </w:tcPr>
                <w:p w14:paraId="535D7539">
                  <w:pPr>
                    <w:keepNext w:val="0"/>
                    <w:keepLines w:val="0"/>
                    <w:pageBreakBefore w:val="0"/>
                    <w:widowControl w:val="0"/>
                    <w:kinsoku/>
                    <w:wordWrap/>
                    <w:overflowPunct/>
                    <w:topLinePunct w:val="0"/>
                    <w:autoSpaceDE/>
                    <w:autoSpaceDN/>
                    <w:bidi w:val="0"/>
                    <w:adjustRightInd/>
                    <w:snapToGrid/>
                    <w:jc w:val="center"/>
                    <w:textAlignment w:val="auto"/>
                    <w:rPr>
                      <w:rFonts w:hint="eastAsia" w:eastAsia="宋体"/>
                      <w:color w:val="auto"/>
                      <w:szCs w:val="21"/>
                      <w:highlight w:val="none"/>
                      <w:lang w:val="en-US" w:eastAsia="zh-CN"/>
                    </w:rPr>
                  </w:pPr>
                  <w:r>
                    <w:rPr>
                      <w:rFonts w:hint="eastAsia"/>
                      <w:color w:val="auto"/>
                      <w:highlight w:val="none"/>
                    </w:rPr>
                    <w:t>泄漏污染</w:t>
                  </w:r>
                  <w:r>
                    <w:rPr>
                      <w:rFonts w:hint="eastAsia"/>
                      <w:color w:val="auto"/>
                      <w:highlight w:val="none"/>
                      <w:lang w:val="en-US" w:eastAsia="zh-CN"/>
                    </w:rPr>
                    <w:t>大气、</w:t>
                  </w:r>
                  <w:r>
                    <w:rPr>
                      <w:rFonts w:hint="eastAsia"/>
                      <w:color w:val="auto"/>
                      <w:highlight w:val="none"/>
                    </w:rPr>
                    <w:t>土壤和地下水</w:t>
                  </w:r>
                </w:p>
              </w:tc>
              <w:tc>
                <w:tcPr>
                  <w:tcW w:w="537" w:type="pct"/>
                  <w:vMerge w:val="restart"/>
                  <w:tcBorders>
                    <w:tl2br w:val="nil"/>
                    <w:tr2bl w:val="nil"/>
                  </w:tcBorders>
                  <w:noWrap w:val="0"/>
                  <w:vAlign w:val="center"/>
                </w:tcPr>
                <w:p w14:paraId="16462C2B">
                  <w:pPr>
                    <w:keepNext w:val="0"/>
                    <w:keepLines w:val="0"/>
                    <w:pageBreakBefore w:val="0"/>
                    <w:widowControl w:val="0"/>
                    <w:kinsoku/>
                    <w:wordWrap/>
                    <w:overflowPunct/>
                    <w:topLinePunct w:val="0"/>
                    <w:autoSpaceDE/>
                    <w:autoSpaceDN/>
                    <w:bidi w:val="0"/>
                    <w:adjustRightInd/>
                    <w:snapToGrid/>
                    <w:jc w:val="center"/>
                    <w:textAlignment w:val="auto"/>
                    <w:rPr>
                      <w:rFonts w:hint="eastAsia"/>
                      <w:color w:val="auto"/>
                      <w:kern w:val="2"/>
                      <w:sz w:val="21"/>
                      <w:szCs w:val="24"/>
                      <w:highlight w:val="none"/>
                      <w:lang w:val="en-US" w:eastAsia="zh-CN" w:bidi="ar-SA"/>
                    </w:rPr>
                  </w:pPr>
                  <w:r>
                    <w:rPr>
                      <w:color w:val="auto"/>
                      <w:highlight w:val="none"/>
                    </w:rPr>
                    <w:t>大气、地下水、土壤</w:t>
                  </w:r>
                </w:p>
              </w:tc>
              <w:tc>
                <w:tcPr>
                  <w:tcW w:w="908" w:type="pct"/>
                  <w:vMerge w:val="restart"/>
                  <w:tcBorders>
                    <w:tl2br w:val="nil"/>
                    <w:tr2bl w:val="nil"/>
                  </w:tcBorders>
                  <w:noWrap w:val="0"/>
                  <w:vAlign w:val="center"/>
                </w:tcPr>
                <w:p w14:paraId="0B262E26">
                  <w:pPr>
                    <w:keepNext w:val="0"/>
                    <w:keepLines w:val="0"/>
                    <w:pageBreakBefore w:val="0"/>
                    <w:widowControl w:val="0"/>
                    <w:kinsoku/>
                    <w:wordWrap/>
                    <w:overflowPunct/>
                    <w:topLinePunct w:val="0"/>
                    <w:autoSpaceDE/>
                    <w:autoSpaceDN/>
                    <w:bidi w:val="0"/>
                    <w:adjustRightInd/>
                    <w:snapToGrid/>
                    <w:jc w:val="center"/>
                    <w:textAlignment w:val="auto"/>
                    <w:rPr>
                      <w:rFonts w:hint="eastAsia"/>
                      <w:color w:val="auto"/>
                      <w:kern w:val="2"/>
                      <w:sz w:val="21"/>
                      <w:szCs w:val="24"/>
                      <w:highlight w:val="none"/>
                      <w:lang w:val="en-US" w:eastAsia="zh-CN" w:bidi="ar-SA"/>
                    </w:rPr>
                  </w:pPr>
                  <w:r>
                    <w:rPr>
                      <w:color w:val="auto"/>
                      <w:highlight w:val="none"/>
                    </w:rPr>
                    <w:t>居民区、地下水环境、土壤环境</w:t>
                  </w:r>
                </w:p>
              </w:tc>
            </w:tr>
            <w:tr w14:paraId="6CFB7E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 w:hRule="atLeast"/>
                <w:jc w:val="center"/>
              </w:trPr>
              <w:tc>
                <w:tcPr>
                  <w:tcW w:w="527" w:type="pct"/>
                  <w:tcBorders>
                    <w:tl2br w:val="nil"/>
                    <w:tr2bl w:val="nil"/>
                  </w:tcBorders>
                  <w:noWrap w:val="0"/>
                  <w:vAlign w:val="center"/>
                </w:tcPr>
                <w:p w14:paraId="33F59D3E">
                  <w:pPr>
                    <w:keepNext w:val="0"/>
                    <w:keepLines w:val="0"/>
                    <w:pageBreakBefore w:val="0"/>
                    <w:widowControl w:val="0"/>
                    <w:kinsoku/>
                    <w:wordWrap/>
                    <w:overflowPunct/>
                    <w:topLinePunct w:val="0"/>
                    <w:autoSpaceDE/>
                    <w:autoSpaceDN/>
                    <w:bidi w:val="0"/>
                    <w:adjustRightInd/>
                    <w:snapToGrid/>
                    <w:jc w:val="center"/>
                    <w:textAlignment w:val="auto"/>
                    <w:rPr>
                      <w:rFonts w:hint="default" w:eastAsia="宋体"/>
                      <w:color w:val="auto"/>
                      <w:szCs w:val="21"/>
                      <w:highlight w:val="none"/>
                      <w:lang w:val="en-US" w:eastAsia="zh-CN"/>
                    </w:rPr>
                  </w:pPr>
                  <w:r>
                    <w:rPr>
                      <w:rFonts w:hint="eastAsia" w:eastAsia="宋体"/>
                      <w:color w:val="auto"/>
                      <w:szCs w:val="21"/>
                      <w:highlight w:val="none"/>
                      <w:lang w:val="en-US" w:eastAsia="zh-CN"/>
                    </w:rPr>
                    <w:t>医废间</w:t>
                  </w:r>
                </w:p>
              </w:tc>
              <w:tc>
                <w:tcPr>
                  <w:tcW w:w="1075" w:type="pct"/>
                  <w:tcBorders>
                    <w:tl2br w:val="nil"/>
                    <w:tr2bl w:val="nil"/>
                  </w:tcBorders>
                  <w:noWrap w:val="0"/>
                  <w:vAlign w:val="center"/>
                </w:tcPr>
                <w:p w14:paraId="03687E00">
                  <w:pPr>
                    <w:keepNext w:val="0"/>
                    <w:keepLines w:val="0"/>
                    <w:pageBreakBefore w:val="0"/>
                    <w:widowControl w:val="0"/>
                    <w:kinsoku/>
                    <w:wordWrap/>
                    <w:overflowPunct/>
                    <w:topLinePunct w:val="0"/>
                    <w:autoSpaceDE/>
                    <w:autoSpaceDN/>
                    <w:bidi w:val="0"/>
                    <w:adjustRightInd/>
                    <w:snapToGrid/>
                    <w:jc w:val="center"/>
                    <w:textAlignment w:val="auto"/>
                    <w:rPr>
                      <w:rFonts w:hint="default" w:eastAsia="宋体"/>
                      <w:color w:val="auto"/>
                      <w:kern w:val="2"/>
                      <w:sz w:val="21"/>
                      <w:szCs w:val="21"/>
                      <w:highlight w:val="none"/>
                      <w:lang w:val="en-US" w:eastAsia="zh-CN" w:bidi="ar-SA"/>
                    </w:rPr>
                  </w:pPr>
                  <w:r>
                    <w:rPr>
                      <w:rFonts w:hint="eastAsia" w:eastAsia="宋体"/>
                      <w:color w:val="auto"/>
                      <w:szCs w:val="21"/>
                      <w:highlight w:val="none"/>
                      <w:lang w:val="en-US" w:eastAsia="zh-CN"/>
                    </w:rPr>
                    <w:t>医疗废物专用包装或密封容器</w:t>
                  </w:r>
                </w:p>
              </w:tc>
              <w:tc>
                <w:tcPr>
                  <w:tcW w:w="1407" w:type="pct"/>
                  <w:tcBorders>
                    <w:tl2br w:val="nil"/>
                    <w:tr2bl w:val="nil"/>
                  </w:tcBorders>
                  <w:noWrap w:val="0"/>
                  <w:vAlign w:val="center"/>
                </w:tcPr>
                <w:p w14:paraId="2CD52DB4">
                  <w:pPr>
                    <w:keepNext w:val="0"/>
                    <w:keepLines w:val="0"/>
                    <w:pageBreakBefore w:val="0"/>
                    <w:widowControl w:val="0"/>
                    <w:kinsoku/>
                    <w:wordWrap/>
                    <w:overflowPunct/>
                    <w:topLinePunct w:val="0"/>
                    <w:autoSpaceDE/>
                    <w:autoSpaceDN/>
                    <w:bidi w:val="0"/>
                    <w:adjustRightInd/>
                    <w:snapToGrid/>
                    <w:jc w:val="center"/>
                    <w:textAlignment w:val="auto"/>
                    <w:rPr>
                      <w:rFonts w:hint="eastAsia" w:eastAsia="宋体"/>
                      <w:color w:val="auto"/>
                      <w:kern w:val="2"/>
                      <w:sz w:val="21"/>
                      <w:szCs w:val="21"/>
                      <w:highlight w:val="none"/>
                      <w:lang w:val="en-US" w:eastAsia="zh-CN" w:bidi="ar-SA"/>
                    </w:rPr>
                  </w:pPr>
                  <w:r>
                    <w:rPr>
                      <w:rFonts w:hint="eastAsia" w:eastAsia="宋体"/>
                      <w:color w:val="auto"/>
                      <w:szCs w:val="21"/>
                      <w:highlight w:val="none"/>
                      <w:lang w:val="en-US" w:eastAsia="zh-CN"/>
                    </w:rPr>
                    <w:t>医疗废物、检验废水、废药品</w:t>
                  </w:r>
                </w:p>
              </w:tc>
              <w:tc>
                <w:tcPr>
                  <w:tcW w:w="543" w:type="pct"/>
                  <w:vMerge w:val="continue"/>
                  <w:tcBorders>
                    <w:tl2br w:val="nil"/>
                    <w:tr2bl w:val="nil"/>
                  </w:tcBorders>
                  <w:noWrap w:val="0"/>
                  <w:vAlign w:val="center"/>
                </w:tcPr>
                <w:p w14:paraId="3141A6FE">
                  <w:pPr>
                    <w:keepNext w:val="0"/>
                    <w:keepLines w:val="0"/>
                    <w:pageBreakBefore w:val="0"/>
                    <w:widowControl w:val="0"/>
                    <w:kinsoku/>
                    <w:wordWrap/>
                    <w:overflowPunct/>
                    <w:topLinePunct w:val="0"/>
                    <w:autoSpaceDE/>
                    <w:autoSpaceDN/>
                    <w:bidi w:val="0"/>
                    <w:adjustRightInd/>
                    <w:snapToGrid/>
                    <w:jc w:val="center"/>
                    <w:textAlignment w:val="auto"/>
                    <w:rPr>
                      <w:rFonts w:hint="eastAsia" w:eastAsia="宋体"/>
                      <w:color w:val="auto"/>
                      <w:szCs w:val="21"/>
                      <w:highlight w:val="none"/>
                      <w:lang w:val="en-US" w:eastAsia="zh-CN"/>
                    </w:rPr>
                  </w:pPr>
                </w:p>
              </w:tc>
              <w:tc>
                <w:tcPr>
                  <w:tcW w:w="537" w:type="pct"/>
                  <w:vMerge w:val="continue"/>
                  <w:tcBorders>
                    <w:tl2br w:val="nil"/>
                    <w:tr2bl w:val="nil"/>
                  </w:tcBorders>
                  <w:noWrap w:val="0"/>
                  <w:vAlign w:val="center"/>
                </w:tcPr>
                <w:p w14:paraId="486F7F09">
                  <w:pPr>
                    <w:keepNext w:val="0"/>
                    <w:keepLines w:val="0"/>
                    <w:pageBreakBefore w:val="0"/>
                    <w:widowControl w:val="0"/>
                    <w:kinsoku/>
                    <w:wordWrap/>
                    <w:overflowPunct/>
                    <w:topLinePunct w:val="0"/>
                    <w:autoSpaceDE/>
                    <w:autoSpaceDN/>
                    <w:bidi w:val="0"/>
                    <w:adjustRightInd/>
                    <w:snapToGrid/>
                    <w:jc w:val="center"/>
                    <w:textAlignment w:val="auto"/>
                    <w:rPr>
                      <w:rFonts w:hint="eastAsia" w:eastAsia="宋体"/>
                      <w:color w:val="auto"/>
                      <w:szCs w:val="21"/>
                      <w:highlight w:val="none"/>
                      <w:lang w:val="en-US" w:eastAsia="zh-CN"/>
                    </w:rPr>
                  </w:pPr>
                </w:p>
              </w:tc>
              <w:tc>
                <w:tcPr>
                  <w:tcW w:w="908" w:type="pct"/>
                  <w:vMerge w:val="continue"/>
                  <w:tcBorders>
                    <w:tl2br w:val="nil"/>
                    <w:tr2bl w:val="nil"/>
                  </w:tcBorders>
                  <w:noWrap w:val="0"/>
                  <w:vAlign w:val="center"/>
                </w:tcPr>
                <w:p w14:paraId="2E86F1BA">
                  <w:pPr>
                    <w:keepNext w:val="0"/>
                    <w:keepLines w:val="0"/>
                    <w:pageBreakBefore w:val="0"/>
                    <w:widowControl w:val="0"/>
                    <w:kinsoku/>
                    <w:wordWrap/>
                    <w:overflowPunct/>
                    <w:topLinePunct w:val="0"/>
                    <w:autoSpaceDE/>
                    <w:autoSpaceDN/>
                    <w:bidi w:val="0"/>
                    <w:adjustRightInd/>
                    <w:snapToGrid/>
                    <w:jc w:val="center"/>
                    <w:textAlignment w:val="auto"/>
                    <w:rPr>
                      <w:rFonts w:hint="eastAsia" w:eastAsia="宋体"/>
                      <w:color w:val="auto"/>
                      <w:szCs w:val="21"/>
                      <w:highlight w:val="none"/>
                      <w:lang w:val="en-US" w:eastAsia="zh-CN"/>
                    </w:rPr>
                  </w:pPr>
                </w:p>
              </w:tc>
            </w:tr>
            <w:tr w14:paraId="53AFC7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 w:hRule="atLeast"/>
                <w:jc w:val="center"/>
              </w:trPr>
              <w:tc>
                <w:tcPr>
                  <w:tcW w:w="527" w:type="pct"/>
                  <w:tcBorders>
                    <w:tl2br w:val="nil"/>
                    <w:tr2bl w:val="nil"/>
                  </w:tcBorders>
                  <w:noWrap w:val="0"/>
                  <w:vAlign w:val="center"/>
                </w:tcPr>
                <w:p w14:paraId="496070EA">
                  <w:pPr>
                    <w:keepNext w:val="0"/>
                    <w:keepLines w:val="0"/>
                    <w:pageBreakBefore w:val="0"/>
                    <w:widowControl w:val="0"/>
                    <w:kinsoku/>
                    <w:wordWrap/>
                    <w:overflowPunct/>
                    <w:topLinePunct w:val="0"/>
                    <w:autoSpaceDE/>
                    <w:autoSpaceDN/>
                    <w:bidi w:val="0"/>
                    <w:adjustRightInd/>
                    <w:snapToGrid/>
                    <w:jc w:val="center"/>
                    <w:textAlignment w:val="auto"/>
                    <w:rPr>
                      <w:rFonts w:hint="default" w:eastAsia="宋体"/>
                      <w:color w:val="auto"/>
                      <w:szCs w:val="21"/>
                      <w:highlight w:val="none"/>
                      <w:lang w:val="en-US" w:eastAsia="zh-CN"/>
                    </w:rPr>
                  </w:pPr>
                  <w:r>
                    <w:rPr>
                      <w:rFonts w:hint="eastAsia" w:eastAsia="宋体"/>
                      <w:color w:val="auto"/>
                      <w:szCs w:val="21"/>
                      <w:highlight w:val="none"/>
                      <w:lang w:val="en-US" w:eastAsia="zh-CN"/>
                    </w:rPr>
                    <w:t>危废间</w:t>
                  </w:r>
                </w:p>
              </w:tc>
              <w:tc>
                <w:tcPr>
                  <w:tcW w:w="1075" w:type="pct"/>
                  <w:tcBorders>
                    <w:tl2br w:val="nil"/>
                    <w:tr2bl w:val="nil"/>
                  </w:tcBorders>
                  <w:noWrap w:val="0"/>
                  <w:vAlign w:val="center"/>
                </w:tcPr>
                <w:p w14:paraId="0AB43F98">
                  <w:pPr>
                    <w:keepNext w:val="0"/>
                    <w:keepLines w:val="0"/>
                    <w:pageBreakBefore w:val="0"/>
                    <w:widowControl w:val="0"/>
                    <w:kinsoku/>
                    <w:wordWrap/>
                    <w:overflowPunct/>
                    <w:topLinePunct w:val="0"/>
                    <w:autoSpaceDE/>
                    <w:autoSpaceDN/>
                    <w:bidi w:val="0"/>
                    <w:adjustRightInd/>
                    <w:snapToGrid/>
                    <w:jc w:val="center"/>
                    <w:textAlignment w:val="auto"/>
                    <w:rPr>
                      <w:rFonts w:hint="default" w:eastAsia="宋体"/>
                      <w:color w:val="auto"/>
                      <w:kern w:val="2"/>
                      <w:sz w:val="21"/>
                      <w:szCs w:val="21"/>
                      <w:highlight w:val="none"/>
                      <w:lang w:val="en-US" w:eastAsia="zh-CN" w:bidi="ar-SA"/>
                    </w:rPr>
                  </w:pPr>
                  <w:r>
                    <w:rPr>
                      <w:rFonts w:hint="eastAsia" w:eastAsia="宋体"/>
                      <w:color w:val="auto"/>
                      <w:szCs w:val="21"/>
                      <w:highlight w:val="none"/>
                      <w:lang w:val="en-US" w:eastAsia="zh-CN"/>
                    </w:rPr>
                    <w:t>包装袋</w:t>
                  </w:r>
                </w:p>
              </w:tc>
              <w:tc>
                <w:tcPr>
                  <w:tcW w:w="1407" w:type="pct"/>
                  <w:tcBorders>
                    <w:tl2br w:val="nil"/>
                    <w:tr2bl w:val="nil"/>
                  </w:tcBorders>
                  <w:noWrap w:val="0"/>
                  <w:vAlign w:val="center"/>
                </w:tcPr>
                <w:p w14:paraId="13B14FD0">
                  <w:pPr>
                    <w:keepNext w:val="0"/>
                    <w:keepLines w:val="0"/>
                    <w:pageBreakBefore w:val="0"/>
                    <w:widowControl w:val="0"/>
                    <w:kinsoku/>
                    <w:wordWrap/>
                    <w:overflowPunct/>
                    <w:topLinePunct w:val="0"/>
                    <w:autoSpaceDE/>
                    <w:autoSpaceDN/>
                    <w:bidi w:val="0"/>
                    <w:adjustRightInd/>
                    <w:snapToGrid/>
                    <w:jc w:val="center"/>
                    <w:textAlignment w:val="auto"/>
                    <w:rPr>
                      <w:rFonts w:hint="default" w:eastAsia="宋体"/>
                      <w:color w:val="auto"/>
                      <w:kern w:val="2"/>
                      <w:sz w:val="21"/>
                      <w:szCs w:val="21"/>
                      <w:highlight w:val="none"/>
                      <w:lang w:val="en-US" w:eastAsia="zh-CN" w:bidi="ar-SA"/>
                    </w:rPr>
                  </w:pPr>
                  <w:r>
                    <w:rPr>
                      <w:rFonts w:hint="eastAsia" w:eastAsia="宋体"/>
                      <w:color w:val="auto"/>
                      <w:szCs w:val="21"/>
                      <w:highlight w:val="none"/>
                      <w:lang w:val="en-US" w:eastAsia="zh-CN"/>
                    </w:rPr>
                    <w:t>栅渣、污泥</w:t>
                  </w:r>
                </w:p>
              </w:tc>
              <w:tc>
                <w:tcPr>
                  <w:tcW w:w="543" w:type="pct"/>
                  <w:vMerge w:val="continue"/>
                  <w:tcBorders>
                    <w:tl2br w:val="nil"/>
                    <w:tr2bl w:val="nil"/>
                  </w:tcBorders>
                  <w:noWrap w:val="0"/>
                  <w:vAlign w:val="center"/>
                </w:tcPr>
                <w:p w14:paraId="1B70CDD6">
                  <w:pPr>
                    <w:keepNext w:val="0"/>
                    <w:keepLines w:val="0"/>
                    <w:pageBreakBefore w:val="0"/>
                    <w:widowControl w:val="0"/>
                    <w:kinsoku/>
                    <w:wordWrap/>
                    <w:overflowPunct/>
                    <w:topLinePunct w:val="0"/>
                    <w:autoSpaceDE/>
                    <w:autoSpaceDN/>
                    <w:bidi w:val="0"/>
                    <w:adjustRightInd/>
                    <w:snapToGrid/>
                    <w:jc w:val="center"/>
                    <w:textAlignment w:val="auto"/>
                    <w:rPr>
                      <w:rFonts w:hint="eastAsia" w:eastAsia="宋体"/>
                      <w:color w:val="auto"/>
                      <w:szCs w:val="21"/>
                      <w:highlight w:val="none"/>
                      <w:lang w:val="en-US" w:eastAsia="zh-CN"/>
                    </w:rPr>
                  </w:pPr>
                </w:p>
              </w:tc>
              <w:tc>
                <w:tcPr>
                  <w:tcW w:w="537" w:type="pct"/>
                  <w:vMerge w:val="continue"/>
                  <w:tcBorders>
                    <w:tl2br w:val="nil"/>
                    <w:tr2bl w:val="nil"/>
                  </w:tcBorders>
                  <w:noWrap w:val="0"/>
                  <w:vAlign w:val="center"/>
                </w:tcPr>
                <w:p w14:paraId="6996C971">
                  <w:pPr>
                    <w:keepNext w:val="0"/>
                    <w:keepLines w:val="0"/>
                    <w:pageBreakBefore w:val="0"/>
                    <w:widowControl w:val="0"/>
                    <w:kinsoku/>
                    <w:wordWrap/>
                    <w:overflowPunct/>
                    <w:topLinePunct w:val="0"/>
                    <w:autoSpaceDE/>
                    <w:autoSpaceDN/>
                    <w:bidi w:val="0"/>
                    <w:adjustRightInd/>
                    <w:snapToGrid/>
                    <w:jc w:val="center"/>
                    <w:textAlignment w:val="auto"/>
                    <w:rPr>
                      <w:rFonts w:hint="eastAsia" w:eastAsia="宋体"/>
                      <w:color w:val="auto"/>
                      <w:szCs w:val="21"/>
                      <w:highlight w:val="none"/>
                      <w:lang w:val="en-US" w:eastAsia="zh-CN"/>
                    </w:rPr>
                  </w:pPr>
                </w:p>
              </w:tc>
              <w:tc>
                <w:tcPr>
                  <w:tcW w:w="908" w:type="pct"/>
                  <w:vMerge w:val="continue"/>
                  <w:tcBorders>
                    <w:tl2br w:val="nil"/>
                    <w:tr2bl w:val="nil"/>
                  </w:tcBorders>
                  <w:noWrap w:val="0"/>
                  <w:vAlign w:val="center"/>
                </w:tcPr>
                <w:p w14:paraId="378D9FB2">
                  <w:pPr>
                    <w:keepNext w:val="0"/>
                    <w:keepLines w:val="0"/>
                    <w:pageBreakBefore w:val="0"/>
                    <w:widowControl w:val="0"/>
                    <w:kinsoku/>
                    <w:wordWrap/>
                    <w:overflowPunct/>
                    <w:topLinePunct w:val="0"/>
                    <w:autoSpaceDE/>
                    <w:autoSpaceDN/>
                    <w:bidi w:val="0"/>
                    <w:adjustRightInd/>
                    <w:snapToGrid/>
                    <w:jc w:val="center"/>
                    <w:textAlignment w:val="auto"/>
                    <w:rPr>
                      <w:rFonts w:hint="eastAsia" w:eastAsia="宋体"/>
                      <w:color w:val="auto"/>
                      <w:szCs w:val="21"/>
                      <w:highlight w:val="none"/>
                      <w:lang w:val="en-US" w:eastAsia="zh-CN"/>
                    </w:rPr>
                  </w:pPr>
                </w:p>
              </w:tc>
            </w:tr>
            <w:tr w14:paraId="39DF25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 w:hRule="atLeast"/>
                <w:jc w:val="center"/>
              </w:trPr>
              <w:tc>
                <w:tcPr>
                  <w:tcW w:w="527" w:type="pct"/>
                  <w:tcBorders>
                    <w:tl2br w:val="nil"/>
                    <w:tr2bl w:val="nil"/>
                  </w:tcBorders>
                  <w:noWrap w:val="0"/>
                  <w:vAlign w:val="center"/>
                </w:tcPr>
                <w:p w14:paraId="7F9752A9">
                  <w:pPr>
                    <w:keepNext w:val="0"/>
                    <w:keepLines w:val="0"/>
                    <w:pageBreakBefore w:val="0"/>
                    <w:widowControl w:val="0"/>
                    <w:kinsoku/>
                    <w:wordWrap/>
                    <w:overflowPunct/>
                    <w:topLinePunct w:val="0"/>
                    <w:autoSpaceDE/>
                    <w:autoSpaceDN/>
                    <w:bidi w:val="0"/>
                    <w:adjustRightInd/>
                    <w:snapToGrid/>
                    <w:jc w:val="center"/>
                    <w:textAlignment w:val="auto"/>
                    <w:rPr>
                      <w:rFonts w:hint="default" w:eastAsia="宋体"/>
                      <w:color w:val="auto"/>
                      <w:szCs w:val="21"/>
                      <w:highlight w:val="none"/>
                      <w:lang w:val="en-US" w:eastAsia="zh-CN"/>
                    </w:rPr>
                  </w:pPr>
                  <w:r>
                    <w:rPr>
                      <w:rFonts w:hint="eastAsia" w:eastAsia="宋体"/>
                      <w:color w:val="auto"/>
                      <w:szCs w:val="21"/>
                      <w:highlight w:val="none"/>
                      <w:lang w:val="en-US" w:eastAsia="zh-CN"/>
                    </w:rPr>
                    <w:t>污水处理站</w:t>
                  </w:r>
                </w:p>
              </w:tc>
              <w:tc>
                <w:tcPr>
                  <w:tcW w:w="1075" w:type="pct"/>
                  <w:tcBorders>
                    <w:tl2br w:val="nil"/>
                    <w:tr2bl w:val="nil"/>
                  </w:tcBorders>
                  <w:noWrap w:val="0"/>
                  <w:vAlign w:val="center"/>
                </w:tcPr>
                <w:p w14:paraId="72908B04">
                  <w:pPr>
                    <w:keepNext w:val="0"/>
                    <w:keepLines w:val="0"/>
                    <w:pageBreakBefore w:val="0"/>
                    <w:widowControl w:val="0"/>
                    <w:kinsoku/>
                    <w:wordWrap/>
                    <w:overflowPunct/>
                    <w:topLinePunct w:val="0"/>
                    <w:autoSpaceDE/>
                    <w:autoSpaceDN/>
                    <w:bidi w:val="0"/>
                    <w:adjustRightInd/>
                    <w:snapToGrid/>
                    <w:jc w:val="center"/>
                    <w:textAlignment w:val="auto"/>
                    <w:rPr>
                      <w:rFonts w:hint="default" w:eastAsia="宋体"/>
                      <w:color w:val="auto"/>
                      <w:kern w:val="2"/>
                      <w:sz w:val="21"/>
                      <w:szCs w:val="21"/>
                      <w:highlight w:val="none"/>
                      <w:lang w:val="en-US" w:eastAsia="zh-CN" w:bidi="ar-SA"/>
                    </w:rPr>
                  </w:pPr>
                  <w:r>
                    <w:rPr>
                      <w:rFonts w:hint="eastAsia" w:eastAsia="宋体"/>
                      <w:color w:val="auto"/>
                      <w:szCs w:val="21"/>
                      <w:highlight w:val="none"/>
                      <w:lang w:val="en-US" w:eastAsia="zh-CN"/>
                    </w:rPr>
                    <w:t>综合废水</w:t>
                  </w:r>
                </w:p>
              </w:tc>
              <w:tc>
                <w:tcPr>
                  <w:tcW w:w="1407" w:type="pct"/>
                  <w:tcBorders>
                    <w:tl2br w:val="nil"/>
                    <w:tr2bl w:val="nil"/>
                  </w:tcBorders>
                  <w:noWrap w:val="0"/>
                  <w:vAlign w:val="center"/>
                </w:tcPr>
                <w:p w14:paraId="5E862D71">
                  <w:pPr>
                    <w:keepNext w:val="0"/>
                    <w:keepLines w:val="0"/>
                    <w:pageBreakBefore w:val="0"/>
                    <w:widowControl w:val="0"/>
                    <w:kinsoku/>
                    <w:wordWrap/>
                    <w:overflowPunct/>
                    <w:topLinePunct w:val="0"/>
                    <w:autoSpaceDE/>
                    <w:autoSpaceDN/>
                    <w:bidi w:val="0"/>
                    <w:adjustRightInd/>
                    <w:snapToGrid/>
                    <w:jc w:val="center"/>
                    <w:textAlignment w:val="auto"/>
                    <w:rPr>
                      <w:rFonts w:hint="default" w:eastAsia="宋体"/>
                      <w:color w:val="auto"/>
                      <w:kern w:val="2"/>
                      <w:sz w:val="21"/>
                      <w:szCs w:val="21"/>
                      <w:highlight w:val="none"/>
                      <w:lang w:val="en-US" w:eastAsia="zh-CN" w:bidi="ar-SA"/>
                    </w:rPr>
                  </w:pPr>
                  <w:r>
                    <w:rPr>
                      <w:rFonts w:hint="eastAsia" w:eastAsia="宋体"/>
                      <w:color w:val="auto"/>
                      <w:szCs w:val="21"/>
                      <w:highlight w:val="none"/>
                      <w:lang w:val="en-US" w:eastAsia="zh-CN"/>
                    </w:rPr>
                    <w:t>COD、粪大肠菌群</w:t>
                  </w:r>
                </w:p>
              </w:tc>
              <w:tc>
                <w:tcPr>
                  <w:tcW w:w="543" w:type="pct"/>
                  <w:vMerge w:val="continue"/>
                  <w:tcBorders>
                    <w:tl2br w:val="nil"/>
                    <w:tr2bl w:val="nil"/>
                  </w:tcBorders>
                  <w:noWrap w:val="0"/>
                  <w:vAlign w:val="center"/>
                </w:tcPr>
                <w:p w14:paraId="451BD523">
                  <w:pPr>
                    <w:keepNext w:val="0"/>
                    <w:keepLines w:val="0"/>
                    <w:pageBreakBefore w:val="0"/>
                    <w:widowControl w:val="0"/>
                    <w:kinsoku/>
                    <w:wordWrap/>
                    <w:overflowPunct/>
                    <w:topLinePunct w:val="0"/>
                    <w:autoSpaceDE/>
                    <w:autoSpaceDN/>
                    <w:bidi w:val="0"/>
                    <w:adjustRightInd/>
                    <w:snapToGrid/>
                    <w:jc w:val="center"/>
                    <w:textAlignment w:val="auto"/>
                    <w:rPr>
                      <w:rFonts w:hint="eastAsia" w:eastAsia="宋体"/>
                      <w:color w:val="auto"/>
                      <w:szCs w:val="21"/>
                      <w:highlight w:val="none"/>
                      <w:lang w:val="en-US" w:eastAsia="zh-CN"/>
                    </w:rPr>
                  </w:pPr>
                </w:p>
              </w:tc>
              <w:tc>
                <w:tcPr>
                  <w:tcW w:w="537" w:type="pct"/>
                  <w:vMerge w:val="continue"/>
                  <w:tcBorders>
                    <w:tl2br w:val="nil"/>
                    <w:tr2bl w:val="nil"/>
                  </w:tcBorders>
                  <w:noWrap w:val="0"/>
                  <w:vAlign w:val="center"/>
                </w:tcPr>
                <w:p w14:paraId="74BDFF3B">
                  <w:pPr>
                    <w:keepNext w:val="0"/>
                    <w:keepLines w:val="0"/>
                    <w:pageBreakBefore w:val="0"/>
                    <w:widowControl w:val="0"/>
                    <w:kinsoku/>
                    <w:wordWrap/>
                    <w:overflowPunct/>
                    <w:topLinePunct w:val="0"/>
                    <w:autoSpaceDE/>
                    <w:autoSpaceDN/>
                    <w:bidi w:val="0"/>
                    <w:adjustRightInd/>
                    <w:snapToGrid/>
                    <w:jc w:val="center"/>
                    <w:textAlignment w:val="auto"/>
                    <w:rPr>
                      <w:rFonts w:hint="eastAsia" w:eastAsia="宋体"/>
                      <w:color w:val="auto"/>
                      <w:szCs w:val="21"/>
                      <w:highlight w:val="none"/>
                      <w:lang w:val="en-US" w:eastAsia="zh-CN"/>
                    </w:rPr>
                  </w:pPr>
                </w:p>
              </w:tc>
              <w:tc>
                <w:tcPr>
                  <w:tcW w:w="908" w:type="pct"/>
                  <w:vMerge w:val="continue"/>
                  <w:tcBorders>
                    <w:tl2br w:val="nil"/>
                    <w:tr2bl w:val="nil"/>
                  </w:tcBorders>
                  <w:noWrap w:val="0"/>
                  <w:vAlign w:val="center"/>
                </w:tcPr>
                <w:p w14:paraId="0526A40F">
                  <w:pPr>
                    <w:keepNext w:val="0"/>
                    <w:keepLines w:val="0"/>
                    <w:pageBreakBefore w:val="0"/>
                    <w:widowControl w:val="0"/>
                    <w:kinsoku/>
                    <w:wordWrap/>
                    <w:overflowPunct/>
                    <w:topLinePunct w:val="0"/>
                    <w:autoSpaceDE/>
                    <w:autoSpaceDN/>
                    <w:bidi w:val="0"/>
                    <w:adjustRightInd/>
                    <w:snapToGrid/>
                    <w:jc w:val="center"/>
                    <w:textAlignment w:val="auto"/>
                    <w:rPr>
                      <w:rFonts w:hint="eastAsia" w:eastAsia="宋体"/>
                      <w:color w:val="auto"/>
                      <w:szCs w:val="21"/>
                      <w:highlight w:val="none"/>
                      <w:lang w:val="en-US" w:eastAsia="zh-CN"/>
                    </w:rPr>
                  </w:pPr>
                </w:p>
              </w:tc>
            </w:tr>
            <w:tr w14:paraId="2CFB2C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 w:hRule="atLeast"/>
                <w:jc w:val="center"/>
              </w:trPr>
              <w:tc>
                <w:tcPr>
                  <w:tcW w:w="527" w:type="pct"/>
                  <w:tcBorders>
                    <w:tl2br w:val="nil"/>
                    <w:tr2bl w:val="nil"/>
                  </w:tcBorders>
                  <w:noWrap w:val="0"/>
                  <w:vAlign w:val="center"/>
                </w:tcPr>
                <w:p w14:paraId="312A55D3">
                  <w:pPr>
                    <w:keepNext w:val="0"/>
                    <w:keepLines w:val="0"/>
                    <w:pageBreakBefore w:val="0"/>
                    <w:widowControl w:val="0"/>
                    <w:kinsoku/>
                    <w:wordWrap/>
                    <w:overflowPunct/>
                    <w:topLinePunct w:val="0"/>
                    <w:autoSpaceDE/>
                    <w:autoSpaceDN/>
                    <w:bidi w:val="0"/>
                    <w:adjustRightInd/>
                    <w:snapToGrid/>
                    <w:jc w:val="center"/>
                    <w:textAlignment w:val="auto"/>
                    <w:rPr>
                      <w:rFonts w:hint="eastAsia" w:eastAsia="宋体"/>
                      <w:color w:val="auto"/>
                      <w:szCs w:val="21"/>
                      <w:highlight w:val="none"/>
                      <w:lang w:val="en-US" w:eastAsia="zh-CN"/>
                    </w:rPr>
                  </w:pPr>
                  <w:r>
                    <w:rPr>
                      <w:rFonts w:hint="eastAsia" w:eastAsia="宋体"/>
                      <w:color w:val="auto"/>
                      <w:szCs w:val="21"/>
                      <w:highlight w:val="none"/>
                      <w:lang w:val="en-US" w:eastAsia="zh-CN"/>
                    </w:rPr>
                    <w:t>柴油储存间</w:t>
                  </w:r>
                </w:p>
              </w:tc>
              <w:tc>
                <w:tcPr>
                  <w:tcW w:w="1075" w:type="pct"/>
                  <w:tcBorders>
                    <w:tl2br w:val="nil"/>
                    <w:tr2bl w:val="nil"/>
                  </w:tcBorders>
                  <w:noWrap w:val="0"/>
                  <w:vAlign w:val="center"/>
                </w:tcPr>
                <w:p w14:paraId="594346E2">
                  <w:pPr>
                    <w:keepNext w:val="0"/>
                    <w:keepLines w:val="0"/>
                    <w:pageBreakBefore w:val="0"/>
                    <w:widowControl w:val="0"/>
                    <w:kinsoku/>
                    <w:wordWrap/>
                    <w:overflowPunct/>
                    <w:topLinePunct w:val="0"/>
                    <w:autoSpaceDE/>
                    <w:autoSpaceDN/>
                    <w:bidi w:val="0"/>
                    <w:adjustRightInd/>
                    <w:snapToGrid/>
                    <w:jc w:val="center"/>
                    <w:textAlignment w:val="auto"/>
                    <w:rPr>
                      <w:rFonts w:hint="eastAsia" w:eastAsia="宋体"/>
                      <w:color w:val="auto"/>
                      <w:szCs w:val="21"/>
                      <w:highlight w:val="none"/>
                      <w:lang w:val="en-US" w:eastAsia="zh-CN"/>
                    </w:rPr>
                  </w:pPr>
                  <w:r>
                    <w:rPr>
                      <w:rFonts w:hint="eastAsia" w:eastAsia="宋体"/>
                      <w:color w:val="auto"/>
                      <w:szCs w:val="21"/>
                      <w:highlight w:val="none"/>
                      <w:lang w:val="en-US" w:eastAsia="zh-CN"/>
                    </w:rPr>
                    <w:t>柴油</w:t>
                  </w:r>
                </w:p>
              </w:tc>
              <w:tc>
                <w:tcPr>
                  <w:tcW w:w="1407" w:type="pct"/>
                  <w:tcBorders>
                    <w:tl2br w:val="nil"/>
                    <w:tr2bl w:val="nil"/>
                  </w:tcBorders>
                  <w:noWrap w:val="0"/>
                  <w:vAlign w:val="center"/>
                </w:tcPr>
                <w:p w14:paraId="50B59C05">
                  <w:pPr>
                    <w:keepNext w:val="0"/>
                    <w:keepLines w:val="0"/>
                    <w:pageBreakBefore w:val="0"/>
                    <w:widowControl w:val="0"/>
                    <w:kinsoku/>
                    <w:wordWrap/>
                    <w:overflowPunct/>
                    <w:topLinePunct w:val="0"/>
                    <w:autoSpaceDE/>
                    <w:autoSpaceDN/>
                    <w:bidi w:val="0"/>
                    <w:adjustRightInd/>
                    <w:snapToGrid/>
                    <w:jc w:val="center"/>
                    <w:textAlignment w:val="auto"/>
                    <w:rPr>
                      <w:rFonts w:hint="eastAsia" w:eastAsia="宋体"/>
                      <w:color w:val="auto"/>
                      <w:szCs w:val="21"/>
                      <w:highlight w:val="none"/>
                      <w:lang w:val="en-US" w:eastAsia="zh-CN"/>
                    </w:rPr>
                  </w:pPr>
                  <w:r>
                    <w:rPr>
                      <w:rFonts w:hint="eastAsia" w:eastAsia="宋体"/>
                      <w:color w:val="auto"/>
                      <w:szCs w:val="21"/>
                      <w:highlight w:val="none"/>
                      <w:lang w:val="en-US" w:eastAsia="zh-CN"/>
                    </w:rPr>
                    <w:t>柴油</w:t>
                  </w:r>
                </w:p>
              </w:tc>
              <w:tc>
                <w:tcPr>
                  <w:tcW w:w="543" w:type="pct"/>
                  <w:vMerge w:val="continue"/>
                  <w:tcBorders>
                    <w:tl2br w:val="nil"/>
                    <w:tr2bl w:val="nil"/>
                  </w:tcBorders>
                  <w:noWrap w:val="0"/>
                  <w:vAlign w:val="center"/>
                </w:tcPr>
                <w:p w14:paraId="7FD183A6">
                  <w:pPr>
                    <w:keepNext w:val="0"/>
                    <w:keepLines w:val="0"/>
                    <w:pageBreakBefore w:val="0"/>
                    <w:widowControl w:val="0"/>
                    <w:kinsoku/>
                    <w:wordWrap/>
                    <w:overflowPunct/>
                    <w:topLinePunct w:val="0"/>
                    <w:autoSpaceDE/>
                    <w:autoSpaceDN/>
                    <w:bidi w:val="0"/>
                    <w:adjustRightInd/>
                    <w:snapToGrid/>
                    <w:jc w:val="center"/>
                    <w:textAlignment w:val="auto"/>
                    <w:rPr>
                      <w:rFonts w:hint="eastAsia" w:eastAsia="宋体"/>
                      <w:color w:val="auto"/>
                      <w:szCs w:val="21"/>
                      <w:highlight w:val="none"/>
                      <w:lang w:val="en-US" w:eastAsia="zh-CN"/>
                    </w:rPr>
                  </w:pPr>
                </w:p>
              </w:tc>
              <w:tc>
                <w:tcPr>
                  <w:tcW w:w="537" w:type="pct"/>
                  <w:vMerge w:val="continue"/>
                  <w:tcBorders>
                    <w:tl2br w:val="nil"/>
                    <w:tr2bl w:val="nil"/>
                  </w:tcBorders>
                  <w:noWrap w:val="0"/>
                  <w:vAlign w:val="center"/>
                </w:tcPr>
                <w:p w14:paraId="5B7B32D2">
                  <w:pPr>
                    <w:keepNext w:val="0"/>
                    <w:keepLines w:val="0"/>
                    <w:pageBreakBefore w:val="0"/>
                    <w:widowControl w:val="0"/>
                    <w:kinsoku/>
                    <w:wordWrap/>
                    <w:overflowPunct/>
                    <w:topLinePunct w:val="0"/>
                    <w:autoSpaceDE/>
                    <w:autoSpaceDN/>
                    <w:bidi w:val="0"/>
                    <w:adjustRightInd/>
                    <w:snapToGrid/>
                    <w:jc w:val="center"/>
                    <w:textAlignment w:val="auto"/>
                    <w:rPr>
                      <w:rFonts w:hint="eastAsia" w:eastAsia="宋体"/>
                      <w:color w:val="auto"/>
                      <w:szCs w:val="21"/>
                      <w:highlight w:val="none"/>
                      <w:lang w:val="en-US" w:eastAsia="zh-CN"/>
                    </w:rPr>
                  </w:pPr>
                </w:p>
              </w:tc>
              <w:tc>
                <w:tcPr>
                  <w:tcW w:w="908" w:type="pct"/>
                  <w:vMerge w:val="continue"/>
                  <w:tcBorders>
                    <w:tl2br w:val="nil"/>
                    <w:tr2bl w:val="nil"/>
                  </w:tcBorders>
                  <w:noWrap w:val="0"/>
                  <w:vAlign w:val="center"/>
                </w:tcPr>
                <w:p w14:paraId="624B9ECF">
                  <w:pPr>
                    <w:keepNext w:val="0"/>
                    <w:keepLines w:val="0"/>
                    <w:pageBreakBefore w:val="0"/>
                    <w:widowControl w:val="0"/>
                    <w:kinsoku/>
                    <w:wordWrap/>
                    <w:overflowPunct/>
                    <w:topLinePunct w:val="0"/>
                    <w:autoSpaceDE/>
                    <w:autoSpaceDN/>
                    <w:bidi w:val="0"/>
                    <w:adjustRightInd/>
                    <w:snapToGrid/>
                    <w:jc w:val="center"/>
                    <w:textAlignment w:val="auto"/>
                    <w:rPr>
                      <w:rFonts w:hint="eastAsia" w:eastAsia="宋体"/>
                      <w:color w:val="auto"/>
                      <w:szCs w:val="21"/>
                      <w:highlight w:val="none"/>
                      <w:lang w:val="en-US" w:eastAsia="zh-CN"/>
                    </w:rPr>
                  </w:pPr>
                </w:p>
              </w:tc>
            </w:tr>
          </w:tbl>
          <w:p w14:paraId="238BED5B">
            <w:pPr>
              <w:pStyle w:val="2"/>
              <w:rPr>
                <w:rFonts w:hint="default"/>
                <w:lang w:val="en-US" w:eastAsia="zh-CN"/>
              </w:rPr>
            </w:pPr>
          </w:p>
          <w:p w14:paraId="24C67710">
            <w:pPr>
              <w:spacing w:line="360" w:lineRule="auto"/>
              <w:ind w:left="567"/>
              <w:rPr>
                <w:rFonts w:hint="eastAsia"/>
                <w:b/>
                <w:bCs/>
                <w:sz w:val="24"/>
                <w:lang w:val="en-US" w:eastAsia="zh-CN"/>
              </w:rPr>
            </w:pPr>
            <w:r>
              <w:rPr>
                <w:rFonts w:hint="eastAsia"/>
                <w:b/>
                <w:bCs/>
                <w:sz w:val="24"/>
                <w:lang w:val="en-US" w:eastAsia="zh-CN"/>
              </w:rPr>
              <w:t>6.3环境风险分析</w:t>
            </w:r>
          </w:p>
          <w:p w14:paraId="0AF2CA8F">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b w:val="0"/>
                <w:bCs w:val="0"/>
                <w:color w:val="auto"/>
                <w:sz w:val="24"/>
                <w:highlight w:val="none"/>
                <w:lang w:val="en-US" w:eastAsia="zh-CN"/>
              </w:rPr>
            </w:pPr>
            <w:r>
              <w:rPr>
                <w:rFonts w:hint="eastAsia"/>
                <w:b w:val="0"/>
                <w:bCs w:val="0"/>
                <w:color w:val="auto"/>
                <w:sz w:val="24"/>
                <w:highlight w:val="none"/>
                <w:lang w:val="en-US" w:eastAsia="zh-CN"/>
              </w:rPr>
              <w:t>（1）危险废物风险事故分析</w:t>
            </w:r>
          </w:p>
          <w:p w14:paraId="576CA194">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b w:val="0"/>
                <w:bCs w:val="0"/>
                <w:color w:val="auto"/>
                <w:sz w:val="24"/>
                <w:highlight w:val="none"/>
                <w:lang w:val="en-US" w:eastAsia="zh-CN"/>
              </w:rPr>
            </w:pPr>
            <w:r>
              <w:rPr>
                <w:rFonts w:hint="eastAsia"/>
                <w:b w:val="0"/>
                <w:bCs w:val="0"/>
                <w:color w:val="auto"/>
                <w:sz w:val="24"/>
                <w:highlight w:val="none"/>
                <w:lang w:val="en-US" w:eastAsia="zh-CN"/>
              </w:rPr>
              <w:t>本项目医疗废物暂存于医疗废物暂存间内，栅渣、污泥暂存于危险废物暂存间内，储存量较少，发生泄漏量小，将暂存间做好防渗措施，危险废物采用专用包装物或容器发生破裂时危险废物可截留在室内，泄漏后物料难以入渗进入地下水和土壤中，在泄漏后通过及时处理可最大程度避免和减少对地下水和土壤的影响。</w:t>
            </w:r>
          </w:p>
          <w:p w14:paraId="681CC692">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b w:val="0"/>
                <w:bCs w:val="0"/>
                <w:color w:val="auto"/>
                <w:sz w:val="24"/>
                <w:highlight w:val="none"/>
                <w:lang w:val="en-US" w:eastAsia="zh-CN"/>
              </w:rPr>
            </w:pPr>
            <w:r>
              <w:rPr>
                <w:rFonts w:hint="eastAsia"/>
                <w:b w:val="0"/>
                <w:bCs w:val="0"/>
                <w:color w:val="auto"/>
                <w:sz w:val="24"/>
                <w:highlight w:val="none"/>
                <w:lang w:val="en-US" w:eastAsia="zh-CN"/>
              </w:rPr>
              <w:t>（2）物料泄漏风险事故分析</w:t>
            </w:r>
          </w:p>
          <w:p w14:paraId="38C49762">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b w:val="0"/>
                <w:bCs w:val="0"/>
                <w:color w:val="auto"/>
                <w:sz w:val="24"/>
                <w:highlight w:val="none"/>
                <w:lang w:val="en-US" w:eastAsia="zh-CN"/>
              </w:rPr>
            </w:pPr>
            <w:r>
              <w:rPr>
                <w:rFonts w:hint="eastAsia"/>
                <w:b w:val="0"/>
                <w:bCs w:val="0"/>
                <w:color w:val="auto"/>
                <w:sz w:val="24"/>
                <w:highlight w:val="none"/>
                <w:lang w:val="en-US" w:eastAsia="zh-CN"/>
              </w:rPr>
              <w:t>本项目药库暂存的酒精（乙醇）、柴油储存间存储的柴油、污水处理站收集的废水等因管理不当或违规操作导致泄漏对地下水、土壤产生污染，遇明火引起火灾，对大气、地下水、土壤产生影响，建立危险物品的管理制度和操作规程，大量泄漏的可能性很小。</w:t>
            </w:r>
          </w:p>
          <w:p w14:paraId="17AC825A">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b w:val="0"/>
                <w:bCs w:val="0"/>
                <w:color w:val="auto"/>
                <w:sz w:val="24"/>
                <w:highlight w:val="none"/>
                <w:lang w:val="en-US" w:eastAsia="zh-CN"/>
              </w:rPr>
            </w:pPr>
            <w:r>
              <w:rPr>
                <w:rFonts w:hint="eastAsia"/>
                <w:b w:val="0"/>
                <w:bCs w:val="0"/>
                <w:color w:val="auto"/>
                <w:sz w:val="24"/>
                <w:highlight w:val="none"/>
                <w:lang w:val="en-US" w:eastAsia="zh-CN"/>
              </w:rPr>
              <w:t>（3）医疗废水风险事故分析</w:t>
            </w:r>
          </w:p>
          <w:p w14:paraId="1ED4EC2F">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b w:val="0"/>
                <w:bCs w:val="0"/>
                <w:color w:val="auto"/>
                <w:sz w:val="24"/>
                <w:highlight w:val="none"/>
                <w:lang w:val="en-US" w:eastAsia="zh-CN"/>
              </w:rPr>
            </w:pPr>
            <w:r>
              <w:rPr>
                <w:rFonts w:hint="eastAsia"/>
                <w:b w:val="0"/>
                <w:bCs w:val="0"/>
                <w:color w:val="auto"/>
                <w:sz w:val="24"/>
                <w:highlight w:val="none"/>
                <w:lang w:val="en-US" w:eastAsia="zh-CN"/>
              </w:rPr>
              <w:t>医疗废水处理过程中的事故因素为操作不当或处理设施失灵，废水非正常排放。由于医院污水可能沾染病人的血、尿、便，或受到粪便、传染性细菌和病毒等病原性微生物污染，具有传染性，可能诱发疾病或造成伤害，危害人体健康并对环境有长远影响，进一步会对下游污水处理厂造成影响。</w:t>
            </w:r>
          </w:p>
          <w:p w14:paraId="13C62D34">
            <w:pPr>
              <w:spacing w:line="360" w:lineRule="auto"/>
              <w:ind w:left="567"/>
              <w:rPr>
                <w:rFonts w:hint="eastAsia"/>
                <w:b/>
                <w:bCs/>
                <w:sz w:val="24"/>
              </w:rPr>
            </w:pPr>
            <w:r>
              <w:rPr>
                <w:rFonts w:hint="eastAsia"/>
                <w:b/>
                <w:bCs/>
                <w:sz w:val="24"/>
              </w:rPr>
              <w:t>6.4环境风险防范措施</w:t>
            </w:r>
          </w:p>
          <w:p w14:paraId="1C1CEB74">
            <w:pPr>
              <w:pStyle w:val="8"/>
              <w:spacing w:line="360" w:lineRule="auto"/>
              <w:rPr>
                <w:rFonts w:hint="default" w:ascii="Times New Roman" w:hAnsi="Times New Roman" w:cs="Times New Roman"/>
                <w:sz w:val="24"/>
              </w:rPr>
            </w:pPr>
            <w:r>
              <w:rPr>
                <w:rFonts w:hint="default" w:ascii="Times New Roman" w:hAnsi="Times New Roman" w:cs="Times New Roman"/>
                <w:sz w:val="24"/>
              </w:rPr>
              <w:t>为使环境风险减小到最低限度，必须进行环境风险管理，制定完备、有效的环境风险防范措施，尽可能降低本项目环境风险事故发生的概率。</w:t>
            </w:r>
          </w:p>
          <w:p w14:paraId="62BB0510">
            <w:pPr>
              <w:pStyle w:val="8"/>
              <w:spacing w:line="360" w:lineRule="auto"/>
              <w:rPr>
                <w:rFonts w:hint="default" w:ascii="Times New Roman" w:hAnsi="Times New Roman" w:cs="Times New Roman"/>
                <w:sz w:val="24"/>
              </w:rPr>
            </w:pPr>
            <w:r>
              <w:rPr>
                <w:rFonts w:hint="default" w:ascii="Times New Roman" w:hAnsi="Times New Roman" w:cs="Times New Roman"/>
                <w:sz w:val="24"/>
              </w:rPr>
              <w:t>（1）原料风险防范措施</w:t>
            </w:r>
          </w:p>
          <w:p w14:paraId="7BFF681E">
            <w:pPr>
              <w:pStyle w:val="8"/>
              <w:spacing w:line="360" w:lineRule="auto"/>
              <w:rPr>
                <w:rFonts w:hint="default" w:ascii="Times New Roman" w:hAnsi="Times New Roman" w:cs="Times New Roman"/>
                <w:sz w:val="24"/>
              </w:rPr>
            </w:pPr>
            <w:r>
              <w:rPr>
                <w:rFonts w:hint="default" w:ascii="Times New Roman" w:hAnsi="Times New Roman" w:cs="Times New Roman"/>
                <w:sz w:val="24"/>
              </w:rPr>
              <w:t>酒精应贮存在阴凉、通风、干燥的库房内，不可与易燃品、酸类和还原剂等共存，远离热源、火种和可燃物质。装卸时要轻拿轻放，防止猛烈碰撞。</w:t>
            </w:r>
          </w:p>
          <w:p w14:paraId="2F374DEB">
            <w:pPr>
              <w:pStyle w:val="8"/>
              <w:spacing w:line="360" w:lineRule="auto"/>
              <w:rPr>
                <w:rFonts w:hint="default" w:ascii="Times New Roman" w:hAnsi="Times New Roman" w:cs="Times New Roman"/>
                <w:sz w:val="24"/>
              </w:rPr>
            </w:pPr>
            <w:r>
              <w:rPr>
                <w:rFonts w:hint="default" w:ascii="Times New Roman" w:hAnsi="Times New Roman" w:cs="Times New Roman"/>
                <w:sz w:val="24"/>
              </w:rPr>
              <w:t>对柴油进行限量储存，不得超量储存。为防止发电机柴油发生泄漏，柴油储油间地面</w:t>
            </w:r>
            <w:r>
              <w:rPr>
                <w:rFonts w:hint="eastAsia" w:ascii="Times New Roman" w:hAnsi="Times New Roman" w:cs="Times New Roman"/>
                <w:sz w:val="24"/>
                <w:lang w:eastAsia="zh-CN"/>
              </w:rPr>
              <w:t>做</w:t>
            </w:r>
            <w:r>
              <w:rPr>
                <w:rFonts w:hint="default" w:ascii="Times New Roman" w:hAnsi="Times New Roman" w:cs="Times New Roman"/>
                <w:sz w:val="24"/>
              </w:rPr>
              <w:t>防渗处理，四周设置围堰，围堰容量需满足柴油全部泄漏时的量。在发电机房和储油间安装火灾自动报警系统，通过消防控制室监控发电机房和储油间烟气、温度等信号，确保发电机房和储油间的消防安全。</w:t>
            </w:r>
          </w:p>
          <w:p w14:paraId="5E8BBA44">
            <w:pPr>
              <w:pStyle w:val="8"/>
              <w:spacing w:line="360" w:lineRule="auto"/>
              <w:rPr>
                <w:rFonts w:hint="default" w:ascii="Times New Roman" w:hAnsi="Times New Roman" w:cs="Times New Roman"/>
                <w:sz w:val="24"/>
              </w:rPr>
            </w:pPr>
            <w:r>
              <w:rPr>
                <w:rFonts w:hint="default" w:ascii="Times New Roman" w:hAnsi="Times New Roman" w:cs="Times New Roman"/>
                <w:sz w:val="24"/>
              </w:rPr>
              <w:t>发生火灾时，应采用水雾、干粉、泡沫或二氧化碳灭火器灭火。避免使用直流水灭火，直流水可能导致可燃性液体的飞溅，使火势扩散。消防人员须穿全身消防服，佩戴正压自给式呼吸器，在上风向灭火。尽可能将容器从火场移至空旷处。喷水保持火场容器冷却，直至灭火结束。收容泄漏物，避免污染环境。防止泄漏物进入下水道、地表水和地下水。</w:t>
            </w:r>
          </w:p>
          <w:p w14:paraId="038395B1">
            <w:pPr>
              <w:pStyle w:val="8"/>
              <w:spacing w:line="360" w:lineRule="auto"/>
              <w:rPr>
                <w:rFonts w:hint="default" w:ascii="Times New Roman" w:hAnsi="Times New Roman" w:cs="Times New Roman"/>
                <w:sz w:val="24"/>
              </w:rPr>
            </w:pPr>
            <w:r>
              <w:rPr>
                <w:rFonts w:hint="default" w:ascii="Times New Roman" w:hAnsi="Times New Roman" w:cs="Times New Roman"/>
                <w:sz w:val="24"/>
              </w:rPr>
              <w:t>（2）医疗废物在收集、贮存、运送过程中的风险防范措施</w:t>
            </w:r>
          </w:p>
          <w:p w14:paraId="3C13805F">
            <w:pPr>
              <w:pStyle w:val="8"/>
              <w:spacing w:line="360" w:lineRule="auto"/>
              <w:rPr>
                <w:rFonts w:hint="default" w:ascii="Times New Roman" w:hAnsi="Times New Roman" w:cs="Times New Roman"/>
                <w:sz w:val="24"/>
              </w:rPr>
            </w:pPr>
            <w:r>
              <w:rPr>
                <w:rFonts w:hint="default" w:ascii="Times New Roman" w:hAnsi="Times New Roman" w:cs="Times New Roman"/>
                <w:sz w:val="24"/>
              </w:rPr>
              <w:t>针对医疗危险废物的处理特点，按照《医疗卫生机构医疗废物管理办法》（中华人民共和国卫生部第36号）、《医疗废物管理条例</w:t>
            </w:r>
            <w:r>
              <w:rPr>
                <w:rFonts w:hint="eastAsia" w:ascii="Times New Roman" w:hAnsi="Times New Roman" w:cs="Times New Roman"/>
                <w:sz w:val="24"/>
                <w:lang w:eastAsia="zh-CN"/>
              </w:rPr>
              <w:t>》《</w:t>
            </w:r>
            <w:r>
              <w:rPr>
                <w:rFonts w:hint="default" w:ascii="Times New Roman" w:hAnsi="Times New Roman" w:cs="Times New Roman"/>
                <w:sz w:val="24"/>
              </w:rPr>
              <w:t>医疗废物集中处置技术规范（试行）</w:t>
            </w:r>
            <w:r>
              <w:rPr>
                <w:rFonts w:hint="eastAsia" w:ascii="Times New Roman" w:hAnsi="Times New Roman" w:cs="Times New Roman"/>
                <w:sz w:val="24"/>
                <w:lang w:eastAsia="zh-CN"/>
              </w:rPr>
              <w:t>》《</w:t>
            </w:r>
            <w:r>
              <w:rPr>
                <w:rFonts w:hint="default" w:ascii="Times New Roman" w:hAnsi="Times New Roman" w:cs="Times New Roman"/>
                <w:sz w:val="24"/>
              </w:rPr>
              <w:t>医疗废物专用包装物、容器标准和警示标识规范</w:t>
            </w:r>
            <w:r>
              <w:rPr>
                <w:rFonts w:hint="eastAsia" w:ascii="Times New Roman" w:hAnsi="Times New Roman" w:cs="Times New Roman"/>
                <w:sz w:val="24"/>
                <w:lang w:eastAsia="zh-CN"/>
              </w:rPr>
              <w:t>》《</w:t>
            </w:r>
            <w:r>
              <w:rPr>
                <w:rFonts w:hint="default" w:ascii="Times New Roman" w:hAnsi="Times New Roman" w:cs="Times New Roman"/>
                <w:sz w:val="24"/>
              </w:rPr>
              <w:t>医疗废物转运车技术要求（试行）》等相关规范，本项目拟采取如下防范措施：</w:t>
            </w:r>
          </w:p>
          <w:p w14:paraId="2AF39593">
            <w:pPr>
              <w:pStyle w:val="8"/>
              <w:spacing w:line="360" w:lineRule="auto"/>
              <w:rPr>
                <w:rFonts w:hint="default" w:ascii="Times New Roman" w:hAnsi="Times New Roman" w:cs="Times New Roman"/>
                <w:sz w:val="24"/>
              </w:rPr>
            </w:pPr>
            <w:r>
              <w:rPr>
                <w:rFonts w:hint="default" w:ascii="Times New Roman" w:hAnsi="Times New Roman" w:cs="Times New Roman"/>
                <w:sz w:val="24"/>
              </w:rPr>
              <w:t>1）分类收集医疗废物科学的分类是消除污染、无害化处置的保证，要采用专用容器，明确各类废物标识，分类包装、分类堆放。并本着及时、方便、安全、快捷的原则进行收集。</w:t>
            </w:r>
          </w:p>
          <w:p w14:paraId="6FCCD8C2">
            <w:pPr>
              <w:pStyle w:val="8"/>
              <w:spacing w:line="360" w:lineRule="auto"/>
              <w:rPr>
                <w:rFonts w:hint="default" w:ascii="Times New Roman" w:hAnsi="Times New Roman" w:cs="Times New Roman"/>
                <w:sz w:val="24"/>
              </w:rPr>
            </w:pPr>
            <w:r>
              <w:rPr>
                <w:rFonts w:hint="default" w:ascii="Times New Roman" w:hAnsi="Times New Roman" w:cs="Times New Roman"/>
                <w:sz w:val="24"/>
              </w:rPr>
              <w:t>①根据医疗废物的类别，将医疗废物分置于符合《医疗废物专用包装物、容器的标准和警示标识的规定》的包装物或者容器内；</w:t>
            </w:r>
          </w:p>
          <w:p w14:paraId="7FBCBF6E">
            <w:pPr>
              <w:pStyle w:val="8"/>
              <w:spacing w:line="360" w:lineRule="auto"/>
              <w:rPr>
                <w:rFonts w:hint="default" w:ascii="Times New Roman" w:hAnsi="Times New Roman" w:cs="Times New Roman"/>
                <w:sz w:val="24"/>
              </w:rPr>
            </w:pPr>
            <w:r>
              <w:rPr>
                <w:rFonts w:hint="default" w:ascii="Times New Roman" w:hAnsi="Times New Roman" w:cs="Times New Roman"/>
                <w:sz w:val="24"/>
              </w:rPr>
              <w:t>②在盛装医疗废物前，应当对医疗废物包装物或者容器进行认真检查，确保无破损、渗漏和其他缺陷；</w:t>
            </w:r>
          </w:p>
          <w:p w14:paraId="7354B134">
            <w:pPr>
              <w:pStyle w:val="8"/>
              <w:spacing w:line="360" w:lineRule="auto"/>
              <w:rPr>
                <w:rFonts w:hint="default" w:ascii="Times New Roman" w:hAnsi="Times New Roman" w:cs="Times New Roman"/>
                <w:sz w:val="24"/>
              </w:rPr>
            </w:pPr>
            <w:r>
              <w:rPr>
                <w:rFonts w:hint="default" w:ascii="Times New Roman" w:hAnsi="Times New Roman" w:cs="Times New Roman"/>
                <w:sz w:val="24"/>
              </w:rPr>
              <w:t>③感染性废物、损伤性废物、药物性废物及化学性废物不能混合收集。少量的药物性废物可以混入感染性废物，但应当在标签上注明；</w:t>
            </w:r>
          </w:p>
          <w:p w14:paraId="4E82FCFC">
            <w:pPr>
              <w:pStyle w:val="8"/>
              <w:spacing w:line="360" w:lineRule="auto"/>
              <w:rPr>
                <w:rFonts w:hint="default" w:ascii="Times New Roman" w:hAnsi="Times New Roman" w:cs="Times New Roman"/>
                <w:sz w:val="24"/>
              </w:rPr>
            </w:pPr>
            <w:r>
              <w:rPr>
                <w:rFonts w:hint="default" w:ascii="Times New Roman" w:hAnsi="Times New Roman" w:cs="Times New Roman"/>
                <w:sz w:val="24"/>
              </w:rPr>
              <w:t>④废弃的麻醉、精神、放射性、毒性等药品及其相关的废物的管理，依照有关法律、行政法规和国家有关规定、标准执行；</w:t>
            </w:r>
          </w:p>
          <w:p w14:paraId="051244CA">
            <w:pPr>
              <w:pStyle w:val="8"/>
              <w:spacing w:line="360" w:lineRule="auto"/>
              <w:rPr>
                <w:rFonts w:hint="default" w:ascii="Times New Roman" w:hAnsi="Times New Roman" w:cs="Times New Roman"/>
                <w:sz w:val="24"/>
              </w:rPr>
            </w:pPr>
            <w:r>
              <w:rPr>
                <w:rFonts w:hint="default" w:ascii="Times New Roman" w:hAnsi="Times New Roman" w:cs="Times New Roman"/>
                <w:sz w:val="24"/>
              </w:rPr>
              <w:t>⑤化学性废物中批量的废化学试剂、废消毒剂应当交由专门机构处置；</w:t>
            </w:r>
          </w:p>
          <w:p w14:paraId="5C060305">
            <w:pPr>
              <w:pStyle w:val="8"/>
              <w:spacing w:line="360" w:lineRule="auto"/>
              <w:rPr>
                <w:rFonts w:hint="default" w:ascii="Times New Roman" w:hAnsi="Times New Roman" w:cs="Times New Roman"/>
                <w:sz w:val="24"/>
              </w:rPr>
            </w:pPr>
            <w:r>
              <w:rPr>
                <w:rFonts w:hint="default" w:ascii="Times New Roman" w:hAnsi="Times New Roman" w:cs="Times New Roman"/>
                <w:sz w:val="24"/>
              </w:rPr>
              <w:t xml:space="preserve">⑥批量的含有汞的体温计、血压计等医疗器具报废时，应当交由专门机构处置； </w:t>
            </w:r>
          </w:p>
          <w:p w14:paraId="188543BB">
            <w:pPr>
              <w:pStyle w:val="8"/>
              <w:spacing w:line="360" w:lineRule="auto"/>
              <w:rPr>
                <w:rFonts w:hint="default" w:ascii="Times New Roman" w:hAnsi="Times New Roman" w:cs="Times New Roman"/>
                <w:sz w:val="24"/>
              </w:rPr>
            </w:pPr>
            <w:r>
              <w:rPr>
                <w:rFonts w:hint="default" w:ascii="Times New Roman" w:hAnsi="Times New Roman" w:cs="Times New Roman"/>
                <w:sz w:val="24"/>
              </w:rPr>
              <w:t>⑦放入包装物或容器内的感染性废物、损伤性废物不得取出；当盛装的医疗废物达到包装物或容器的3/4时，应当使用有效的封口方式，使包装或容器的封口紧实、严密；</w:t>
            </w:r>
          </w:p>
          <w:p w14:paraId="67CBF930">
            <w:pPr>
              <w:pStyle w:val="8"/>
              <w:spacing w:line="360" w:lineRule="auto"/>
              <w:rPr>
                <w:rFonts w:hint="default" w:ascii="Times New Roman" w:hAnsi="Times New Roman" w:cs="Times New Roman"/>
                <w:sz w:val="24"/>
              </w:rPr>
            </w:pPr>
            <w:r>
              <w:rPr>
                <w:rFonts w:hint="default" w:ascii="Times New Roman" w:hAnsi="Times New Roman" w:cs="Times New Roman"/>
                <w:sz w:val="24"/>
              </w:rPr>
              <w:t>⑧包装物或者容器的外表面被感染性废物污染时，应当对被污染处进行消毒处理或者增加一层包装；</w:t>
            </w:r>
          </w:p>
          <w:p w14:paraId="530A8D3B">
            <w:pPr>
              <w:pStyle w:val="8"/>
              <w:spacing w:line="360" w:lineRule="auto"/>
              <w:rPr>
                <w:rFonts w:hint="default" w:ascii="Times New Roman" w:hAnsi="Times New Roman" w:cs="Times New Roman"/>
                <w:sz w:val="24"/>
              </w:rPr>
            </w:pPr>
            <w:r>
              <w:rPr>
                <w:rFonts w:hint="default" w:ascii="Times New Roman" w:hAnsi="Times New Roman" w:cs="Times New Roman"/>
                <w:sz w:val="24"/>
              </w:rPr>
              <w:t>⑨盛装医疗废物的每个包装物、容器外表面应当有警示标识，在每个包装物、容器上应当系中文标签，中文标签的内容应当包括：医疗废物产生单位、产生日期、类别及需要的特别说明等；</w:t>
            </w:r>
          </w:p>
          <w:p w14:paraId="4BC51A13">
            <w:pPr>
              <w:pStyle w:val="8"/>
              <w:spacing w:line="360" w:lineRule="auto"/>
              <w:rPr>
                <w:rFonts w:hint="default" w:ascii="Times New Roman" w:hAnsi="Times New Roman" w:cs="Times New Roman"/>
                <w:sz w:val="24"/>
              </w:rPr>
            </w:pPr>
            <w:r>
              <w:rPr>
                <w:rFonts w:hint="default" w:ascii="Times New Roman" w:hAnsi="Times New Roman" w:cs="Times New Roman"/>
                <w:sz w:val="24"/>
              </w:rPr>
              <w:t>⑩对感染性废物必须采取安全、有效、经济的隔离和处理方法，操作感染性或任何有潜在危害的废物时，必须穿戴手套和防护服。对有多种成分的医学废料，应按危害等级较高者处理。</w:t>
            </w:r>
          </w:p>
          <w:p w14:paraId="7A1B7193">
            <w:pPr>
              <w:pStyle w:val="8"/>
              <w:spacing w:line="360" w:lineRule="auto"/>
              <w:rPr>
                <w:rFonts w:hint="default" w:ascii="Times New Roman" w:hAnsi="Times New Roman" w:cs="Times New Roman"/>
                <w:sz w:val="24"/>
              </w:rPr>
            </w:pPr>
            <w:r>
              <w:rPr>
                <w:rFonts w:hint="default" w:ascii="Times New Roman" w:hAnsi="Times New Roman" w:cs="Times New Roman"/>
                <w:sz w:val="24"/>
              </w:rPr>
              <w:t>⑪所有锐利物都必须单独存放，并统一按医学废物处理。收集锐利</w:t>
            </w:r>
            <w:r>
              <w:rPr>
                <w:rFonts w:hint="eastAsia" w:ascii="Times New Roman" w:hAnsi="Times New Roman" w:cs="Times New Roman"/>
                <w:sz w:val="24"/>
                <w:lang w:eastAsia="zh-CN"/>
              </w:rPr>
              <w:t>物体</w:t>
            </w:r>
            <w:r>
              <w:rPr>
                <w:rFonts w:hint="default" w:ascii="Times New Roman" w:hAnsi="Times New Roman" w:cs="Times New Roman"/>
                <w:sz w:val="24"/>
              </w:rPr>
              <w:t>包装容器必须使用硬质、防漏、防刺破材料。针或刀应保存在有明显标记、防泄漏、防刺破的容器内。</w:t>
            </w:r>
          </w:p>
          <w:p w14:paraId="547E3BF0">
            <w:pPr>
              <w:pStyle w:val="8"/>
              <w:spacing w:line="360" w:lineRule="auto"/>
              <w:rPr>
                <w:rFonts w:hint="default" w:ascii="Times New Roman" w:hAnsi="Times New Roman" w:cs="Times New Roman"/>
                <w:sz w:val="24"/>
              </w:rPr>
            </w:pPr>
            <w:r>
              <w:rPr>
                <w:rFonts w:hint="default" w:ascii="Times New Roman" w:hAnsi="Times New Roman" w:cs="Times New Roman"/>
                <w:sz w:val="24"/>
              </w:rPr>
              <w:t>有害化学废物不能与一般废物、无害化学废物相混合。有害化学废物在产生后应分别收集、运输、贮存和处理；必须混合时，应注意不兼容性。为保证有害废料在产生、</w:t>
            </w:r>
            <w:r>
              <w:rPr>
                <w:rFonts w:hint="eastAsia" w:ascii="Times New Roman" w:hAnsi="Times New Roman" w:cs="Times New Roman"/>
                <w:sz w:val="24"/>
                <w:lang w:eastAsia="zh-CN"/>
              </w:rPr>
              <w:t>堆积</w:t>
            </w:r>
            <w:r>
              <w:rPr>
                <w:rFonts w:hint="default" w:ascii="Times New Roman" w:hAnsi="Times New Roman" w:cs="Times New Roman"/>
                <w:sz w:val="24"/>
              </w:rPr>
              <w:t>和保存期不发生意外、泄漏、破损等，应采取必要的控制措施，如：通风措施、相对封闭及隔离系统、安全措施、防火措施和安全通道。在化学废料的产生、处理、堆集、保存期间，对其包装及标签要求如下：根据废物种类使用废物容器、使用有害废物的标签或标记，在任何时候都确保废物容器的密闭性，采用有皱的包装材料包装易碎的玻璃和塑料制品时，在包装中间同时加入吸附性材料。</w:t>
            </w:r>
          </w:p>
          <w:p w14:paraId="5FFDC001">
            <w:pPr>
              <w:pStyle w:val="8"/>
              <w:spacing w:line="360" w:lineRule="auto"/>
              <w:rPr>
                <w:rFonts w:hint="default" w:ascii="Times New Roman" w:hAnsi="Times New Roman" w:cs="Times New Roman"/>
                <w:sz w:val="24"/>
              </w:rPr>
            </w:pPr>
            <w:r>
              <w:rPr>
                <w:rFonts w:hint="default" w:ascii="Times New Roman" w:hAnsi="Times New Roman" w:cs="Times New Roman"/>
                <w:sz w:val="24"/>
              </w:rPr>
              <w:t>医疗卫生机构内医疗废物产生地点应当有医疗废物分类收集方法的示意图或者文字说明。</w:t>
            </w:r>
          </w:p>
          <w:p w14:paraId="0BCA842A">
            <w:pPr>
              <w:pStyle w:val="8"/>
              <w:spacing w:line="360" w:lineRule="auto"/>
              <w:rPr>
                <w:rFonts w:hint="default" w:ascii="Times New Roman" w:hAnsi="Times New Roman" w:cs="Times New Roman"/>
                <w:sz w:val="24"/>
              </w:rPr>
            </w:pPr>
            <w:r>
              <w:rPr>
                <w:rFonts w:hint="eastAsia" w:ascii="Times New Roman" w:hAnsi="Times New Roman" w:cs="Times New Roman"/>
                <w:sz w:val="24"/>
                <w:lang w:eastAsia="zh-CN"/>
              </w:rPr>
              <w:t>2</w:t>
            </w:r>
            <w:r>
              <w:rPr>
                <w:rFonts w:hint="default" w:ascii="Times New Roman" w:hAnsi="Times New Roman" w:cs="Times New Roman"/>
                <w:sz w:val="24"/>
              </w:rPr>
              <w:t>）医疗废物的运送</w:t>
            </w:r>
          </w:p>
          <w:p w14:paraId="01B76962">
            <w:pPr>
              <w:pStyle w:val="8"/>
              <w:spacing w:line="360" w:lineRule="auto"/>
              <w:rPr>
                <w:rFonts w:hint="default" w:ascii="Times New Roman" w:hAnsi="Times New Roman" w:cs="Times New Roman"/>
                <w:sz w:val="24"/>
              </w:rPr>
            </w:pPr>
            <w:r>
              <w:rPr>
                <w:rFonts w:hint="default" w:ascii="Times New Roman" w:hAnsi="Times New Roman" w:cs="Times New Roman"/>
                <w:sz w:val="24"/>
              </w:rPr>
              <w:t>医疗废物的运送采用危险废物转移联单管理。运送人员在接收医疗废物时，应外观检查医疗卫生机构是否按规定进行包装、标识，并盛装于周转箱内，不得打开包装袋取出医疗废物。对包装破损、包装外表污染或未盛装于周转箱内的医疗废物，医疗废物运送人员应当要求医疗卫生机构重新包装、标识，并盛装于周转箱内。拒不按规定对医疗废物进行包装的，运送人员有权拒绝运送，并向当地环保部门报告。医疗废物运送过程中应按以下要求管理：</w:t>
            </w:r>
          </w:p>
          <w:p w14:paraId="28147A00">
            <w:pPr>
              <w:pStyle w:val="8"/>
              <w:spacing w:line="360" w:lineRule="auto"/>
              <w:rPr>
                <w:rFonts w:hint="default" w:ascii="Times New Roman" w:hAnsi="Times New Roman" w:cs="Times New Roman"/>
                <w:sz w:val="24"/>
              </w:rPr>
            </w:pPr>
            <w:r>
              <w:rPr>
                <w:rFonts w:hint="default" w:ascii="Times New Roman" w:hAnsi="Times New Roman" w:cs="Times New Roman"/>
                <w:sz w:val="24"/>
              </w:rPr>
              <w:t>①运送人员每天从医疗废物产生地点将分类包装的医疗废物按照规定的时间和路线运送至内部指定的暂时贮存地点。医疗废物运输路线尽量避开人口密集区域和交通拥堵道路；</w:t>
            </w:r>
          </w:p>
          <w:p w14:paraId="194DE646">
            <w:pPr>
              <w:pStyle w:val="8"/>
              <w:spacing w:line="360" w:lineRule="auto"/>
              <w:rPr>
                <w:rFonts w:hint="default" w:ascii="Times New Roman" w:hAnsi="Times New Roman" w:cs="Times New Roman"/>
                <w:sz w:val="24"/>
              </w:rPr>
            </w:pPr>
            <w:r>
              <w:rPr>
                <w:rFonts w:hint="default" w:ascii="Times New Roman" w:hAnsi="Times New Roman" w:cs="Times New Roman"/>
                <w:sz w:val="24"/>
              </w:rPr>
              <w:t>②运送医疗废物应当使用防渗漏、防遗撒、无锐利边角、易于装卸和清洁的专用运送工具，医疗废物运送应当使用专用车辆。车辆厢体应与驾驶室分离并密闭；厢体应达到气密性要求，内壁光滑平整，易于清洗消毒；厢体材料防水、耐腐蚀；厢体底部防液体渗漏，并设清洗污水的排水收集装置；</w:t>
            </w:r>
          </w:p>
          <w:p w14:paraId="62780C23">
            <w:pPr>
              <w:pStyle w:val="8"/>
              <w:spacing w:line="360" w:lineRule="auto"/>
              <w:rPr>
                <w:rFonts w:hint="default" w:ascii="Times New Roman" w:hAnsi="Times New Roman" w:cs="Times New Roman"/>
                <w:sz w:val="24"/>
              </w:rPr>
            </w:pPr>
            <w:r>
              <w:rPr>
                <w:rFonts w:hint="default" w:ascii="Times New Roman" w:hAnsi="Times New Roman" w:cs="Times New Roman"/>
                <w:sz w:val="24"/>
              </w:rPr>
              <w:t>③经包装的医疗废物应盛放于可重复使用的专用周转箱（桶）或一次性专用包装容器内。专用周转箱（桶）或一次性专用包装容器应符合《医疗废物专用包装物、容器标准和警示标识规定》；</w:t>
            </w:r>
          </w:p>
          <w:p w14:paraId="6D8B70E0">
            <w:pPr>
              <w:pStyle w:val="8"/>
              <w:spacing w:line="360" w:lineRule="auto"/>
              <w:rPr>
                <w:rFonts w:hint="default" w:ascii="Times New Roman" w:hAnsi="Times New Roman" w:cs="Times New Roman"/>
                <w:sz w:val="24"/>
              </w:rPr>
            </w:pPr>
            <w:r>
              <w:rPr>
                <w:rFonts w:hint="default" w:ascii="Times New Roman" w:hAnsi="Times New Roman" w:cs="Times New Roman"/>
                <w:sz w:val="24"/>
              </w:rPr>
              <w:t>④医疗废物</w:t>
            </w:r>
            <w:r>
              <w:rPr>
                <w:rFonts w:hint="eastAsia" w:ascii="Times New Roman" w:hAnsi="Times New Roman" w:cs="Times New Roman"/>
                <w:sz w:val="24"/>
                <w:lang w:eastAsia="zh-CN"/>
              </w:rPr>
              <w:t>装卸</w:t>
            </w:r>
            <w:r>
              <w:rPr>
                <w:rFonts w:hint="default" w:ascii="Times New Roman" w:hAnsi="Times New Roman" w:cs="Times New Roman"/>
                <w:sz w:val="24"/>
              </w:rPr>
              <w:t>尽可能采用机械作业，将周转箱整齐地装入车内，尽量减少人工操作；如需手工操作应做好人员防护；</w:t>
            </w:r>
          </w:p>
          <w:p w14:paraId="4B14689F">
            <w:pPr>
              <w:pStyle w:val="8"/>
              <w:spacing w:line="360" w:lineRule="auto"/>
              <w:rPr>
                <w:rFonts w:hint="default" w:ascii="Times New Roman" w:hAnsi="Times New Roman" w:cs="Times New Roman"/>
                <w:sz w:val="24"/>
              </w:rPr>
            </w:pPr>
            <w:r>
              <w:rPr>
                <w:rFonts w:hint="default" w:ascii="Times New Roman" w:hAnsi="Times New Roman" w:cs="Times New Roman"/>
                <w:sz w:val="24"/>
              </w:rPr>
              <w:t>⑤医疗废物运送前，处置单位必须对每辆运送车的车况进行检查，确保车况良好后方可出车。运送车辆负责人应当检查每辆运送车是否配备；</w:t>
            </w:r>
          </w:p>
          <w:p w14:paraId="4E63A49B">
            <w:pPr>
              <w:pStyle w:val="8"/>
              <w:spacing w:line="360" w:lineRule="auto"/>
              <w:rPr>
                <w:rFonts w:hint="default" w:ascii="Times New Roman" w:hAnsi="Times New Roman" w:cs="Times New Roman"/>
                <w:sz w:val="24"/>
              </w:rPr>
            </w:pPr>
            <w:r>
              <w:rPr>
                <w:rFonts w:hint="default" w:ascii="Times New Roman" w:hAnsi="Times New Roman" w:cs="Times New Roman"/>
                <w:sz w:val="24"/>
              </w:rPr>
              <w:t>⑥运送人员在运送医疗废物时，应当防止造成包装物或容器破损和医疗废物的流失、泄漏和扩散，并防止医疗废物直接接触身体；</w:t>
            </w:r>
          </w:p>
          <w:p w14:paraId="3C274203">
            <w:pPr>
              <w:pStyle w:val="8"/>
              <w:spacing w:line="360" w:lineRule="auto"/>
              <w:rPr>
                <w:rFonts w:hint="default" w:ascii="Times New Roman" w:hAnsi="Times New Roman" w:cs="Times New Roman"/>
                <w:sz w:val="24"/>
              </w:rPr>
            </w:pPr>
            <w:r>
              <w:rPr>
                <w:rFonts w:hint="default" w:ascii="Times New Roman" w:hAnsi="Times New Roman" w:cs="Times New Roman"/>
                <w:sz w:val="24"/>
              </w:rPr>
              <w:t>⑦医疗废物运送车辆不得搭乘其他无关人员，不得装载或混装其他货物和动植物。车辆行驶时应锁闭车厢门，确保安全，不得丢失、遗撒和打开包装取出医疗废物；</w:t>
            </w:r>
          </w:p>
          <w:p w14:paraId="04D5A6D8">
            <w:pPr>
              <w:pStyle w:val="8"/>
              <w:spacing w:line="360" w:lineRule="auto"/>
              <w:rPr>
                <w:rFonts w:hint="default" w:ascii="Times New Roman" w:hAnsi="Times New Roman" w:cs="Times New Roman"/>
                <w:sz w:val="24"/>
              </w:rPr>
            </w:pPr>
            <w:r>
              <w:rPr>
                <w:rFonts w:hint="default" w:ascii="Times New Roman" w:hAnsi="Times New Roman" w:cs="Times New Roman"/>
                <w:sz w:val="24"/>
              </w:rPr>
              <w:t>⑧每天运送工作结束后，应当对运送工具及时进行清洁和消毒。</w:t>
            </w:r>
          </w:p>
          <w:p w14:paraId="56C3565E">
            <w:pPr>
              <w:pStyle w:val="8"/>
              <w:spacing w:line="360" w:lineRule="auto"/>
              <w:rPr>
                <w:rFonts w:hint="default" w:ascii="Times New Roman" w:hAnsi="Times New Roman" w:cs="Times New Roman"/>
                <w:sz w:val="24"/>
              </w:rPr>
            </w:pPr>
            <w:r>
              <w:rPr>
                <w:rFonts w:hint="default" w:ascii="Times New Roman" w:hAnsi="Times New Roman" w:cs="Times New Roman"/>
                <w:sz w:val="24"/>
              </w:rPr>
              <w:t>（3）</w:t>
            </w:r>
            <w:r>
              <w:rPr>
                <w:rFonts w:hint="eastAsia" w:ascii="Times New Roman" w:hAnsi="Times New Roman" w:cs="Times New Roman"/>
                <w:sz w:val="24"/>
                <w:lang w:eastAsia="zh-CN"/>
              </w:rPr>
              <w:t>致病性微生物</w:t>
            </w:r>
            <w:r>
              <w:rPr>
                <w:rFonts w:hint="default" w:ascii="Times New Roman" w:hAnsi="Times New Roman" w:cs="Times New Roman"/>
                <w:sz w:val="24"/>
              </w:rPr>
              <w:t>风险防范措施</w:t>
            </w:r>
          </w:p>
          <w:p w14:paraId="2FC80049">
            <w:pPr>
              <w:pStyle w:val="8"/>
              <w:spacing w:line="360" w:lineRule="auto"/>
              <w:rPr>
                <w:rFonts w:hint="default" w:ascii="Times New Roman" w:hAnsi="Times New Roman" w:cs="Times New Roman"/>
                <w:sz w:val="24"/>
              </w:rPr>
            </w:pPr>
            <w:r>
              <w:rPr>
                <w:rFonts w:hint="default" w:ascii="Times New Roman" w:hAnsi="Times New Roman" w:cs="Times New Roman"/>
                <w:sz w:val="24"/>
              </w:rPr>
              <w:t>平时</w:t>
            </w:r>
            <w:r>
              <w:rPr>
                <w:rFonts w:hint="eastAsia" w:ascii="Times New Roman" w:hAnsi="Times New Roman" w:cs="Times New Roman"/>
                <w:sz w:val="24"/>
                <w:lang w:eastAsia="zh-CN"/>
              </w:rPr>
              <w:t>医院</w:t>
            </w:r>
            <w:r>
              <w:rPr>
                <w:rFonts w:hint="default" w:ascii="Times New Roman" w:hAnsi="Times New Roman" w:cs="Times New Roman"/>
                <w:sz w:val="24"/>
              </w:rPr>
              <w:t>加强管理，定期对住院部进行消毒，同时，对住院病房产生的医疗废物进行及时清理，预防致病细菌的产生。</w:t>
            </w:r>
          </w:p>
          <w:p w14:paraId="6D969AEF">
            <w:pPr>
              <w:pStyle w:val="8"/>
              <w:spacing w:line="360" w:lineRule="auto"/>
              <w:rPr>
                <w:rFonts w:hint="default" w:ascii="Times New Roman" w:hAnsi="Times New Roman" w:cs="Times New Roman"/>
                <w:sz w:val="24"/>
              </w:rPr>
            </w:pPr>
            <w:r>
              <w:rPr>
                <w:rFonts w:hint="default" w:ascii="Times New Roman" w:hAnsi="Times New Roman" w:cs="Times New Roman"/>
                <w:sz w:val="24"/>
              </w:rPr>
              <w:t>（4）污水处理站废水事故外排</w:t>
            </w:r>
            <w:r>
              <w:rPr>
                <w:rFonts w:hint="eastAsia" w:ascii="Times New Roman" w:hAnsi="Times New Roman" w:cs="Times New Roman"/>
                <w:sz w:val="24"/>
                <w:lang w:eastAsia="zh-CN"/>
              </w:rPr>
              <w:t>及应急措施</w:t>
            </w:r>
          </w:p>
          <w:p w14:paraId="570C67EA">
            <w:pPr>
              <w:pStyle w:val="8"/>
              <w:spacing w:line="360" w:lineRule="auto"/>
              <w:rPr>
                <w:rFonts w:hint="default" w:ascii="Times New Roman" w:hAnsi="Times New Roman" w:cs="Times New Roman"/>
                <w:sz w:val="24"/>
              </w:rPr>
            </w:pPr>
            <w:r>
              <w:rPr>
                <w:rFonts w:hint="default" w:ascii="Times New Roman" w:hAnsi="Times New Roman" w:cs="Times New Roman"/>
                <w:sz w:val="24"/>
              </w:rPr>
              <w:t>污水处理站是医院对污水处理的最后屏障，为了确保其正常、不出现停止运行情况，防止环境风险的发生，应通过以下措施加强项目环境风险防范：</w:t>
            </w:r>
          </w:p>
          <w:p w14:paraId="6F25CD8A">
            <w:pPr>
              <w:pStyle w:val="8"/>
              <w:spacing w:line="360" w:lineRule="auto"/>
              <w:rPr>
                <w:rFonts w:hint="default" w:ascii="Times New Roman" w:hAnsi="Times New Roman" w:cs="Times New Roman"/>
                <w:sz w:val="24"/>
              </w:rPr>
            </w:pPr>
            <w:r>
              <w:rPr>
                <w:rFonts w:hint="default" w:ascii="Times New Roman" w:hAnsi="Times New Roman" w:cs="Times New Roman"/>
                <w:sz w:val="24"/>
              </w:rPr>
              <w:t>①选用优质机械电器、仪表等设备。关键设备一备一用，易损部件要有备用在出现事故时能及时更换；</w:t>
            </w:r>
          </w:p>
          <w:p w14:paraId="2791C69F">
            <w:pPr>
              <w:pStyle w:val="8"/>
              <w:spacing w:line="360" w:lineRule="auto"/>
              <w:rPr>
                <w:rFonts w:hint="default" w:ascii="Times New Roman" w:hAnsi="Times New Roman" w:cs="Times New Roman"/>
                <w:sz w:val="24"/>
              </w:rPr>
            </w:pPr>
            <w:r>
              <w:rPr>
                <w:rFonts w:hint="default" w:ascii="Times New Roman" w:hAnsi="Times New Roman" w:cs="Times New Roman"/>
                <w:sz w:val="24"/>
              </w:rPr>
              <w:t>②需对污水处理站提供双路电源和应急电源，保证污水处理站用电不间断，重要的设备需有备用；</w:t>
            </w:r>
          </w:p>
          <w:p w14:paraId="302E304F">
            <w:pPr>
              <w:pStyle w:val="8"/>
              <w:spacing w:line="360" w:lineRule="auto"/>
              <w:rPr>
                <w:rFonts w:hint="default" w:ascii="Times New Roman" w:hAnsi="Times New Roman" w:cs="Times New Roman"/>
                <w:sz w:val="24"/>
              </w:rPr>
            </w:pPr>
            <w:r>
              <w:rPr>
                <w:rFonts w:hint="default" w:ascii="Times New Roman" w:hAnsi="Times New Roman" w:cs="Times New Roman"/>
                <w:sz w:val="24"/>
              </w:rPr>
              <w:t>③加强医院污水收集管网维护及管理，防止因污水管网破损、堵漏等原因造成医疗废水外渗；</w:t>
            </w:r>
          </w:p>
          <w:p w14:paraId="79D6E226">
            <w:pPr>
              <w:pStyle w:val="8"/>
              <w:spacing w:line="360" w:lineRule="auto"/>
              <w:rPr>
                <w:rFonts w:hint="default" w:ascii="Times New Roman" w:hAnsi="Times New Roman" w:cs="Times New Roman"/>
                <w:sz w:val="24"/>
              </w:rPr>
            </w:pPr>
            <w:r>
              <w:rPr>
                <w:rFonts w:hint="default" w:ascii="Times New Roman" w:hAnsi="Times New Roman" w:cs="Times New Roman"/>
                <w:sz w:val="24"/>
              </w:rPr>
              <w:t>④污水处理站系统应采用防渗等级不低于10</w:t>
            </w:r>
            <w:r>
              <w:rPr>
                <w:rFonts w:hint="default" w:ascii="Times New Roman" w:hAnsi="Times New Roman" w:cs="Times New Roman"/>
                <w:sz w:val="24"/>
                <w:vertAlign w:val="superscript"/>
              </w:rPr>
              <w:t>-7</w:t>
            </w:r>
            <w:r>
              <w:rPr>
                <w:rFonts w:hint="default" w:ascii="Times New Roman" w:hAnsi="Times New Roman" w:cs="Times New Roman"/>
                <w:sz w:val="24"/>
              </w:rPr>
              <w:t>cm/s的防渗材料；</w:t>
            </w:r>
          </w:p>
          <w:p w14:paraId="5FCC6E84">
            <w:pPr>
              <w:pStyle w:val="8"/>
              <w:spacing w:line="360" w:lineRule="auto"/>
              <w:rPr>
                <w:rFonts w:hint="default" w:ascii="Times New Roman" w:hAnsi="Times New Roman" w:cs="Times New Roman"/>
                <w:sz w:val="24"/>
              </w:rPr>
            </w:pPr>
            <w:r>
              <w:rPr>
                <w:rFonts w:hint="default" w:ascii="Times New Roman" w:hAnsi="Times New Roman" w:cs="Times New Roman"/>
                <w:sz w:val="24"/>
              </w:rPr>
              <w:t>⑤由于紧急事故造成污水处理设施停止运行时，应立即报告当地生态环境主管部门；</w:t>
            </w:r>
          </w:p>
          <w:p w14:paraId="7DE4EB60">
            <w:pPr>
              <w:pStyle w:val="8"/>
              <w:spacing w:line="360" w:lineRule="auto"/>
              <w:rPr>
                <w:rFonts w:hint="default" w:ascii="Times New Roman" w:hAnsi="Times New Roman" w:cs="Times New Roman"/>
                <w:sz w:val="24"/>
              </w:rPr>
            </w:pPr>
            <w:r>
              <w:rPr>
                <w:rFonts w:hint="default" w:ascii="Times New Roman" w:hAnsi="Times New Roman" w:cs="Times New Roman"/>
                <w:sz w:val="24"/>
              </w:rPr>
              <w:t>⑥发生废水事故性排放时，立即通知医院内各用水部门，采取停止或减少用水的措施，以达到减少废水排放量的目的；</w:t>
            </w:r>
          </w:p>
          <w:p w14:paraId="6A51A881">
            <w:pPr>
              <w:pStyle w:val="8"/>
              <w:spacing w:line="360" w:lineRule="auto"/>
              <w:rPr>
                <w:rFonts w:hint="default" w:ascii="Times New Roman" w:hAnsi="Times New Roman" w:cs="Times New Roman"/>
                <w:sz w:val="24"/>
              </w:rPr>
            </w:pPr>
            <w:r>
              <w:rPr>
                <w:rFonts w:hint="default" w:ascii="Times New Roman" w:hAnsi="Times New Roman" w:cs="Times New Roman"/>
                <w:sz w:val="24"/>
              </w:rPr>
              <w:t>⑦加强对污水处理站设备的检查、维护，确保设备的正常运转。由于废水事故性排放主要是粪大肠菌群超标，因此要求医院在污水处理站的日常运行管理中，严格加强消毒处理，消毒剂必须足量，禁止出现不投或少投消毒剂的现象；</w:t>
            </w:r>
          </w:p>
          <w:p w14:paraId="14F91D44">
            <w:pPr>
              <w:pStyle w:val="8"/>
              <w:spacing w:line="360" w:lineRule="auto"/>
              <w:rPr>
                <w:rFonts w:hint="default" w:ascii="Times New Roman" w:hAnsi="Times New Roman" w:cs="Times New Roman"/>
                <w:sz w:val="24"/>
              </w:rPr>
            </w:pPr>
            <w:r>
              <w:rPr>
                <w:rFonts w:hint="default" w:ascii="Times New Roman" w:hAnsi="Times New Roman" w:cs="Times New Roman"/>
                <w:sz w:val="24"/>
              </w:rPr>
              <w:t>⑧制定风险事故的应急措施，明确事故发生时的应急、抢险操作制度。</w:t>
            </w:r>
          </w:p>
          <w:p w14:paraId="1318F7E7">
            <w:pPr>
              <w:pStyle w:val="8"/>
              <w:spacing w:line="360" w:lineRule="auto"/>
              <w:rPr>
                <w:rFonts w:hint="default" w:ascii="Times New Roman" w:hAnsi="Times New Roman" w:cs="Times New Roman"/>
                <w:sz w:val="24"/>
              </w:rPr>
            </w:pPr>
            <w:r>
              <w:rPr>
                <w:rFonts w:hint="default" w:ascii="Times New Roman" w:hAnsi="Times New Roman" w:cs="Times New Roman"/>
                <w:sz w:val="24"/>
              </w:rPr>
              <w:t>废水处理系统运行的环境管理要求如下：</w:t>
            </w:r>
          </w:p>
          <w:p w14:paraId="3367E07D">
            <w:pPr>
              <w:pStyle w:val="8"/>
              <w:spacing w:line="360" w:lineRule="auto"/>
              <w:rPr>
                <w:rFonts w:hint="default" w:ascii="Times New Roman" w:hAnsi="Times New Roman" w:cs="Times New Roman"/>
                <w:sz w:val="24"/>
              </w:rPr>
            </w:pPr>
            <w:r>
              <w:rPr>
                <w:rFonts w:hint="default" w:ascii="Times New Roman" w:hAnsi="Times New Roman" w:cs="Times New Roman"/>
                <w:sz w:val="24"/>
              </w:rPr>
              <w:t>①发生污水处理站事故时，立即通知医院内各用水科室，采取停止或减少用水的措施，减少污水处理站处理负荷；</w:t>
            </w:r>
          </w:p>
          <w:p w14:paraId="07231749">
            <w:pPr>
              <w:pStyle w:val="8"/>
              <w:spacing w:line="360" w:lineRule="auto"/>
              <w:rPr>
                <w:rFonts w:hint="default" w:ascii="Times New Roman" w:hAnsi="Times New Roman" w:cs="Times New Roman"/>
                <w:sz w:val="24"/>
              </w:rPr>
            </w:pPr>
            <w:r>
              <w:rPr>
                <w:rFonts w:hint="default" w:ascii="Times New Roman" w:hAnsi="Times New Roman" w:cs="Times New Roman"/>
                <w:sz w:val="24"/>
              </w:rPr>
              <w:t>②当污水处理站发生事故停运时，应立即关闭污水站废水排口，并将污水引入事故应急池中暂存，根据医院</w:t>
            </w:r>
            <w:r>
              <w:rPr>
                <w:rFonts w:hint="default" w:ascii="Times New Roman" w:hAnsi="Times New Roman" w:cs="Times New Roman"/>
                <w:color w:val="auto"/>
                <w:sz w:val="24"/>
              </w:rPr>
              <w:t>污水处理工程技术规范（HJ2029-2013）：医院污水处理工程应设置应急事故池，非传染病区医院污水处理工程的应急事故池不应小于日排放量的30%，污水处理站发生事故停运时，应将污水立即引入污水处理站事故池中暂存，并对污水处理站进行紧急抢修，若还不能达到目的，则需要立即停止用水。待其污水处理站恢复正常工作后，将该部分临时储存的污水经污水处理站处理达标后再外排进入市政污水管网。因此建议本项目设置</w:t>
            </w:r>
            <w:r>
              <w:rPr>
                <w:rFonts w:hint="eastAsia" w:ascii="Times New Roman" w:hAnsi="Times New Roman" w:cs="Times New Roman"/>
                <w:color w:val="auto"/>
                <w:sz w:val="24"/>
                <w:lang w:val="en-US" w:eastAsia="zh-CN"/>
              </w:rPr>
              <w:t>20</w:t>
            </w:r>
            <w:r>
              <w:rPr>
                <w:rFonts w:hint="default" w:ascii="Times New Roman" w:hAnsi="Times New Roman" w:cs="Times New Roman"/>
                <w:color w:val="auto"/>
                <w:sz w:val="24"/>
              </w:rPr>
              <w:t>m</w:t>
            </w:r>
            <w:r>
              <w:rPr>
                <w:rFonts w:hint="default" w:ascii="Times New Roman" w:hAnsi="Times New Roman" w:cs="Times New Roman"/>
                <w:color w:val="auto"/>
                <w:sz w:val="24"/>
                <w:vertAlign w:val="superscript"/>
              </w:rPr>
              <w:t>3</w:t>
            </w:r>
            <w:r>
              <w:rPr>
                <w:rFonts w:hint="default" w:ascii="Times New Roman" w:hAnsi="Times New Roman" w:cs="Times New Roman"/>
                <w:color w:val="auto"/>
                <w:sz w:val="24"/>
              </w:rPr>
              <w:t>应急事故池，严禁项目污水未经有效处理就直接外排</w:t>
            </w:r>
            <w:r>
              <w:rPr>
                <w:rFonts w:hint="default" w:ascii="Times New Roman" w:hAnsi="Times New Roman" w:cs="Times New Roman"/>
                <w:sz w:val="24"/>
              </w:rPr>
              <w:t>进入市政污水管网；</w:t>
            </w:r>
          </w:p>
          <w:p w14:paraId="24CD2EC3">
            <w:pPr>
              <w:pStyle w:val="8"/>
              <w:spacing w:line="360" w:lineRule="auto"/>
              <w:rPr>
                <w:rFonts w:hint="default" w:ascii="Times New Roman" w:hAnsi="Times New Roman" w:cs="Times New Roman"/>
                <w:sz w:val="24"/>
              </w:rPr>
            </w:pPr>
            <w:r>
              <w:rPr>
                <w:rFonts w:hint="default" w:ascii="Times New Roman" w:hAnsi="Times New Roman" w:cs="Times New Roman"/>
                <w:sz w:val="24"/>
              </w:rPr>
              <w:t>③污水处理站运行自动化，采用自动投药、数据记录、专人专岗等，发生故障时，及时停止向外排放废水；</w:t>
            </w:r>
          </w:p>
          <w:p w14:paraId="579E3E39">
            <w:pPr>
              <w:pStyle w:val="8"/>
              <w:spacing w:line="360" w:lineRule="auto"/>
              <w:rPr>
                <w:rFonts w:hint="default" w:ascii="Times New Roman" w:hAnsi="Times New Roman" w:cs="Times New Roman"/>
                <w:sz w:val="24"/>
              </w:rPr>
            </w:pPr>
            <w:r>
              <w:rPr>
                <w:rFonts w:hint="default" w:ascii="Times New Roman" w:hAnsi="Times New Roman" w:cs="Times New Roman"/>
                <w:sz w:val="24"/>
              </w:rPr>
              <w:t>④加强废气设施的日常检修和管理，避免事故性排放。</w:t>
            </w:r>
          </w:p>
          <w:p w14:paraId="1E18A5A2">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b w:val="0"/>
                <w:bCs w:val="0"/>
                <w:color w:val="auto"/>
                <w:sz w:val="24"/>
                <w:highlight w:val="none"/>
                <w:lang w:val="en-US" w:eastAsia="zh-CN"/>
              </w:rPr>
            </w:pPr>
            <w:r>
              <w:rPr>
                <w:rFonts w:hint="eastAsia"/>
                <w:b w:val="0"/>
                <w:bCs w:val="0"/>
                <w:color w:val="auto"/>
                <w:sz w:val="24"/>
                <w:highlight w:val="none"/>
                <w:lang w:val="en-US" w:eastAsia="zh-CN"/>
              </w:rPr>
              <w:t>6.5、应急预案</w:t>
            </w:r>
          </w:p>
          <w:p w14:paraId="3B13025B">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Times New Roman" w:hAnsi="Times New Roman" w:eastAsia="宋体" w:cs="Times New Roman"/>
                <w:color w:val="auto"/>
                <w:kern w:val="2"/>
                <w:sz w:val="24"/>
                <w:szCs w:val="24"/>
                <w:highlight w:val="none"/>
                <w:lang w:val="en-US" w:eastAsia="zh-CN" w:bidi="ar-SA"/>
              </w:rPr>
            </w:pPr>
            <w:r>
              <w:rPr>
                <w:color w:val="auto"/>
                <w:sz w:val="24"/>
                <w:szCs w:val="24"/>
                <w:highlight w:val="none"/>
              </w:rPr>
              <w:t>根据《突发环境事件应急管理办法》（环保部令</w:t>
            </w:r>
            <w:r>
              <w:rPr>
                <w:rFonts w:hint="eastAsia"/>
                <w:color w:val="auto"/>
                <w:sz w:val="24"/>
                <w:szCs w:val="24"/>
                <w:highlight w:val="none"/>
                <w:lang w:eastAsia="zh-CN"/>
              </w:rPr>
              <w:t>〔2015〕34号</w:t>
            </w:r>
            <w:r>
              <w:rPr>
                <w:color w:val="auto"/>
                <w:sz w:val="24"/>
                <w:szCs w:val="24"/>
                <w:highlight w:val="none"/>
              </w:rPr>
              <w:t>），为了防止风险物质泄漏、火灾等事故，项目应编制突发环境事件应急预案，且编制的《突发环境事件应急预案》需报环保管理部门备案</w:t>
            </w:r>
            <w:r>
              <w:rPr>
                <w:rFonts w:hint="eastAsia" w:ascii="Times New Roman" w:hAnsi="Times New Roman" w:eastAsia="宋体" w:cs="Times New Roman"/>
                <w:color w:val="auto"/>
                <w:kern w:val="2"/>
                <w:sz w:val="24"/>
                <w:szCs w:val="24"/>
                <w:highlight w:val="none"/>
                <w:lang w:val="en-US" w:eastAsia="zh-CN" w:bidi="ar-SA"/>
              </w:rPr>
              <w:t>。</w:t>
            </w:r>
          </w:p>
          <w:p w14:paraId="0A89DA6E">
            <w:pPr>
              <w:spacing w:line="360" w:lineRule="auto"/>
              <w:ind w:firstLine="482" w:firstLineChars="200"/>
              <w:rPr>
                <w:rFonts w:hint="eastAsia"/>
                <w:b/>
                <w:bCs/>
                <w:sz w:val="24"/>
              </w:rPr>
            </w:pPr>
            <w:r>
              <w:rPr>
                <w:rFonts w:hint="eastAsia"/>
                <w:b/>
                <w:bCs/>
                <w:sz w:val="24"/>
              </w:rPr>
              <w:t>7排污口规范化</w:t>
            </w:r>
          </w:p>
          <w:p w14:paraId="6CBFCB39">
            <w:pPr>
              <w:pStyle w:val="19"/>
              <w:spacing w:line="360" w:lineRule="auto"/>
              <w:ind w:firstLine="480" w:firstLineChars="200"/>
              <w:rPr>
                <w:rFonts w:hint="eastAsia" w:ascii="Times New Roman"/>
                <w:sz w:val="24"/>
                <w:szCs w:val="24"/>
              </w:rPr>
            </w:pPr>
            <w:r>
              <w:rPr>
                <w:rFonts w:ascii="Times New Roman"/>
                <w:sz w:val="24"/>
                <w:szCs w:val="24"/>
              </w:rPr>
              <w:t>根据《环境保护图形标志—排放口（源）》和</w:t>
            </w:r>
            <w:r>
              <w:rPr>
                <w:rFonts w:hint="eastAsia" w:ascii="Times New Roman"/>
                <w:sz w:val="24"/>
                <w:szCs w:val="24"/>
                <w:lang w:eastAsia="zh-CN"/>
              </w:rPr>
              <w:t>《排污口规范化整治要求（试行）》</w:t>
            </w:r>
            <w:r>
              <w:rPr>
                <w:rFonts w:ascii="Times New Roman"/>
                <w:sz w:val="24"/>
                <w:szCs w:val="24"/>
              </w:rPr>
              <w:t>的技术要求，项目得气排放口必须按照</w:t>
            </w:r>
            <w:r>
              <w:rPr>
                <w:rFonts w:hint="eastAsia" w:ascii="Times New Roman"/>
                <w:sz w:val="24"/>
                <w:szCs w:val="24"/>
                <w:lang w:eastAsia="zh-CN"/>
              </w:rPr>
              <w:t>“</w:t>
            </w:r>
            <w:r>
              <w:rPr>
                <w:rFonts w:ascii="Times New Roman"/>
                <w:sz w:val="24"/>
                <w:szCs w:val="24"/>
              </w:rPr>
              <w:t>便于采样、便于计量检测、便于日常监督检查</w:t>
            </w:r>
            <w:r>
              <w:rPr>
                <w:rFonts w:hint="eastAsia" w:ascii="Times New Roman"/>
                <w:sz w:val="24"/>
                <w:szCs w:val="24"/>
                <w:lang w:eastAsia="zh-CN"/>
              </w:rPr>
              <w:t>”</w:t>
            </w:r>
            <w:r>
              <w:rPr>
                <w:rFonts w:ascii="Times New Roman"/>
                <w:sz w:val="24"/>
                <w:szCs w:val="24"/>
              </w:rPr>
              <w:t>的原则来规范化要求，设置相应的环境保护图形标志</w:t>
            </w:r>
            <w:r>
              <w:rPr>
                <w:rFonts w:hint="eastAsia" w:ascii="Times New Roman"/>
                <w:sz w:val="24"/>
                <w:szCs w:val="24"/>
              </w:rPr>
              <w:t>。</w:t>
            </w:r>
          </w:p>
          <w:p w14:paraId="098096DB">
            <w:pPr>
              <w:pStyle w:val="19"/>
              <w:spacing w:line="360" w:lineRule="auto"/>
              <w:ind w:firstLine="480" w:firstLineChars="200"/>
              <w:rPr>
                <w:rFonts w:hint="eastAsia" w:ascii="Times New Roman"/>
                <w:sz w:val="24"/>
                <w:szCs w:val="24"/>
              </w:rPr>
            </w:pPr>
            <w:r>
              <w:rPr>
                <w:rFonts w:hint="eastAsia" w:ascii="Times New Roman"/>
                <w:sz w:val="24"/>
                <w:szCs w:val="24"/>
              </w:rPr>
              <w:t>按照《排污口规范化整治技术要求（试行）</w:t>
            </w:r>
            <w:r>
              <w:rPr>
                <w:rFonts w:hint="eastAsia" w:ascii="Times New Roman"/>
                <w:sz w:val="24"/>
                <w:szCs w:val="24"/>
                <w:lang w:eastAsia="zh-CN"/>
              </w:rPr>
              <w:t>》《</w:t>
            </w:r>
            <w:r>
              <w:rPr>
                <w:rFonts w:hint="eastAsia" w:ascii="Times New Roman"/>
                <w:sz w:val="24"/>
                <w:szCs w:val="24"/>
              </w:rPr>
              <w:t>关于开展排放口规范化整治工作的通知》等文件中有关规定设置与管理废气、废水排放口。</w:t>
            </w:r>
          </w:p>
          <w:p w14:paraId="5EDA2AE4">
            <w:pPr>
              <w:pStyle w:val="19"/>
              <w:spacing w:line="360" w:lineRule="auto"/>
              <w:ind w:firstLine="480" w:firstLineChars="200"/>
              <w:rPr>
                <w:rFonts w:hint="eastAsia" w:ascii="Times New Roman"/>
                <w:sz w:val="24"/>
                <w:szCs w:val="24"/>
              </w:rPr>
            </w:pPr>
            <w:r>
              <w:rPr>
                <w:rFonts w:hint="eastAsia" w:ascii="Times New Roman"/>
                <w:sz w:val="24"/>
                <w:szCs w:val="24"/>
              </w:rPr>
              <w:t>（1）废气排气筒高度应符合国家大气污染物排放标准的有关规定，应安装采样监测平台，并设置永久采样孔。监测采样孔附近地面醒目处设置环保图形标志牌，标明排气筒高度、出口</w:t>
            </w:r>
            <w:r>
              <w:rPr>
                <w:rFonts w:hint="eastAsia" w:ascii="Times New Roman"/>
                <w:sz w:val="24"/>
                <w:szCs w:val="24"/>
                <w:lang w:eastAsia="zh-CN"/>
              </w:rPr>
              <w:t>内径</w:t>
            </w:r>
            <w:r>
              <w:rPr>
                <w:rFonts w:hint="eastAsia" w:ascii="Times New Roman"/>
                <w:sz w:val="24"/>
                <w:szCs w:val="24"/>
              </w:rPr>
              <w:t>、排放污染物种类等。</w:t>
            </w:r>
          </w:p>
          <w:p w14:paraId="4B3A11E8">
            <w:pPr>
              <w:pStyle w:val="19"/>
              <w:spacing w:line="360" w:lineRule="auto"/>
              <w:ind w:firstLine="480" w:firstLineChars="200"/>
              <w:rPr>
                <w:rFonts w:hint="eastAsia" w:ascii="Times New Roman"/>
                <w:sz w:val="24"/>
                <w:szCs w:val="24"/>
              </w:rPr>
            </w:pPr>
            <w:r>
              <w:rPr>
                <w:rFonts w:hint="eastAsia" w:ascii="Times New Roman"/>
                <w:sz w:val="24"/>
                <w:szCs w:val="24"/>
              </w:rPr>
              <w:t>（2）厂区的排水体制必须实施雨污分流制。</w:t>
            </w:r>
          </w:p>
          <w:p w14:paraId="249EF9B9">
            <w:pPr>
              <w:pStyle w:val="19"/>
              <w:spacing w:line="360" w:lineRule="auto"/>
              <w:ind w:firstLine="480" w:firstLineChars="200"/>
              <w:rPr>
                <w:rFonts w:hint="eastAsia" w:ascii="Times New Roman"/>
                <w:sz w:val="24"/>
                <w:szCs w:val="24"/>
              </w:rPr>
            </w:pPr>
            <w:r>
              <w:rPr>
                <w:rFonts w:hint="eastAsia" w:ascii="Times New Roman"/>
                <w:sz w:val="24"/>
                <w:szCs w:val="24"/>
              </w:rPr>
              <w:t>（3）按规定对固定噪声进行治理</w:t>
            </w:r>
            <w:r>
              <w:rPr>
                <w:rFonts w:hint="eastAsia" w:ascii="Times New Roman"/>
                <w:sz w:val="24"/>
                <w:szCs w:val="24"/>
                <w:lang w:eastAsia="zh-CN"/>
              </w:rPr>
              <w:t>，在</w:t>
            </w:r>
            <w:r>
              <w:rPr>
                <w:rFonts w:hint="eastAsia" w:ascii="Times New Roman"/>
                <w:sz w:val="24"/>
                <w:szCs w:val="24"/>
              </w:rPr>
              <w:t>噪声设备附近醒目处设置环保图形标志牌。</w:t>
            </w:r>
          </w:p>
          <w:p w14:paraId="6657B44D">
            <w:pPr>
              <w:pStyle w:val="19"/>
              <w:spacing w:line="360" w:lineRule="auto"/>
              <w:ind w:firstLine="480" w:firstLineChars="200"/>
              <w:rPr>
                <w:rFonts w:hint="eastAsia" w:ascii="Times New Roman"/>
                <w:sz w:val="24"/>
                <w:szCs w:val="24"/>
              </w:rPr>
            </w:pPr>
            <w:r>
              <w:rPr>
                <w:rFonts w:hint="eastAsia" w:ascii="Times New Roman"/>
                <w:sz w:val="24"/>
                <w:szCs w:val="24"/>
              </w:rPr>
              <w:t xml:space="preserve">（4）固体废物暂存期间应按固废相关规定加强管理，存放场所严格按照 </w:t>
            </w:r>
            <w:r>
              <w:rPr>
                <w:sz w:val="24"/>
              </w:rPr>
              <w:t>《一般工业固体废物贮存和填埋污染控</w:t>
            </w:r>
            <w:r>
              <w:rPr>
                <w:rFonts w:ascii="Times New Roman"/>
                <w:sz w:val="24"/>
              </w:rPr>
              <w:t>制标准》（GB18599-2020）</w:t>
            </w:r>
            <w:r>
              <w:rPr>
                <w:rFonts w:hint="eastAsia" w:ascii="Times New Roman"/>
                <w:sz w:val="24"/>
                <w:szCs w:val="24"/>
              </w:rPr>
              <w:t>标准要求设计、施工及运行</w:t>
            </w:r>
            <w:r>
              <w:rPr>
                <w:rFonts w:hint="eastAsia" w:ascii="Times New Roman"/>
                <w:sz w:val="24"/>
                <w:szCs w:val="24"/>
                <w:lang w:eastAsia="zh-CN"/>
              </w:rPr>
              <w:t>，在</w:t>
            </w:r>
            <w:r>
              <w:rPr>
                <w:rFonts w:hint="eastAsia" w:ascii="Times New Roman"/>
                <w:sz w:val="24"/>
                <w:szCs w:val="24"/>
              </w:rPr>
              <w:t>存放场所边界和进出口位置设置环保标志牌。</w:t>
            </w:r>
          </w:p>
          <w:p w14:paraId="17B3AB94">
            <w:pPr>
              <w:pStyle w:val="19"/>
              <w:spacing w:line="360" w:lineRule="auto"/>
              <w:ind w:firstLine="480" w:firstLineChars="200"/>
              <w:rPr>
                <w:rFonts w:hint="eastAsia" w:ascii="Times New Roman"/>
                <w:sz w:val="24"/>
                <w:szCs w:val="24"/>
              </w:rPr>
            </w:pPr>
            <w:r>
              <w:rPr>
                <w:rFonts w:hint="eastAsia" w:ascii="Times New Roman"/>
                <w:sz w:val="24"/>
                <w:szCs w:val="24"/>
              </w:rPr>
              <w:t>（5）项目建设单位应对上述所有污染排放口的名称、位置、数量，以及排放污染物名称、数量等内容进行统计，以便进行验收和排放口的规范化管理。</w:t>
            </w:r>
          </w:p>
          <w:p w14:paraId="542E41B2">
            <w:pPr>
              <w:pStyle w:val="19"/>
              <w:spacing w:line="360" w:lineRule="auto"/>
              <w:ind w:firstLine="480" w:firstLineChars="200"/>
              <w:rPr>
                <w:rFonts w:hint="eastAsia" w:ascii="Times New Roman"/>
                <w:sz w:val="24"/>
                <w:szCs w:val="24"/>
              </w:rPr>
            </w:pPr>
            <w:r>
              <w:rPr>
                <w:rFonts w:hint="eastAsia" w:ascii="Times New Roman"/>
                <w:sz w:val="24"/>
                <w:szCs w:val="24"/>
              </w:rPr>
              <w:t>（6）排污口的有关设置（如图形标志牌、计量装置、监控装置等）</w:t>
            </w:r>
            <w:r>
              <w:rPr>
                <w:rFonts w:hint="eastAsia" w:ascii="Times New Roman"/>
                <w:sz w:val="24"/>
                <w:szCs w:val="24"/>
                <w:lang w:eastAsia="zh-CN"/>
              </w:rPr>
              <w:t>属于</w:t>
            </w:r>
            <w:r>
              <w:rPr>
                <w:rFonts w:hint="eastAsia" w:ascii="Times New Roman"/>
                <w:sz w:val="24"/>
                <w:szCs w:val="24"/>
              </w:rPr>
              <w:t>环保设施，排污单位必须负责日常的维护保养，任何单位和个人不得擅自拆除，如需要变更的须报当地环境监理部门同意并办理变更手续。</w:t>
            </w:r>
          </w:p>
          <w:p w14:paraId="710D04C3">
            <w:pPr>
              <w:pStyle w:val="19"/>
              <w:spacing w:line="360" w:lineRule="auto"/>
              <w:ind w:firstLine="480" w:firstLineChars="200"/>
              <w:rPr>
                <w:rFonts w:hint="eastAsia" w:ascii="Times New Roman"/>
                <w:sz w:val="24"/>
                <w:szCs w:val="24"/>
              </w:rPr>
            </w:pPr>
            <w:r>
              <w:rPr>
                <w:rFonts w:hint="eastAsia" w:ascii="Times New Roman"/>
                <w:sz w:val="24"/>
                <w:szCs w:val="24"/>
              </w:rPr>
              <w:t>（7）废气排放口、废水排放口和噪声排放源、固体废物贮存（处置）场图形符号分别为提示图形符号和警告图形符号两种，图形符号的设置按 GB15562.1-1995、GB15562.2-1995 执行。</w:t>
            </w:r>
          </w:p>
          <w:p w14:paraId="6F2A04FF">
            <w:pPr>
              <w:pStyle w:val="19"/>
              <w:spacing w:line="240" w:lineRule="auto"/>
              <w:ind w:firstLine="422" w:firstLineChars="200"/>
              <w:jc w:val="center"/>
              <w:rPr>
                <w:rFonts w:hint="eastAsia" w:ascii="Times New Roman"/>
                <w:b/>
                <w:bCs/>
                <w:sz w:val="21"/>
                <w:szCs w:val="21"/>
              </w:rPr>
            </w:pPr>
            <w:r>
              <w:rPr>
                <w:rFonts w:hint="eastAsia" w:ascii="Times New Roman"/>
                <w:b/>
                <w:bCs/>
                <w:sz w:val="21"/>
                <w:szCs w:val="21"/>
              </w:rPr>
              <w:t>表4-</w:t>
            </w:r>
            <w:r>
              <w:rPr>
                <w:rFonts w:hint="eastAsia" w:ascii="Times New Roman"/>
                <w:b/>
                <w:bCs/>
                <w:sz w:val="21"/>
                <w:szCs w:val="21"/>
                <w:lang w:val="en-US" w:eastAsia="zh-CN"/>
              </w:rPr>
              <w:t>23</w:t>
            </w:r>
            <w:r>
              <w:rPr>
                <w:rFonts w:hint="eastAsia" w:ascii="Times New Roman"/>
                <w:b/>
                <w:bCs/>
                <w:sz w:val="21"/>
                <w:szCs w:val="21"/>
              </w:rPr>
              <w:t xml:space="preserve"> 环境保护图形标志的形状及颜色表</w:t>
            </w:r>
          </w:p>
          <w:tbl>
            <w:tblPr>
              <w:tblStyle w:val="14"/>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50"/>
              <w:gridCol w:w="2050"/>
              <w:gridCol w:w="2051"/>
              <w:gridCol w:w="2051"/>
            </w:tblGrid>
            <w:tr w14:paraId="3ED6DD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9" w:type="pct"/>
                  <w:noWrap w:val="0"/>
                  <w:vAlign w:val="top"/>
                </w:tcPr>
                <w:p w14:paraId="6A493BC9">
                  <w:pPr>
                    <w:pStyle w:val="19"/>
                    <w:spacing w:line="240" w:lineRule="auto"/>
                    <w:ind w:firstLine="0"/>
                    <w:jc w:val="center"/>
                    <w:rPr>
                      <w:rFonts w:ascii="Times New Roman"/>
                      <w:sz w:val="21"/>
                      <w:szCs w:val="21"/>
                    </w:rPr>
                  </w:pPr>
                  <w:r>
                    <w:rPr>
                      <w:rFonts w:hint="eastAsia" w:ascii="Times New Roman"/>
                      <w:sz w:val="21"/>
                      <w:szCs w:val="21"/>
                    </w:rPr>
                    <w:t>标志名称</w:t>
                  </w:r>
                </w:p>
              </w:tc>
              <w:tc>
                <w:tcPr>
                  <w:tcW w:w="1249" w:type="pct"/>
                  <w:noWrap w:val="0"/>
                  <w:vAlign w:val="top"/>
                </w:tcPr>
                <w:p w14:paraId="19CC8E6C">
                  <w:pPr>
                    <w:pStyle w:val="19"/>
                    <w:spacing w:line="240" w:lineRule="auto"/>
                    <w:ind w:firstLine="0"/>
                    <w:jc w:val="center"/>
                    <w:rPr>
                      <w:rFonts w:ascii="Times New Roman"/>
                      <w:sz w:val="21"/>
                      <w:szCs w:val="21"/>
                    </w:rPr>
                  </w:pPr>
                  <w:r>
                    <w:rPr>
                      <w:rFonts w:hint="eastAsia" w:ascii="Times New Roman"/>
                      <w:sz w:val="21"/>
                      <w:szCs w:val="21"/>
                    </w:rPr>
                    <w:t>形状</w:t>
                  </w:r>
                </w:p>
              </w:tc>
              <w:tc>
                <w:tcPr>
                  <w:tcW w:w="1250" w:type="pct"/>
                  <w:noWrap w:val="0"/>
                  <w:vAlign w:val="top"/>
                </w:tcPr>
                <w:p w14:paraId="6F49FDB0">
                  <w:pPr>
                    <w:pStyle w:val="19"/>
                    <w:spacing w:line="240" w:lineRule="auto"/>
                    <w:ind w:firstLine="0"/>
                    <w:jc w:val="center"/>
                    <w:rPr>
                      <w:rFonts w:ascii="Times New Roman"/>
                      <w:sz w:val="21"/>
                      <w:szCs w:val="21"/>
                    </w:rPr>
                  </w:pPr>
                  <w:r>
                    <w:rPr>
                      <w:rFonts w:hint="eastAsia" w:ascii="Times New Roman"/>
                      <w:sz w:val="21"/>
                      <w:szCs w:val="21"/>
                    </w:rPr>
                    <w:t>背景颜色</w:t>
                  </w:r>
                </w:p>
              </w:tc>
              <w:tc>
                <w:tcPr>
                  <w:tcW w:w="1250" w:type="pct"/>
                  <w:noWrap w:val="0"/>
                  <w:vAlign w:val="top"/>
                </w:tcPr>
                <w:p w14:paraId="220AB54C">
                  <w:pPr>
                    <w:pStyle w:val="19"/>
                    <w:spacing w:line="240" w:lineRule="auto"/>
                    <w:ind w:firstLine="0"/>
                    <w:jc w:val="center"/>
                    <w:rPr>
                      <w:rFonts w:ascii="Times New Roman"/>
                      <w:sz w:val="21"/>
                      <w:szCs w:val="21"/>
                    </w:rPr>
                  </w:pPr>
                  <w:r>
                    <w:rPr>
                      <w:rFonts w:hint="eastAsia" w:ascii="Times New Roman"/>
                      <w:sz w:val="21"/>
                      <w:szCs w:val="21"/>
                    </w:rPr>
                    <w:t>图形颜色</w:t>
                  </w:r>
                </w:p>
              </w:tc>
            </w:tr>
            <w:tr w14:paraId="6CFF5F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9" w:type="pct"/>
                  <w:noWrap w:val="0"/>
                  <w:vAlign w:val="top"/>
                </w:tcPr>
                <w:p w14:paraId="7EE08F57">
                  <w:pPr>
                    <w:pStyle w:val="19"/>
                    <w:spacing w:line="240" w:lineRule="auto"/>
                    <w:ind w:firstLine="0"/>
                    <w:jc w:val="center"/>
                    <w:rPr>
                      <w:rFonts w:ascii="Times New Roman"/>
                      <w:sz w:val="21"/>
                      <w:szCs w:val="21"/>
                    </w:rPr>
                  </w:pPr>
                  <w:r>
                    <w:rPr>
                      <w:rFonts w:hint="eastAsia" w:ascii="Times New Roman"/>
                      <w:sz w:val="21"/>
                      <w:szCs w:val="21"/>
                    </w:rPr>
                    <w:t>警告标志</w:t>
                  </w:r>
                </w:p>
              </w:tc>
              <w:tc>
                <w:tcPr>
                  <w:tcW w:w="1249" w:type="pct"/>
                  <w:noWrap w:val="0"/>
                  <w:vAlign w:val="top"/>
                </w:tcPr>
                <w:p w14:paraId="430D01BD">
                  <w:pPr>
                    <w:pStyle w:val="19"/>
                    <w:spacing w:line="240" w:lineRule="auto"/>
                    <w:ind w:firstLine="0"/>
                    <w:jc w:val="center"/>
                    <w:rPr>
                      <w:rFonts w:ascii="Times New Roman"/>
                      <w:sz w:val="21"/>
                      <w:szCs w:val="21"/>
                    </w:rPr>
                  </w:pPr>
                  <w:r>
                    <w:rPr>
                      <w:rFonts w:ascii="Times New Roman"/>
                      <w:sz w:val="21"/>
                      <w:szCs w:val="21"/>
                    </w:rPr>
                    <w:t>三角形边框</w:t>
                  </w:r>
                </w:p>
              </w:tc>
              <w:tc>
                <w:tcPr>
                  <w:tcW w:w="1250" w:type="pct"/>
                  <w:noWrap w:val="0"/>
                  <w:vAlign w:val="top"/>
                </w:tcPr>
                <w:p w14:paraId="63281B0C">
                  <w:pPr>
                    <w:pStyle w:val="19"/>
                    <w:spacing w:line="240" w:lineRule="auto"/>
                    <w:ind w:firstLine="0"/>
                    <w:jc w:val="center"/>
                    <w:rPr>
                      <w:rFonts w:ascii="Times New Roman"/>
                      <w:sz w:val="21"/>
                      <w:szCs w:val="21"/>
                    </w:rPr>
                  </w:pPr>
                  <w:r>
                    <w:rPr>
                      <w:rFonts w:ascii="Times New Roman"/>
                      <w:sz w:val="21"/>
                      <w:szCs w:val="21"/>
                    </w:rPr>
                    <w:t>黄色</w:t>
                  </w:r>
                </w:p>
              </w:tc>
              <w:tc>
                <w:tcPr>
                  <w:tcW w:w="1250" w:type="pct"/>
                  <w:noWrap w:val="0"/>
                  <w:vAlign w:val="top"/>
                </w:tcPr>
                <w:p w14:paraId="599737DF">
                  <w:pPr>
                    <w:pStyle w:val="19"/>
                    <w:spacing w:line="240" w:lineRule="auto"/>
                    <w:ind w:firstLine="0"/>
                    <w:jc w:val="center"/>
                    <w:rPr>
                      <w:rFonts w:ascii="Times New Roman"/>
                      <w:sz w:val="21"/>
                      <w:szCs w:val="21"/>
                    </w:rPr>
                  </w:pPr>
                  <w:r>
                    <w:rPr>
                      <w:rFonts w:hint="eastAsia" w:ascii="Times New Roman"/>
                      <w:sz w:val="21"/>
                      <w:szCs w:val="21"/>
                    </w:rPr>
                    <w:t>黑色</w:t>
                  </w:r>
                </w:p>
              </w:tc>
            </w:tr>
            <w:tr w14:paraId="48980B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9" w:type="pct"/>
                  <w:noWrap w:val="0"/>
                  <w:vAlign w:val="top"/>
                </w:tcPr>
                <w:p w14:paraId="18CCA554">
                  <w:pPr>
                    <w:pStyle w:val="19"/>
                    <w:spacing w:line="240" w:lineRule="auto"/>
                    <w:ind w:firstLine="0"/>
                    <w:jc w:val="center"/>
                    <w:rPr>
                      <w:rFonts w:ascii="Times New Roman"/>
                      <w:sz w:val="21"/>
                      <w:szCs w:val="21"/>
                    </w:rPr>
                  </w:pPr>
                  <w:r>
                    <w:rPr>
                      <w:rFonts w:ascii="Times New Roman"/>
                      <w:sz w:val="21"/>
                      <w:szCs w:val="21"/>
                    </w:rPr>
                    <w:t>提示标志</w:t>
                  </w:r>
                </w:p>
              </w:tc>
              <w:tc>
                <w:tcPr>
                  <w:tcW w:w="1249" w:type="pct"/>
                  <w:noWrap w:val="0"/>
                  <w:vAlign w:val="top"/>
                </w:tcPr>
                <w:p w14:paraId="52B882B9">
                  <w:pPr>
                    <w:pStyle w:val="19"/>
                    <w:spacing w:line="240" w:lineRule="auto"/>
                    <w:ind w:firstLine="0"/>
                    <w:jc w:val="center"/>
                    <w:rPr>
                      <w:rFonts w:ascii="Times New Roman"/>
                      <w:sz w:val="21"/>
                      <w:szCs w:val="21"/>
                    </w:rPr>
                  </w:pPr>
                  <w:r>
                    <w:rPr>
                      <w:rFonts w:ascii="Times New Roman"/>
                      <w:sz w:val="21"/>
                      <w:szCs w:val="21"/>
                    </w:rPr>
                    <w:t>正方形边框</w:t>
                  </w:r>
                </w:p>
              </w:tc>
              <w:tc>
                <w:tcPr>
                  <w:tcW w:w="1250" w:type="pct"/>
                  <w:noWrap w:val="0"/>
                  <w:vAlign w:val="top"/>
                </w:tcPr>
                <w:p w14:paraId="39085FC4">
                  <w:pPr>
                    <w:pStyle w:val="19"/>
                    <w:spacing w:line="240" w:lineRule="auto"/>
                    <w:ind w:firstLine="0"/>
                    <w:jc w:val="center"/>
                    <w:rPr>
                      <w:rFonts w:ascii="Times New Roman"/>
                      <w:sz w:val="21"/>
                      <w:szCs w:val="21"/>
                    </w:rPr>
                  </w:pPr>
                  <w:r>
                    <w:rPr>
                      <w:rFonts w:ascii="Times New Roman"/>
                      <w:sz w:val="21"/>
                      <w:szCs w:val="21"/>
                    </w:rPr>
                    <w:t>绿色</w:t>
                  </w:r>
                </w:p>
              </w:tc>
              <w:tc>
                <w:tcPr>
                  <w:tcW w:w="1250" w:type="pct"/>
                  <w:noWrap w:val="0"/>
                  <w:vAlign w:val="top"/>
                </w:tcPr>
                <w:p w14:paraId="4BC18BFA">
                  <w:pPr>
                    <w:pStyle w:val="19"/>
                    <w:spacing w:line="240" w:lineRule="auto"/>
                    <w:ind w:firstLine="0"/>
                    <w:jc w:val="center"/>
                    <w:rPr>
                      <w:rFonts w:ascii="Times New Roman"/>
                      <w:sz w:val="21"/>
                      <w:szCs w:val="21"/>
                    </w:rPr>
                  </w:pPr>
                  <w:r>
                    <w:rPr>
                      <w:rFonts w:hint="eastAsia" w:ascii="Times New Roman"/>
                      <w:sz w:val="21"/>
                      <w:szCs w:val="21"/>
                    </w:rPr>
                    <w:t>白色</w:t>
                  </w:r>
                </w:p>
              </w:tc>
            </w:tr>
          </w:tbl>
          <w:p w14:paraId="3D390C31">
            <w:pPr>
              <w:pStyle w:val="19"/>
              <w:spacing w:line="240" w:lineRule="auto"/>
              <w:ind w:firstLine="422" w:firstLineChars="200"/>
              <w:jc w:val="center"/>
              <w:rPr>
                <w:rFonts w:hint="eastAsia" w:ascii="Times New Roman"/>
                <w:b/>
                <w:bCs/>
                <w:sz w:val="21"/>
                <w:szCs w:val="21"/>
              </w:rPr>
            </w:pPr>
          </w:p>
          <w:p w14:paraId="2C4EEA2F">
            <w:pPr>
              <w:pStyle w:val="19"/>
              <w:spacing w:line="240" w:lineRule="auto"/>
              <w:ind w:firstLine="422" w:firstLineChars="200"/>
              <w:jc w:val="center"/>
              <w:rPr>
                <w:rFonts w:hint="eastAsia" w:ascii="Times New Roman"/>
                <w:b/>
                <w:bCs/>
                <w:sz w:val="21"/>
                <w:szCs w:val="21"/>
              </w:rPr>
            </w:pPr>
            <w:r>
              <w:rPr>
                <w:rFonts w:hint="eastAsia" w:ascii="Times New Roman"/>
                <w:b/>
                <w:bCs/>
                <w:sz w:val="21"/>
                <w:szCs w:val="21"/>
              </w:rPr>
              <w:t>表4-</w:t>
            </w:r>
            <w:r>
              <w:rPr>
                <w:rFonts w:hint="eastAsia" w:ascii="Times New Roman"/>
                <w:b/>
                <w:bCs/>
                <w:sz w:val="21"/>
                <w:szCs w:val="21"/>
                <w:lang w:val="en-US" w:eastAsia="zh-CN"/>
              </w:rPr>
              <w:t>24</w:t>
            </w:r>
            <w:r>
              <w:rPr>
                <w:rFonts w:hint="eastAsia" w:ascii="Times New Roman"/>
                <w:b/>
                <w:bCs/>
                <w:sz w:val="21"/>
                <w:szCs w:val="21"/>
              </w:rPr>
              <w:t>环境保护图形符号一览表</w:t>
            </w:r>
          </w:p>
          <w:tbl>
            <w:tblPr>
              <w:tblStyle w:val="14"/>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2"/>
              <w:gridCol w:w="2822"/>
              <w:gridCol w:w="2636"/>
              <w:gridCol w:w="2022"/>
            </w:tblGrid>
            <w:tr w14:paraId="1BF4D8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0" w:type="pct"/>
                  <w:noWrap w:val="0"/>
                  <w:vAlign w:val="center"/>
                </w:tcPr>
                <w:p w14:paraId="18DD0D99">
                  <w:pPr>
                    <w:pStyle w:val="19"/>
                    <w:spacing w:line="240" w:lineRule="auto"/>
                    <w:ind w:firstLine="0"/>
                    <w:jc w:val="center"/>
                    <w:rPr>
                      <w:rFonts w:ascii="Times New Roman"/>
                      <w:sz w:val="21"/>
                      <w:szCs w:val="21"/>
                    </w:rPr>
                  </w:pPr>
                  <w:r>
                    <w:rPr>
                      <w:rFonts w:hint="eastAsia" w:ascii="Times New Roman"/>
                      <w:sz w:val="21"/>
                      <w:szCs w:val="21"/>
                    </w:rPr>
                    <w:t>序号</w:t>
                  </w:r>
                </w:p>
              </w:tc>
              <w:tc>
                <w:tcPr>
                  <w:tcW w:w="1719" w:type="pct"/>
                  <w:noWrap w:val="0"/>
                  <w:vAlign w:val="center"/>
                </w:tcPr>
                <w:p w14:paraId="2F9F9799">
                  <w:pPr>
                    <w:pStyle w:val="19"/>
                    <w:spacing w:line="240" w:lineRule="auto"/>
                    <w:ind w:firstLine="0"/>
                    <w:jc w:val="center"/>
                    <w:rPr>
                      <w:rFonts w:ascii="Times New Roman"/>
                      <w:sz w:val="21"/>
                      <w:szCs w:val="21"/>
                    </w:rPr>
                  </w:pPr>
                  <w:r>
                    <w:rPr>
                      <w:rFonts w:hint="eastAsia" w:ascii="Times New Roman"/>
                      <w:sz w:val="21"/>
                      <w:szCs w:val="21"/>
                    </w:rPr>
                    <w:t>提示图形符号</w:t>
                  </w:r>
                </w:p>
              </w:tc>
              <w:tc>
                <w:tcPr>
                  <w:tcW w:w="1606" w:type="pct"/>
                  <w:noWrap w:val="0"/>
                  <w:vAlign w:val="center"/>
                </w:tcPr>
                <w:p w14:paraId="560D28A8">
                  <w:pPr>
                    <w:pStyle w:val="19"/>
                    <w:spacing w:line="240" w:lineRule="auto"/>
                    <w:ind w:firstLine="0"/>
                    <w:jc w:val="center"/>
                    <w:rPr>
                      <w:rFonts w:ascii="Times New Roman"/>
                      <w:sz w:val="21"/>
                      <w:szCs w:val="21"/>
                    </w:rPr>
                  </w:pPr>
                  <w:r>
                    <w:rPr>
                      <w:rFonts w:hint="eastAsia" w:ascii="Times New Roman"/>
                      <w:sz w:val="21"/>
                      <w:szCs w:val="21"/>
                    </w:rPr>
                    <w:t>警告图形符号</w:t>
                  </w:r>
                </w:p>
              </w:tc>
              <w:tc>
                <w:tcPr>
                  <w:tcW w:w="1232" w:type="pct"/>
                  <w:noWrap w:val="0"/>
                  <w:vAlign w:val="center"/>
                </w:tcPr>
                <w:p w14:paraId="782CFAE2">
                  <w:pPr>
                    <w:pStyle w:val="19"/>
                    <w:spacing w:line="240" w:lineRule="auto"/>
                    <w:ind w:firstLine="0"/>
                    <w:jc w:val="center"/>
                    <w:rPr>
                      <w:rFonts w:ascii="Times New Roman"/>
                      <w:sz w:val="21"/>
                      <w:szCs w:val="21"/>
                    </w:rPr>
                  </w:pPr>
                  <w:r>
                    <w:rPr>
                      <w:rFonts w:hint="eastAsia" w:ascii="Times New Roman"/>
                      <w:sz w:val="21"/>
                      <w:szCs w:val="21"/>
                    </w:rPr>
                    <w:t>名称</w:t>
                  </w:r>
                </w:p>
              </w:tc>
            </w:tr>
            <w:tr w14:paraId="2A8F9E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0" w:type="pct"/>
                  <w:noWrap w:val="0"/>
                  <w:vAlign w:val="center"/>
                </w:tcPr>
                <w:p w14:paraId="7EE966A3">
                  <w:pPr>
                    <w:pStyle w:val="19"/>
                    <w:spacing w:line="240" w:lineRule="auto"/>
                    <w:ind w:firstLine="0"/>
                    <w:jc w:val="center"/>
                    <w:rPr>
                      <w:rFonts w:ascii="Times New Roman"/>
                      <w:sz w:val="21"/>
                      <w:szCs w:val="21"/>
                    </w:rPr>
                  </w:pPr>
                  <w:r>
                    <w:rPr>
                      <w:rFonts w:hint="eastAsia" w:ascii="Times New Roman"/>
                      <w:sz w:val="21"/>
                      <w:szCs w:val="21"/>
                    </w:rPr>
                    <w:t>1</w:t>
                  </w:r>
                </w:p>
              </w:tc>
              <w:tc>
                <w:tcPr>
                  <w:tcW w:w="1719" w:type="pct"/>
                  <w:noWrap w:val="0"/>
                  <w:vAlign w:val="center"/>
                </w:tcPr>
                <w:p w14:paraId="4EE511A3">
                  <w:pPr>
                    <w:pStyle w:val="19"/>
                    <w:spacing w:line="240" w:lineRule="auto"/>
                    <w:ind w:firstLine="0"/>
                    <w:jc w:val="center"/>
                    <w:rPr>
                      <w:rFonts w:ascii="Times New Roman"/>
                      <w:sz w:val="21"/>
                      <w:szCs w:val="21"/>
                    </w:rPr>
                  </w:pPr>
                  <w:r>
                    <w:drawing>
                      <wp:inline distT="0" distB="0" distL="114300" distR="114300">
                        <wp:extent cx="1468755" cy="1026160"/>
                        <wp:effectExtent l="0" t="0" r="17145" b="2540"/>
                        <wp:docPr id="50"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47"/>
                                <pic:cNvPicPr>
                                  <a:picLocks noChangeAspect="1"/>
                                </pic:cNvPicPr>
                              </pic:nvPicPr>
                              <pic:blipFill>
                                <a:blip r:embed="rId31"/>
                                <a:stretch>
                                  <a:fillRect/>
                                </a:stretch>
                              </pic:blipFill>
                              <pic:spPr>
                                <a:xfrm>
                                  <a:off x="0" y="0"/>
                                  <a:ext cx="1468755" cy="1026160"/>
                                </a:xfrm>
                                <a:prstGeom prst="rect">
                                  <a:avLst/>
                                </a:prstGeom>
                                <a:noFill/>
                                <a:ln>
                                  <a:noFill/>
                                </a:ln>
                              </pic:spPr>
                            </pic:pic>
                          </a:graphicData>
                        </a:graphic>
                      </wp:inline>
                    </w:drawing>
                  </w:r>
                </w:p>
              </w:tc>
              <w:tc>
                <w:tcPr>
                  <w:tcW w:w="1606" w:type="pct"/>
                  <w:noWrap w:val="0"/>
                  <w:vAlign w:val="center"/>
                </w:tcPr>
                <w:p w14:paraId="2EF4A5FB">
                  <w:pPr>
                    <w:pStyle w:val="19"/>
                    <w:spacing w:line="240" w:lineRule="auto"/>
                    <w:ind w:firstLine="0"/>
                    <w:jc w:val="center"/>
                    <w:rPr>
                      <w:rFonts w:ascii="Times New Roman"/>
                      <w:sz w:val="21"/>
                      <w:szCs w:val="21"/>
                    </w:rPr>
                  </w:pPr>
                  <w:r>
                    <w:drawing>
                      <wp:inline distT="0" distB="0" distL="114300" distR="114300">
                        <wp:extent cx="1568450" cy="1062355"/>
                        <wp:effectExtent l="0" t="0" r="12700" b="4445"/>
                        <wp:docPr id="56" name="图片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48"/>
                                <pic:cNvPicPr>
                                  <a:picLocks noChangeAspect="1"/>
                                </pic:cNvPicPr>
                              </pic:nvPicPr>
                              <pic:blipFill>
                                <a:blip r:embed="rId32"/>
                                <a:srcRect l="6343" r="5602"/>
                                <a:stretch>
                                  <a:fillRect/>
                                </a:stretch>
                              </pic:blipFill>
                              <pic:spPr>
                                <a:xfrm>
                                  <a:off x="0" y="0"/>
                                  <a:ext cx="1568450" cy="1062355"/>
                                </a:xfrm>
                                <a:prstGeom prst="rect">
                                  <a:avLst/>
                                </a:prstGeom>
                                <a:noFill/>
                                <a:ln>
                                  <a:noFill/>
                                </a:ln>
                              </pic:spPr>
                            </pic:pic>
                          </a:graphicData>
                        </a:graphic>
                      </wp:inline>
                    </w:drawing>
                  </w:r>
                </w:p>
              </w:tc>
              <w:tc>
                <w:tcPr>
                  <w:tcW w:w="1232" w:type="pct"/>
                  <w:noWrap w:val="0"/>
                  <w:vAlign w:val="center"/>
                </w:tcPr>
                <w:p w14:paraId="0368DD6C">
                  <w:pPr>
                    <w:pStyle w:val="19"/>
                    <w:spacing w:line="240" w:lineRule="auto"/>
                    <w:ind w:firstLine="0"/>
                    <w:jc w:val="center"/>
                    <w:rPr>
                      <w:rFonts w:ascii="Times New Roman"/>
                      <w:sz w:val="21"/>
                      <w:szCs w:val="21"/>
                    </w:rPr>
                  </w:pPr>
                  <w:r>
                    <w:rPr>
                      <w:rFonts w:hint="eastAsia" w:ascii="Times New Roman"/>
                      <w:sz w:val="21"/>
                      <w:szCs w:val="21"/>
                    </w:rPr>
                    <w:t>废气排放口</w:t>
                  </w:r>
                </w:p>
              </w:tc>
            </w:tr>
            <w:tr w14:paraId="768E64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0" w:type="pct"/>
                  <w:noWrap w:val="0"/>
                  <w:vAlign w:val="center"/>
                </w:tcPr>
                <w:p w14:paraId="7D4B52FB">
                  <w:pPr>
                    <w:pStyle w:val="19"/>
                    <w:spacing w:line="240" w:lineRule="auto"/>
                    <w:ind w:firstLine="0"/>
                    <w:jc w:val="center"/>
                    <w:rPr>
                      <w:rFonts w:ascii="Times New Roman"/>
                      <w:sz w:val="21"/>
                      <w:szCs w:val="21"/>
                    </w:rPr>
                  </w:pPr>
                  <w:r>
                    <w:rPr>
                      <w:rFonts w:hint="eastAsia" w:ascii="Times New Roman"/>
                      <w:sz w:val="21"/>
                      <w:szCs w:val="21"/>
                    </w:rPr>
                    <w:t>2</w:t>
                  </w:r>
                </w:p>
              </w:tc>
              <w:tc>
                <w:tcPr>
                  <w:tcW w:w="1719" w:type="pct"/>
                  <w:noWrap w:val="0"/>
                  <w:vAlign w:val="center"/>
                </w:tcPr>
                <w:p w14:paraId="3F41CF0F">
                  <w:pPr>
                    <w:pStyle w:val="19"/>
                    <w:spacing w:line="240" w:lineRule="auto"/>
                    <w:ind w:firstLine="0"/>
                    <w:jc w:val="center"/>
                  </w:pPr>
                  <w:r>
                    <w:drawing>
                      <wp:inline distT="0" distB="0" distL="114300" distR="114300">
                        <wp:extent cx="1438275" cy="1207135"/>
                        <wp:effectExtent l="0" t="0" r="9525" b="12065"/>
                        <wp:docPr id="36" name="图片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49"/>
                                <pic:cNvPicPr>
                                  <a:picLocks noChangeAspect="1"/>
                                </pic:cNvPicPr>
                              </pic:nvPicPr>
                              <pic:blipFill>
                                <a:blip r:embed="rId33"/>
                                <a:srcRect t="10751"/>
                                <a:stretch>
                                  <a:fillRect/>
                                </a:stretch>
                              </pic:blipFill>
                              <pic:spPr>
                                <a:xfrm>
                                  <a:off x="0" y="0"/>
                                  <a:ext cx="1438275" cy="1207135"/>
                                </a:xfrm>
                                <a:prstGeom prst="rect">
                                  <a:avLst/>
                                </a:prstGeom>
                                <a:noFill/>
                                <a:ln>
                                  <a:noFill/>
                                </a:ln>
                              </pic:spPr>
                            </pic:pic>
                          </a:graphicData>
                        </a:graphic>
                      </wp:inline>
                    </w:drawing>
                  </w:r>
                </w:p>
              </w:tc>
              <w:tc>
                <w:tcPr>
                  <w:tcW w:w="1606" w:type="pct"/>
                  <w:noWrap w:val="0"/>
                  <w:vAlign w:val="center"/>
                </w:tcPr>
                <w:p w14:paraId="4BFAA9B1">
                  <w:pPr>
                    <w:pStyle w:val="19"/>
                    <w:spacing w:line="240" w:lineRule="auto"/>
                    <w:ind w:firstLine="0"/>
                    <w:jc w:val="center"/>
                    <w:rPr>
                      <w:rFonts w:hint="eastAsia"/>
                    </w:rPr>
                  </w:pPr>
                  <w:r>
                    <w:rPr>
                      <w:rFonts w:hint="eastAsia"/>
                    </w:rPr>
                    <w:t>/</w:t>
                  </w:r>
                </w:p>
              </w:tc>
              <w:tc>
                <w:tcPr>
                  <w:tcW w:w="1232" w:type="pct"/>
                  <w:noWrap w:val="0"/>
                  <w:vAlign w:val="center"/>
                </w:tcPr>
                <w:p w14:paraId="04FCFFAC">
                  <w:pPr>
                    <w:pStyle w:val="19"/>
                    <w:spacing w:line="240" w:lineRule="auto"/>
                    <w:ind w:firstLine="0"/>
                    <w:jc w:val="center"/>
                    <w:rPr>
                      <w:rFonts w:ascii="Times New Roman"/>
                      <w:sz w:val="21"/>
                      <w:szCs w:val="21"/>
                    </w:rPr>
                  </w:pPr>
                  <w:r>
                    <w:rPr>
                      <w:rFonts w:hint="eastAsia" w:ascii="Times New Roman"/>
                      <w:sz w:val="21"/>
                      <w:szCs w:val="21"/>
                    </w:rPr>
                    <w:t>雨水排放口</w:t>
                  </w:r>
                </w:p>
              </w:tc>
            </w:tr>
            <w:tr w14:paraId="115E76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0" w:type="pct"/>
                  <w:noWrap w:val="0"/>
                  <w:vAlign w:val="center"/>
                </w:tcPr>
                <w:p w14:paraId="522E9D96">
                  <w:pPr>
                    <w:pStyle w:val="19"/>
                    <w:spacing w:line="240" w:lineRule="auto"/>
                    <w:ind w:firstLine="0"/>
                    <w:jc w:val="center"/>
                    <w:rPr>
                      <w:rFonts w:ascii="Times New Roman"/>
                      <w:sz w:val="21"/>
                      <w:szCs w:val="21"/>
                    </w:rPr>
                  </w:pPr>
                  <w:r>
                    <w:rPr>
                      <w:rFonts w:hint="eastAsia" w:ascii="Times New Roman"/>
                      <w:sz w:val="21"/>
                      <w:szCs w:val="21"/>
                    </w:rPr>
                    <w:t>3</w:t>
                  </w:r>
                </w:p>
              </w:tc>
              <w:tc>
                <w:tcPr>
                  <w:tcW w:w="1719" w:type="pct"/>
                  <w:noWrap w:val="0"/>
                  <w:vAlign w:val="center"/>
                </w:tcPr>
                <w:p w14:paraId="02170D2A">
                  <w:pPr>
                    <w:pStyle w:val="19"/>
                    <w:spacing w:line="240" w:lineRule="auto"/>
                    <w:ind w:firstLine="0"/>
                    <w:jc w:val="center"/>
                    <w:rPr>
                      <w:rFonts w:ascii="Times New Roman"/>
                      <w:sz w:val="21"/>
                      <w:szCs w:val="21"/>
                    </w:rPr>
                  </w:pPr>
                  <w:r>
                    <w:drawing>
                      <wp:inline distT="0" distB="0" distL="114300" distR="114300">
                        <wp:extent cx="1447800" cy="1067435"/>
                        <wp:effectExtent l="0" t="0" r="0" b="18415"/>
                        <wp:docPr id="44" name="图片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50"/>
                                <pic:cNvPicPr>
                                  <a:picLocks noChangeAspect="1"/>
                                </pic:cNvPicPr>
                              </pic:nvPicPr>
                              <pic:blipFill>
                                <a:blip r:embed="rId34"/>
                                <a:srcRect t="6995" b="12019"/>
                                <a:stretch>
                                  <a:fillRect/>
                                </a:stretch>
                              </pic:blipFill>
                              <pic:spPr>
                                <a:xfrm>
                                  <a:off x="0" y="0"/>
                                  <a:ext cx="1447800" cy="1067435"/>
                                </a:xfrm>
                                <a:prstGeom prst="rect">
                                  <a:avLst/>
                                </a:prstGeom>
                                <a:noFill/>
                                <a:ln>
                                  <a:noFill/>
                                </a:ln>
                              </pic:spPr>
                            </pic:pic>
                          </a:graphicData>
                        </a:graphic>
                      </wp:inline>
                    </w:drawing>
                  </w:r>
                </w:p>
              </w:tc>
              <w:tc>
                <w:tcPr>
                  <w:tcW w:w="1606" w:type="pct"/>
                  <w:noWrap w:val="0"/>
                  <w:vAlign w:val="center"/>
                </w:tcPr>
                <w:p w14:paraId="3CC7F7B9">
                  <w:pPr>
                    <w:pStyle w:val="19"/>
                    <w:spacing w:line="240" w:lineRule="auto"/>
                    <w:ind w:firstLine="0"/>
                    <w:jc w:val="center"/>
                    <w:rPr>
                      <w:rFonts w:ascii="Times New Roman"/>
                      <w:sz w:val="21"/>
                      <w:szCs w:val="21"/>
                    </w:rPr>
                  </w:pPr>
                  <w:r>
                    <w:drawing>
                      <wp:inline distT="0" distB="0" distL="114300" distR="114300">
                        <wp:extent cx="1541145" cy="1104265"/>
                        <wp:effectExtent l="0" t="0" r="1905" b="635"/>
                        <wp:docPr id="47" name="图片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51"/>
                                <pic:cNvPicPr>
                                  <a:picLocks noChangeAspect="1"/>
                                </pic:cNvPicPr>
                              </pic:nvPicPr>
                              <pic:blipFill>
                                <a:blip r:embed="rId35"/>
                                <a:stretch>
                                  <a:fillRect/>
                                </a:stretch>
                              </pic:blipFill>
                              <pic:spPr>
                                <a:xfrm>
                                  <a:off x="0" y="0"/>
                                  <a:ext cx="1541145" cy="1104265"/>
                                </a:xfrm>
                                <a:prstGeom prst="rect">
                                  <a:avLst/>
                                </a:prstGeom>
                                <a:noFill/>
                                <a:ln>
                                  <a:noFill/>
                                </a:ln>
                              </pic:spPr>
                            </pic:pic>
                          </a:graphicData>
                        </a:graphic>
                      </wp:inline>
                    </w:drawing>
                  </w:r>
                </w:p>
              </w:tc>
              <w:tc>
                <w:tcPr>
                  <w:tcW w:w="1232" w:type="pct"/>
                  <w:noWrap w:val="0"/>
                  <w:vAlign w:val="center"/>
                </w:tcPr>
                <w:p w14:paraId="6AA7D03B">
                  <w:pPr>
                    <w:pStyle w:val="19"/>
                    <w:spacing w:line="240" w:lineRule="auto"/>
                    <w:ind w:firstLine="0"/>
                    <w:jc w:val="center"/>
                    <w:rPr>
                      <w:rFonts w:ascii="Times New Roman"/>
                      <w:sz w:val="21"/>
                      <w:szCs w:val="21"/>
                    </w:rPr>
                  </w:pPr>
                  <w:r>
                    <w:rPr>
                      <w:rFonts w:hint="eastAsia" w:ascii="Times New Roman"/>
                      <w:sz w:val="21"/>
                      <w:szCs w:val="21"/>
                    </w:rPr>
                    <w:t>噪声排放源</w:t>
                  </w:r>
                </w:p>
              </w:tc>
            </w:tr>
            <w:tr w14:paraId="70D3AD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0" w:type="pct"/>
                  <w:noWrap w:val="0"/>
                  <w:vAlign w:val="center"/>
                </w:tcPr>
                <w:p w14:paraId="1F0AEC8A">
                  <w:pPr>
                    <w:pStyle w:val="19"/>
                    <w:spacing w:line="240" w:lineRule="auto"/>
                    <w:ind w:firstLine="0"/>
                    <w:jc w:val="center"/>
                    <w:rPr>
                      <w:rFonts w:ascii="Times New Roman"/>
                      <w:sz w:val="21"/>
                      <w:szCs w:val="21"/>
                    </w:rPr>
                  </w:pPr>
                  <w:r>
                    <w:rPr>
                      <w:rFonts w:hint="eastAsia" w:ascii="Times New Roman"/>
                      <w:sz w:val="21"/>
                      <w:szCs w:val="21"/>
                    </w:rPr>
                    <w:t>4</w:t>
                  </w:r>
                </w:p>
              </w:tc>
              <w:tc>
                <w:tcPr>
                  <w:tcW w:w="1719" w:type="pct"/>
                  <w:noWrap w:val="0"/>
                  <w:vAlign w:val="center"/>
                </w:tcPr>
                <w:p w14:paraId="76D28D3C">
                  <w:pPr>
                    <w:pStyle w:val="19"/>
                    <w:spacing w:line="240" w:lineRule="auto"/>
                    <w:ind w:firstLine="0"/>
                    <w:jc w:val="center"/>
                  </w:pPr>
                  <w:r>
                    <w:drawing>
                      <wp:inline distT="0" distB="0" distL="114300" distR="114300">
                        <wp:extent cx="1439545" cy="1285875"/>
                        <wp:effectExtent l="0" t="0" r="8255" b="9525"/>
                        <wp:docPr id="45" name="图片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52"/>
                                <pic:cNvPicPr>
                                  <a:picLocks noChangeAspect="1"/>
                                </pic:cNvPicPr>
                              </pic:nvPicPr>
                              <pic:blipFill>
                                <a:blip r:embed="rId36"/>
                                <a:stretch>
                                  <a:fillRect/>
                                </a:stretch>
                              </pic:blipFill>
                              <pic:spPr>
                                <a:xfrm>
                                  <a:off x="0" y="0"/>
                                  <a:ext cx="1439545" cy="1285875"/>
                                </a:xfrm>
                                <a:prstGeom prst="rect">
                                  <a:avLst/>
                                </a:prstGeom>
                                <a:noFill/>
                                <a:ln>
                                  <a:noFill/>
                                </a:ln>
                              </pic:spPr>
                            </pic:pic>
                          </a:graphicData>
                        </a:graphic>
                      </wp:inline>
                    </w:drawing>
                  </w:r>
                </w:p>
              </w:tc>
              <w:tc>
                <w:tcPr>
                  <w:tcW w:w="1606" w:type="pct"/>
                  <w:noWrap w:val="0"/>
                  <w:vAlign w:val="center"/>
                </w:tcPr>
                <w:p w14:paraId="4265021A">
                  <w:pPr>
                    <w:pStyle w:val="19"/>
                    <w:spacing w:line="240" w:lineRule="auto"/>
                    <w:ind w:firstLine="0"/>
                    <w:jc w:val="center"/>
                  </w:pPr>
                  <w:r>
                    <w:drawing>
                      <wp:inline distT="0" distB="0" distL="114300" distR="114300">
                        <wp:extent cx="1542415" cy="1102995"/>
                        <wp:effectExtent l="0" t="0" r="635" b="1905"/>
                        <wp:docPr id="41" name="图片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53"/>
                                <pic:cNvPicPr>
                                  <a:picLocks noChangeAspect="1"/>
                                </pic:cNvPicPr>
                              </pic:nvPicPr>
                              <pic:blipFill>
                                <a:blip r:embed="rId37"/>
                                <a:stretch>
                                  <a:fillRect/>
                                </a:stretch>
                              </pic:blipFill>
                              <pic:spPr>
                                <a:xfrm>
                                  <a:off x="0" y="0"/>
                                  <a:ext cx="1542415" cy="1102995"/>
                                </a:xfrm>
                                <a:prstGeom prst="rect">
                                  <a:avLst/>
                                </a:prstGeom>
                                <a:noFill/>
                                <a:ln>
                                  <a:noFill/>
                                </a:ln>
                              </pic:spPr>
                            </pic:pic>
                          </a:graphicData>
                        </a:graphic>
                      </wp:inline>
                    </w:drawing>
                  </w:r>
                </w:p>
              </w:tc>
              <w:tc>
                <w:tcPr>
                  <w:tcW w:w="1232" w:type="pct"/>
                  <w:noWrap w:val="0"/>
                  <w:vAlign w:val="center"/>
                </w:tcPr>
                <w:p w14:paraId="2C7C3D70">
                  <w:pPr>
                    <w:pStyle w:val="19"/>
                    <w:spacing w:line="240" w:lineRule="auto"/>
                    <w:ind w:firstLine="0"/>
                    <w:jc w:val="center"/>
                    <w:rPr>
                      <w:rFonts w:ascii="Times New Roman"/>
                      <w:sz w:val="21"/>
                      <w:szCs w:val="21"/>
                    </w:rPr>
                  </w:pPr>
                  <w:r>
                    <w:rPr>
                      <w:rFonts w:hint="eastAsia" w:ascii="Times New Roman"/>
                      <w:sz w:val="21"/>
                      <w:szCs w:val="21"/>
                    </w:rPr>
                    <w:t>一般固废</w:t>
                  </w:r>
                </w:p>
              </w:tc>
            </w:tr>
            <w:tr w14:paraId="417957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0" w:type="pct"/>
                  <w:noWrap w:val="0"/>
                  <w:vAlign w:val="center"/>
                </w:tcPr>
                <w:p w14:paraId="66CABC6A">
                  <w:pPr>
                    <w:pStyle w:val="19"/>
                    <w:spacing w:line="240" w:lineRule="auto"/>
                    <w:ind w:firstLine="0"/>
                    <w:jc w:val="center"/>
                    <w:rPr>
                      <w:rFonts w:ascii="Times New Roman"/>
                      <w:sz w:val="21"/>
                      <w:szCs w:val="21"/>
                    </w:rPr>
                  </w:pPr>
                  <w:r>
                    <w:rPr>
                      <w:rFonts w:hint="eastAsia" w:ascii="Times New Roman"/>
                      <w:sz w:val="21"/>
                      <w:szCs w:val="21"/>
                    </w:rPr>
                    <w:t>5</w:t>
                  </w:r>
                </w:p>
              </w:tc>
              <w:tc>
                <w:tcPr>
                  <w:tcW w:w="1719" w:type="pct"/>
                  <w:noWrap w:val="0"/>
                  <w:vAlign w:val="center"/>
                </w:tcPr>
                <w:p w14:paraId="08519374">
                  <w:pPr>
                    <w:pStyle w:val="19"/>
                    <w:spacing w:line="240" w:lineRule="auto"/>
                    <w:ind w:firstLine="0"/>
                    <w:jc w:val="center"/>
                    <w:rPr>
                      <w:rFonts w:hint="eastAsia"/>
                    </w:rPr>
                  </w:pPr>
                  <w:r>
                    <w:rPr>
                      <w:rFonts w:hint="eastAsia"/>
                    </w:rPr>
                    <w:t>/</w:t>
                  </w:r>
                </w:p>
              </w:tc>
              <w:tc>
                <w:tcPr>
                  <w:tcW w:w="1606" w:type="pct"/>
                  <w:noWrap w:val="0"/>
                  <w:vAlign w:val="center"/>
                </w:tcPr>
                <w:p w14:paraId="27429DD2">
                  <w:pPr>
                    <w:pStyle w:val="19"/>
                    <w:spacing w:line="240" w:lineRule="auto"/>
                    <w:ind w:firstLine="0"/>
                    <w:jc w:val="center"/>
                  </w:pPr>
                  <w:r>
                    <w:drawing>
                      <wp:inline distT="0" distB="0" distL="114300" distR="114300">
                        <wp:extent cx="1295400" cy="1323975"/>
                        <wp:effectExtent l="0" t="0" r="0" b="9525"/>
                        <wp:docPr id="38" name="图片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54"/>
                                <pic:cNvPicPr>
                                  <a:picLocks noChangeAspect="1"/>
                                </pic:cNvPicPr>
                              </pic:nvPicPr>
                              <pic:blipFill>
                                <a:blip r:embed="rId38"/>
                                <a:srcRect t="3917" b="9209"/>
                                <a:stretch>
                                  <a:fillRect/>
                                </a:stretch>
                              </pic:blipFill>
                              <pic:spPr>
                                <a:xfrm>
                                  <a:off x="0" y="0"/>
                                  <a:ext cx="1295400" cy="1323975"/>
                                </a:xfrm>
                                <a:prstGeom prst="rect">
                                  <a:avLst/>
                                </a:prstGeom>
                                <a:noFill/>
                                <a:ln>
                                  <a:noFill/>
                                </a:ln>
                              </pic:spPr>
                            </pic:pic>
                          </a:graphicData>
                        </a:graphic>
                      </wp:inline>
                    </w:drawing>
                  </w:r>
                </w:p>
              </w:tc>
              <w:tc>
                <w:tcPr>
                  <w:tcW w:w="1232" w:type="pct"/>
                  <w:noWrap w:val="0"/>
                  <w:vAlign w:val="center"/>
                </w:tcPr>
                <w:p w14:paraId="13C7657F">
                  <w:pPr>
                    <w:pStyle w:val="19"/>
                    <w:spacing w:line="240" w:lineRule="auto"/>
                    <w:ind w:firstLine="0"/>
                    <w:jc w:val="center"/>
                    <w:rPr>
                      <w:rFonts w:ascii="Times New Roman"/>
                      <w:sz w:val="21"/>
                      <w:szCs w:val="21"/>
                    </w:rPr>
                  </w:pPr>
                  <w:r>
                    <w:rPr>
                      <w:rFonts w:hint="eastAsia" w:ascii="Times New Roman"/>
                      <w:sz w:val="21"/>
                      <w:szCs w:val="21"/>
                    </w:rPr>
                    <w:t>危险废物</w:t>
                  </w:r>
                </w:p>
              </w:tc>
            </w:tr>
          </w:tbl>
          <w:p w14:paraId="41D79962">
            <w:pPr>
              <w:spacing w:line="360" w:lineRule="auto"/>
              <w:rPr>
                <w:rFonts w:hint="eastAsia"/>
                <w:b/>
                <w:bCs/>
                <w:sz w:val="24"/>
              </w:rPr>
            </w:pPr>
          </w:p>
          <w:p w14:paraId="1ACBF608">
            <w:pPr>
              <w:spacing w:line="360" w:lineRule="auto"/>
              <w:ind w:firstLine="482" w:firstLineChars="200"/>
              <w:rPr>
                <w:b/>
                <w:bCs/>
                <w:sz w:val="24"/>
              </w:rPr>
            </w:pPr>
            <w:r>
              <w:rPr>
                <w:rFonts w:hint="eastAsia"/>
                <w:b/>
                <w:bCs/>
                <w:sz w:val="24"/>
              </w:rPr>
              <w:t>8</w:t>
            </w:r>
            <w:r>
              <w:rPr>
                <w:b/>
                <w:bCs/>
                <w:sz w:val="24"/>
              </w:rPr>
              <w:t>环保投资估算</w:t>
            </w:r>
          </w:p>
          <w:p w14:paraId="7F276AE3">
            <w:pPr>
              <w:spacing w:line="360" w:lineRule="auto"/>
              <w:ind w:firstLine="480" w:firstLineChars="200"/>
              <w:rPr>
                <w:color w:val="FF0000"/>
                <w:sz w:val="24"/>
                <w:highlight w:val="none"/>
              </w:rPr>
            </w:pPr>
            <w:r>
              <w:rPr>
                <w:rFonts w:hint="eastAsia"/>
                <w:sz w:val="24"/>
                <w:highlight w:val="none"/>
              </w:rPr>
              <w:t>本项目</w:t>
            </w:r>
            <w:r>
              <w:rPr>
                <w:sz w:val="24"/>
                <w:highlight w:val="none"/>
              </w:rPr>
              <w:t>总投资</w:t>
            </w:r>
            <w:r>
              <w:rPr>
                <w:rFonts w:hint="eastAsia"/>
                <w:sz w:val="24"/>
                <w:highlight w:val="none"/>
                <w:lang w:val="en-US" w:eastAsia="zh-CN"/>
              </w:rPr>
              <w:t>550</w:t>
            </w:r>
            <w:r>
              <w:rPr>
                <w:sz w:val="24"/>
                <w:highlight w:val="none"/>
              </w:rPr>
              <w:t>万元，其中环保投资约</w:t>
            </w:r>
            <w:r>
              <w:rPr>
                <w:rFonts w:hint="eastAsia"/>
                <w:sz w:val="24"/>
                <w:highlight w:val="none"/>
                <w:lang w:val="en-US" w:eastAsia="zh-CN"/>
              </w:rPr>
              <w:t>55</w:t>
            </w:r>
            <w:r>
              <w:rPr>
                <w:sz w:val="24"/>
                <w:highlight w:val="none"/>
              </w:rPr>
              <w:t>万元，占项目总投资的</w:t>
            </w:r>
            <w:r>
              <w:rPr>
                <w:rFonts w:hint="eastAsia"/>
                <w:sz w:val="24"/>
                <w:highlight w:val="none"/>
                <w:lang w:val="en-US" w:eastAsia="zh-CN"/>
              </w:rPr>
              <w:t>10</w:t>
            </w:r>
            <w:r>
              <w:rPr>
                <w:sz w:val="24"/>
                <w:highlight w:val="none"/>
              </w:rPr>
              <w:t>%。具体如下表所示。</w:t>
            </w:r>
          </w:p>
          <w:p w14:paraId="12F1E6D1">
            <w:pPr>
              <w:autoSpaceDE w:val="0"/>
              <w:autoSpaceDN w:val="0"/>
              <w:adjustRightInd w:val="0"/>
              <w:jc w:val="center"/>
              <w:rPr>
                <w:b/>
                <w:szCs w:val="21"/>
              </w:rPr>
            </w:pPr>
            <w:r>
              <w:rPr>
                <w:b/>
                <w:szCs w:val="21"/>
              </w:rPr>
              <w:t>表</w:t>
            </w:r>
            <w:r>
              <w:rPr>
                <w:rFonts w:hint="eastAsia"/>
                <w:b/>
                <w:szCs w:val="21"/>
              </w:rPr>
              <w:t>4-</w:t>
            </w:r>
            <w:r>
              <w:rPr>
                <w:rFonts w:hint="eastAsia"/>
                <w:b/>
                <w:szCs w:val="21"/>
                <w:lang w:val="en-US" w:eastAsia="zh-CN"/>
              </w:rPr>
              <w:t>25</w:t>
            </w:r>
            <w:r>
              <w:rPr>
                <w:rFonts w:hint="eastAsia"/>
                <w:b/>
                <w:szCs w:val="21"/>
              </w:rPr>
              <w:t xml:space="preserve"> </w:t>
            </w:r>
            <w:r>
              <w:rPr>
                <w:b/>
                <w:szCs w:val="21"/>
              </w:rPr>
              <w:t>环保设施及环保投资一览表</w:t>
            </w:r>
          </w:p>
          <w:tbl>
            <w:tblPr>
              <w:tblStyle w:val="14"/>
              <w:tblW w:w="494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0"/>
              <w:gridCol w:w="1844"/>
              <w:gridCol w:w="4449"/>
              <w:gridCol w:w="1147"/>
            </w:tblGrid>
            <w:tr w14:paraId="4F112A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 w:hRule="atLeast"/>
                <w:jc w:val="center"/>
              </w:trPr>
              <w:tc>
                <w:tcPr>
                  <w:tcW w:w="418" w:type="pct"/>
                  <w:noWrap w:val="0"/>
                  <w:vAlign w:val="center"/>
                </w:tcPr>
                <w:p w14:paraId="274A621D">
                  <w:pPr>
                    <w:adjustRightInd w:val="0"/>
                    <w:snapToGrid w:val="0"/>
                    <w:jc w:val="center"/>
                    <w:rPr>
                      <w:b/>
                      <w:szCs w:val="21"/>
                    </w:rPr>
                  </w:pPr>
                  <w:r>
                    <w:rPr>
                      <w:rFonts w:hint="eastAsia"/>
                      <w:b/>
                      <w:szCs w:val="21"/>
                    </w:rPr>
                    <w:t>类别</w:t>
                  </w:r>
                </w:p>
              </w:tc>
              <w:tc>
                <w:tcPr>
                  <w:tcW w:w="1135" w:type="pct"/>
                  <w:noWrap w:val="0"/>
                  <w:vAlign w:val="center"/>
                </w:tcPr>
                <w:p w14:paraId="16E4EEA9">
                  <w:pPr>
                    <w:adjustRightInd w:val="0"/>
                    <w:snapToGrid w:val="0"/>
                    <w:jc w:val="center"/>
                    <w:rPr>
                      <w:b/>
                      <w:szCs w:val="21"/>
                    </w:rPr>
                  </w:pPr>
                  <w:r>
                    <w:rPr>
                      <w:rFonts w:hint="eastAsia"/>
                      <w:b/>
                      <w:szCs w:val="21"/>
                    </w:rPr>
                    <w:t>污染源</w:t>
                  </w:r>
                </w:p>
              </w:tc>
              <w:tc>
                <w:tcPr>
                  <w:tcW w:w="2739" w:type="pct"/>
                  <w:noWrap w:val="0"/>
                  <w:vAlign w:val="center"/>
                </w:tcPr>
                <w:p w14:paraId="180C7693">
                  <w:pPr>
                    <w:adjustRightInd w:val="0"/>
                    <w:snapToGrid w:val="0"/>
                    <w:jc w:val="center"/>
                    <w:rPr>
                      <w:b/>
                      <w:szCs w:val="21"/>
                    </w:rPr>
                  </w:pPr>
                  <w:r>
                    <w:rPr>
                      <w:b/>
                      <w:szCs w:val="21"/>
                    </w:rPr>
                    <w:t>治理措施</w:t>
                  </w:r>
                </w:p>
              </w:tc>
              <w:tc>
                <w:tcPr>
                  <w:tcW w:w="706" w:type="pct"/>
                  <w:noWrap w:val="0"/>
                  <w:vAlign w:val="center"/>
                </w:tcPr>
                <w:p w14:paraId="00603767">
                  <w:pPr>
                    <w:adjustRightInd w:val="0"/>
                    <w:snapToGrid w:val="0"/>
                    <w:jc w:val="center"/>
                    <w:rPr>
                      <w:b/>
                      <w:szCs w:val="21"/>
                    </w:rPr>
                  </w:pPr>
                  <w:r>
                    <w:rPr>
                      <w:b/>
                      <w:szCs w:val="21"/>
                    </w:rPr>
                    <w:t>投资</w:t>
                  </w:r>
                </w:p>
                <w:p w14:paraId="0DBBEE71">
                  <w:pPr>
                    <w:adjustRightInd w:val="0"/>
                    <w:snapToGrid w:val="0"/>
                    <w:jc w:val="center"/>
                    <w:rPr>
                      <w:b/>
                      <w:szCs w:val="21"/>
                    </w:rPr>
                  </w:pPr>
                  <w:r>
                    <w:rPr>
                      <w:b/>
                      <w:szCs w:val="21"/>
                    </w:rPr>
                    <w:t>（万元）</w:t>
                  </w:r>
                </w:p>
              </w:tc>
            </w:tr>
            <w:tr w14:paraId="277445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8" w:type="pct"/>
                  <w:vMerge w:val="restart"/>
                  <w:noWrap w:val="0"/>
                  <w:vAlign w:val="center"/>
                </w:tcPr>
                <w:p w14:paraId="24E5D9E1">
                  <w:pPr>
                    <w:adjustRightInd w:val="0"/>
                    <w:snapToGrid w:val="0"/>
                    <w:jc w:val="center"/>
                    <w:rPr>
                      <w:rFonts w:hint="eastAsia" w:eastAsia="宋体"/>
                      <w:szCs w:val="21"/>
                      <w:lang w:eastAsia="zh-CN"/>
                    </w:rPr>
                  </w:pPr>
                  <w:r>
                    <w:rPr>
                      <w:rFonts w:hint="eastAsia"/>
                      <w:szCs w:val="21"/>
                      <w:lang w:eastAsia="zh-CN"/>
                    </w:rPr>
                    <w:t>废气治理</w:t>
                  </w:r>
                </w:p>
              </w:tc>
              <w:tc>
                <w:tcPr>
                  <w:tcW w:w="1135" w:type="pct"/>
                  <w:noWrap w:val="0"/>
                  <w:vAlign w:val="center"/>
                </w:tcPr>
                <w:p w14:paraId="3E83047B">
                  <w:pPr>
                    <w:adjustRightInd w:val="0"/>
                    <w:snapToGrid w:val="0"/>
                    <w:jc w:val="center"/>
                    <w:rPr>
                      <w:rFonts w:hint="eastAsia" w:eastAsia="宋体"/>
                      <w:szCs w:val="21"/>
                      <w:lang w:eastAsia="zh-CN"/>
                    </w:rPr>
                  </w:pPr>
                  <w:r>
                    <w:rPr>
                      <w:rFonts w:hint="eastAsia"/>
                      <w:szCs w:val="21"/>
                      <w:lang w:eastAsia="zh-CN"/>
                    </w:rPr>
                    <w:t>污水站恶臭</w:t>
                  </w:r>
                </w:p>
              </w:tc>
              <w:tc>
                <w:tcPr>
                  <w:tcW w:w="2739" w:type="pct"/>
                  <w:noWrap w:val="0"/>
                  <w:vAlign w:val="center"/>
                </w:tcPr>
                <w:p w14:paraId="61519D22">
                  <w:pPr>
                    <w:pStyle w:val="19"/>
                    <w:spacing w:line="240" w:lineRule="auto"/>
                    <w:ind w:firstLine="0"/>
                    <w:jc w:val="center"/>
                    <w:rPr>
                      <w:rFonts w:hint="eastAsia"/>
                      <w:sz w:val="21"/>
                      <w:szCs w:val="21"/>
                      <w:lang w:eastAsia="zh-CN"/>
                    </w:rPr>
                  </w:pPr>
                  <w:r>
                    <w:rPr>
                      <w:rFonts w:hint="eastAsia"/>
                      <w:sz w:val="21"/>
                      <w:szCs w:val="21"/>
                      <w:lang w:eastAsia="zh-CN"/>
                    </w:rPr>
                    <w:t>污水处理站为整体地埋式设计，</w:t>
                  </w:r>
                  <w:r>
                    <w:rPr>
                      <w:rFonts w:hint="default"/>
                      <w:sz w:val="21"/>
                      <w:szCs w:val="21"/>
                    </w:rPr>
                    <w:t>加盖密闭，盖板上预留进、出气</w:t>
                  </w:r>
                  <w:r>
                    <w:rPr>
                      <w:rFonts w:hint="default" w:ascii="Times New Roman" w:hAnsi="Times New Roman" w:cs="Times New Roman"/>
                      <w:sz w:val="21"/>
                      <w:szCs w:val="21"/>
                    </w:rPr>
                    <w:t>口</w:t>
                  </w:r>
                  <w:r>
                    <w:rPr>
                      <w:rFonts w:hint="default" w:ascii="Times New Roman" w:hAnsi="Times New Roman" w:cs="Times New Roman"/>
                      <w:sz w:val="21"/>
                      <w:szCs w:val="21"/>
                      <w:lang w:eastAsia="zh-CN"/>
                    </w:rPr>
                    <w:t>，废气</w:t>
                  </w:r>
                  <w:r>
                    <w:rPr>
                      <w:rFonts w:hint="default" w:ascii="Times New Roman" w:hAnsi="Times New Roman" w:cs="Times New Roman"/>
                      <w:sz w:val="21"/>
                      <w:szCs w:val="21"/>
                    </w:rPr>
                    <w:t>收集后通过</w:t>
                  </w:r>
                  <w:r>
                    <w:rPr>
                      <w:rFonts w:hint="eastAsia" w:ascii="Times New Roman" w:hAnsi="Times New Roman" w:cs="Times New Roman"/>
                      <w:sz w:val="21"/>
                      <w:szCs w:val="21"/>
                      <w:lang w:eastAsia="zh-CN"/>
                    </w:rPr>
                    <w:t>“</w:t>
                  </w:r>
                  <w:r>
                    <w:rPr>
                      <w:rFonts w:hint="default" w:ascii="Times New Roman" w:hAnsi="Times New Roman" w:cs="Times New Roman"/>
                      <w:sz w:val="21"/>
                      <w:szCs w:val="21"/>
                      <w:lang w:eastAsia="zh-CN"/>
                    </w:rPr>
                    <w:t>二级</w:t>
                  </w:r>
                  <w:r>
                    <w:rPr>
                      <w:rFonts w:hint="default" w:ascii="Times New Roman" w:hAnsi="Times New Roman" w:cs="Times New Roman"/>
                      <w:sz w:val="21"/>
                      <w:szCs w:val="21"/>
                    </w:rPr>
                    <w:t>活性炭吸附</w:t>
                  </w:r>
                  <w:r>
                    <w:rPr>
                      <w:rFonts w:hint="eastAsia" w:ascii="Times New Roman" w:hAnsi="Times New Roman" w:cs="Times New Roman"/>
                      <w:sz w:val="21"/>
                      <w:szCs w:val="21"/>
                      <w:lang w:eastAsia="zh-CN"/>
                    </w:rPr>
                    <w:t>”</w:t>
                  </w:r>
                  <w:r>
                    <w:rPr>
                      <w:rFonts w:hint="default" w:ascii="Times New Roman" w:hAnsi="Times New Roman" w:cs="Times New Roman"/>
                      <w:sz w:val="21"/>
                      <w:szCs w:val="21"/>
                    </w:rPr>
                    <w:t>处理后</w:t>
                  </w:r>
                  <w:r>
                    <w:rPr>
                      <w:rFonts w:hint="default" w:ascii="Times New Roman" w:hAnsi="Times New Roman" w:cs="Times New Roman"/>
                      <w:sz w:val="21"/>
                      <w:szCs w:val="21"/>
                      <w:lang w:eastAsia="zh-CN"/>
                    </w:rPr>
                    <w:t>通过</w:t>
                  </w:r>
                  <w:r>
                    <w:rPr>
                      <w:rFonts w:hint="default" w:ascii="Times New Roman" w:hAnsi="Times New Roman" w:cs="Times New Roman"/>
                      <w:sz w:val="21"/>
                      <w:szCs w:val="21"/>
                      <w:lang w:val="en-US" w:eastAsia="zh-CN"/>
                    </w:rPr>
                    <w:t>1根15m高排气筒DA001排放</w:t>
                  </w:r>
                  <w:r>
                    <w:rPr>
                      <w:rFonts w:hint="default" w:ascii="Times New Roman" w:hAnsi="Times New Roman" w:cs="Times New Roman"/>
                      <w:sz w:val="21"/>
                      <w:szCs w:val="21"/>
                    </w:rPr>
                    <w:t>。</w:t>
                  </w:r>
                </w:p>
              </w:tc>
              <w:tc>
                <w:tcPr>
                  <w:tcW w:w="706" w:type="pct"/>
                  <w:noWrap w:val="0"/>
                  <w:vAlign w:val="center"/>
                </w:tcPr>
                <w:p w14:paraId="0B6643AC">
                  <w:pPr>
                    <w:adjustRightInd w:val="0"/>
                    <w:snapToGrid w:val="0"/>
                    <w:jc w:val="center"/>
                    <w:rPr>
                      <w:rFonts w:hint="eastAsia" w:eastAsia="宋体"/>
                      <w:szCs w:val="21"/>
                      <w:lang w:val="en-US" w:eastAsia="zh-CN"/>
                    </w:rPr>
                  </w:pPr>
                  <w:r>
                    <w:rPr>
                      <w:rFonts w:hint="eastAsia"/>
                      <w:szCs w:val="21"/>
                      <w:lang w:val="en-US" w:eastAsia="zh-CN"/>
                    </w:rPr>
                    <w:t>3</w:t>
                  </w:r>
                </w:p>
              </w:tc>
            </w:tr>
            <w:tr w14:paraId="06D4DE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8" w:type="pct"/>
                  <w:vMerge w:val="continue"/>
                  <w:noWrap w:val="0"/>
                  <w:vAlign w:val="center"/>
                </w:tcPr>
                <w:p w14:paraId="3E70C032">
                  <w:pPr>
                    <w:adjustRightInd w:val="0"/>
                    <w:snapToGrid w:val="0"/>
                    <w:jc w:val="center"/>
                    <w:rPr>
                      <w:rFonts w:hint="eastAsia"/>
                      <w:szCs w:val="21"/>
                      <w:lang w:eastAsia="zh-CN"/>
                    </w:rPr>
                  </w:pPr>
                </w:p>
              </w:tc>
              <w:tc>
                <w:tcPr>
                  <w:tcW w:w="1135" w:type="pct"/>
                  <w:noWrap w:val="0"/>
                  <w:vAlign w:val="center"/>
                </w:tcPr>
                <w:p w14:paraId="2BC9D987">
                  <w:pPr>
                    <w:jc w:val="center"/>
                    <w:rPr>
                      <w:rFonts w:hint="eastAsia"/>
                      <w:szCs w:val="21"/>
                      <w:lang w:eastAsia="zh-CN"/>
                    </w:rPr>
                  </w:pPr>
                  <w:r>
                    <w:rPr>
                      <w:rFonts w:hint="eastAsia" w:ascii="Times New Roman" w:hAnsi="Times New Roman" w:eastAsia="宋体" w:cs="Times New Roman"/>
                      <w:color w:val="000000"/>
                      <w:szCs w:val="21"/>
                    </w:rPr>
                    <w:t>备用柴油发电机废气</w:t>
                  </w:r>
                </w:p>
              </w:tc>
              <w:tc>
                <w:tcPr>
                  <w:tcW w:w="2739" w:type="pct"/>
                  <w:noWrap w:val="0"/>
                  <w:vAlign w:val="center"/>
                </w:tcPr>
                <w:p w14:paraId="754DC1FE">
                  <w:pPr>
                    <w:jc w:val="center"/>
                    <w:rPr>
                      <w:rFonts w:hint="eastAsia"/>
                      <w:sz w:val="21"/>
                      <w:szCs w:val="21"/>
                      <w:lang w:eastAsia="zh-CN"/>
                    </w:rPr>
                  </w:pPr>
                  <w:r>
                    <w:rPr>
                      <w:rFonts w:hint="eastAsia" w:ascii="Times New Roman" w:hAnsi="Times New Roman" w:eastAsia="宋体" w:cs="Times New Roman"/>
                      <w:snapToGrid w:val="0"/>
                      <w:color w:val="000000"/>
                      <w:kern w:val="0"/>
                      <w:sz w:val="21"/>
                      <w:szCs w:val="21"/>
                      <w:lang w:val="en-US" w:eastAsia="zh-CN" w:bidi="ar-SA"/>
                    </w:rPr>
                    <w:t>由专用排气管道引至楼顶并高于楼顶排放。</w:t>
                  </w:r>
                </w:p>
              </w:tc>
              <w:tc>
                <w:tcPr>
                  <w:tcW w:w="706" w:type="pct"/>
                  <w:noWrap w:val="0"/>
                  <w:vAlign w:val="center"/>
                </w:tcPr>
                <w:p w14:paraId="507079AA">
                  <w:pPr>
                    <w:adjustRightInd w:val="0"/>
                    <w:snapToGrid w:val="0"/>
                    <w:jc w:val="center"/>
                    <w:rPr>
                      <w:rFonts w:hint="default"/>
                      <w:szCs w:val="21"/>
                      <w:lang w:val="en-US" w:eastAsia="zh-CN"/>
                    </w:rPr>
                  </w:pPr>
                  <w:r>
                    <w:rPr>
                      <w:rFonts w:hint="eastAsia"/>
                      <w:szCs w:val="21"/>
                      <w:lang w:val="en-US" w:eastAsia="zh-CN"/>
                    </w:rPr>
                    <w:t>0.5</w:t>
                  </w:r>
                </w:p>
              </w:tc>
            </w:tr>
            <w:tr w14:paraId="00D951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8" w:type="pct"/>
                  <w:vMerge w:val="continue"/>
                  <w:noWrap w:val="0"/>
                  <w:vAlign w:val="center"/>
                </w:tcPr>
                <w:p w14:paraId="64D642DB">
                  <w:pPr>
                    <w:adjustRightInd w:val="0"/>
                    <w:snapToGrid w:val="0"/>
                    <w:jc w:val="center"/>
                    <w:rPr>
                      <w:rFonts w:hint="eastAsia"/>
                      <w:szCs w:val="21"/>
                      <w:lang w:eastAsia="zh-CN"/>
                    </w:rPr>
                  </w:pPr>
                </w:p>
              </w:tc>
              <w:tc>
                <w:tcPr>
                  <w:tcW w:w="1135" w:type="pct"/>
                  <w:noWrap w:val="0"/>
                  <w:vAlign w:val="center"/>
                </w:tcPr>
                <w:p w14:paraId="19265CE5">
                  <w:pPr>
                    <w:jc w:val="center"/>
                    <w:rPr>
                      <w:rFonts w:hint="eastAsia" w:ascii="Times New Roman" w:hAnsi="Times New Roman" w:eastAsia="宋体" w:cs="Times New Roman"/>
                      <w:color w:val="000000"/>
                      <w:szCs w:val="21"/>
                      <w:lang w:eastAsia="zh-CN"/>
                    </w:rPr>
                  </w:pPr>
                  <w:r>
                    <w:rPr>
                      <w:rFonts w:hint="eastAsia" w:ascii="Times New Roman" w:hAnsi="Times New Roman" w:eastAsia="宋体" w:cs="Times New Roman"/>
                      <w:color w:val="000000"/>
                      <w:szCs w:val="21"/>
                      <w:lang w:eastAsia="zh-CN"/>
                    </w:rPr>
                    <w:t>检验废气</w:t>
                  </w:r>
                </w:p>
              </w:tc>
              <w:tc>
                <w:tcPr>
                  <w:tcW w:w="2739" w:type="pct"/>
                  <w:noWrap w:val="0"/>
                  <w:vAlign w:val="center"/>
                </w:tcPr>
                <w:p w14:paraId="260C03A9">
                  <w:pPr>
                    <w:jc w:val="center"/>
                    <w:rPr>
                      <w:rFonts w:hint="eastAsia" w:ascii="Times New Roman" w:hAnsi="Times New Roman" w:eastAsia="宋体" w:cs="Times New Roman"/>
                      <w:snapToGrid w:val="0"/>
                      <w:color w:val="000000"/>
                      <w:kern w:val="0"/>
                      <w:sz w:val="21"/>
                      <w:szCs w:val="21"/>
                      <w:lang w:val="en-US" w:eastAsia="zh-CN" w:bidi="ar-SA"/>
                    </w:rPr>
                  </w:pPr>
                  <w:r>
                    <w:rPr>
                      <w:rFonts w:hint="eastAsia" w:ascii="Times New Roman" w:hAnsi="Times New Roman"/>
                      <w:b w:val="0"/>
                      <w:bCs w:val="0"/>
                      <w:sz w:val="21"/>
                      <w:szCs w:val="21"/>
                      <w:lang w:val="en-US" w:eastAsia="zh-CN"/>
                    </w:rPr>
                    <w:t>检验室设负压排风系统，保持室内空气清洁。排放的少量废气通过专门的排气管道引至屋顶排放</w:t>
                  </w:r>
                </w:p>
              </w:tc>
              <w:tc>
                <w:tcPr>
                  <w:tcW w:w="706" w:type="pct"/>
                  <w:noWrap w:val="0"/>
                  <w:vAlign w:val="center"/>
                </w:tcPr>
                <w:p w14:paraId="3A129101">
                  <w:pPr>
                    <w:adjustRightInd w:val="0"/>
                    <w:snapToGrid w:val="0"/>
                    <w:jc w:val="center"/>
                    <w:rPr>
                      <w:rFonts w:hint="default"/>
                      <w:szCs w:val="21"/>
                      <w:lang w:val="en-US" w:eastAsia="zh-CN"/>
                    </w:rPr>
                  </w:pPr>
                  <w:r>
                    <w:rPr>
                      <w:rFonts w:hint="eastAsia"/>
                      <w:szCs w:val="21"/>
                      <w:lang w:val="en-US" w:eastAsia="zh-CN"/>
                    </w:rPr>
                    <w:t>0.5</w:t>
                  </w:r>
                </w:p>
              </w:tc>
            </w:tr>
            <w:tr w14:paraId="6F42AA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8" w:type="pct"/>
                  <w:vMerge w:val="restart"/>
                  <w:noWrap w:val="0"/>
                  <w:vAlign w:val="center"/>
                </w:tcPr>
                <w:p w14:paraId="0690C6F4">
                  <w:pPr>
                    <w:adjustRightInd w:val="0"/>
                    <w:snapToGrid w:val="0"/>
                    <w:jc w:val="center"/>
                    <w:rPr>
                      <w:szCs w:val="21"/>
                    </w:rPr>
                  </w:pPr>
                  <w:r>
                    <w:rPr>
                      <w:rFonts w:hint="eastAsia"/>
                      <w:szCs w:val="21"/>
                    </w:rPr>
                    <w:t>废水治理</w:t>
                  </w:r>
                </w:p>
              </w:tc>
              <w:tc>
                <w:tcPr>
                  <w:tcW w:w="1135" w:type="pct"/>
                  <w:noWrap w:val="0"/>
                  <w:vAlign w:val="center"/>
                </w:tcPr>
                <w:p w14:paraId="1AB3FAE1">
                  <w:pPr>
                    <w:adjustRightInd w:val="0"/>
                    <w:snapToGrid w:val="0"/>
                    <w:jc w:val="center"/>
                    <w:rPr>
                      <w:rFonts w:hint="eastAsia"/>
                      <w:szCs w:val="21"/>
                    </w:rPr>
                  </w:pPr>
                  <w:r>
                    <w:rPr>
                      <w:rFonts w:hint="eastAsia"/>
                      <w:szCs w:val="21"/>
                    </w:rPr>
                    <w:t>生活污水</w:t>
                  </w:r>
                </w:p>
              </w:tc>
              <w:tc>
                <w:tcPr>
                  <w:tcW w:w="2739" w:type="pct"/>
                  <w:vMerge w:val="restart"/>
                  <w:noWrap w:val="0"/>
                  <w:vAlign w:val="center"/>
                </w:tcPr>
                <w:p w14:paraId="62B119E1">
                  <w:pPr>
                    <w:pStyle w:val="19"/>
                    <w:spacing w:line="240" w:lineRule="auto"/>
                    <w:ind w:firstLine="0"/>
                    <w:jc w:val="center"/>
                    <w:rPr>
                      <w:rFonts w:hint="eastAsia"/>
                      <w:sz w:val="21"/>
                      <w:szCs w:val="21"/>
                      <w:lang w:eastAsia="zh-CN"/>
                    </w:rPr>
                  </w:pPr>
                  <w:r>
                    <w:rPr>
                      <w:rFonts w:hint="eastAsia"/>
                      <w:sz w:val="21"/>
                      <w:szCs w:val="21"/>
                      <w:lang w:eastAsia="zh-CN"/>
                    </w:rPr>
                    <w:t>污水</w:t>
                  </w:r>
                  <w:r>
                    <w:rPr>
                      <w:rFonts w:hint="eastAsia"/>
                      <w:sz w:val="21"/>
                      <w:szCs w:val="21"/>
                    </w:rPr>
                    <w:t>管网、化粪池</w:t>
                  </w:r>
                  <w:r>
                    <w:rPr>
                      <w:rFonts w:hint="eastAsia"/>
                      <w:sz w:val="21"/>
                      <w:szCs w:val="21"/>
                      <w:lang w:eastAsia="zh-CN"/>
                    </w:rPr>
                    <w:t>、污水处理站采用“一级强化处理+消毒”工艺，处理规模</w:t>
                  </w:r>
                  <w:r>
                    <w:rPr>
                      <w:rFonts w:hint="default" w:ascii="Times New Roman" w:hAnsi="Times New Roman" w:cs="Times New Roman"/>
                      <w:sz w:val="21"/>
                      <w:szCs w:val="21"/>
                      <w:lang w:eastAsia="zh-CN"/>
                    </w:rPr>
                    <w:t>为</w:t>
                  </w:r>
                  <w:r>
                    <w:rPr>
                      <w:rFonts w:hint="eastAsia" w:ascii="Times New Roman" w:cs="Times New Roman"/>
                      <w:sz w:val="21"/>
                      <w:szCs w:val="21"/>
                      <w:lang w:val="en-US" w:eastAsia="zh-CN"/>
                    </w:rPr>
                    <w:t>65</w:t>
                  </w:r>
                  <w:r>
                    <w:rPr>
                      <w:rFonts w:hint="default" w:ascii="Times New Roman" w:hAnsi="Times New Roman" w:cs="Times New Roman"/>
                      <w:sz w:val="21"/>
                      <w:szCs w:val="21"/>
                      <w:lang w:val="en-US" w:eastAsia="zh-CN"/>
                    </w:rPr>
                    <w:t>t</w:t>
                  </w:r>
                  <w:r>
                    <w:rPr>
                      <w:rFonts w:hint="default" w:ascii="Times New Roman" w:hAnsi="Times New Roman" w:cs="Times New Roman"/>
                      <w:sz w:val="21"/>
                      <w:szCs w:val="21"/>
                      <w:lang w:eastAsia="zh-CN"/>
                    </w:rPr>
                    <w:t>/d。</w:t>
                  </w:r>
                </w:p>
                <w:p w14:paraId="415E3798">
                  <w:pPr>
                    <w:pStyle w:val="19"/>
                    <w:spacing w:line="240" w:lineRule="auto"/>
                    <w:ind w:firstLine="0"/>
                    <w:jc w:val="center"/>
                    <w:rPr>
                      <w:rFonts w:hint="eastAsia" w:eastAsia="宋体"/>
                      <w:sz w:val="21"/>
                      <w:szCs w:val="21"/>
                      <w:lang w:eastAsia="zh-CN"/>
                    </w:rPr>
                  </w:pPr>
                </w:p>
              </w:tc>
              <w:tc>
                <w:tcPr>
                  <w:tcW w:w="706" w:type="pct"/>
                  <w:vMerge w:val="restart"/>
                  <w:noWrap w:val="0"/>
                  <w:vAlign w:val="center"/>
                </w:tcPr>
                <w:p w14:paraId="6EC9AE3D">
                  <w:pPr>
                    <w:adjustRightInd w:val="0"/>
                    <w:snapToGrid w:val="0"/>
                    <w:jc w:val="center"/>
                    <w:rPr>
                      <w:rFonts w:hint="default" w:eastAsia="宋体"/>
                      <w:szCs w:val="21"/>
                      <w:lang w:val="en-US" w:eastAsia="zh-CN"/>
                    </w:rPr>
                  </w:pPr>
                  <w:r>
                    <w:rPr>
                      <w:rFonts w:hint="eastAsia"/>
                      <w:szCs w:val="21"/>
                      <w:lang w:val="en-US" w:eastAsia="zh-CN"/>
                    </w:rPr>
                    <w:t>39</w:t>
                  </w:r>
                </w:p>
              </w:tc>
            </w:tr>
            <w:tr w14:paraId="32A562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8" w:type="pct"/>
                  <w:vMerge w:val="continue"/>
                  <w:noWrap w:val="0"/>
                  <w:vAlign w:val="center"/>
                </w:tcPr>
                <w:p w14:paraId="312D5CB3">
                  <w:pPr>
                    <w:adjustRightInd w:val="0"/>
                    <w:snapToGrid w:val="0"/>
                    <w:jc w:val="center"/>
                    <w:rPr>
                      <w:rFonts w:hint="eastAsia"/>
                      <w:szCs w:val="21"/>
                    </w:rPr>
                  </w:pPr>
                </w:p>
              </w:tc>
              <w:tc>
                <w:tcPr>
                  <w:tcW w:w="1135" w:type="pct"/>
                  <w:noWrap w:val="0"/>
                  <w:vAlign w:val="center"/>
                </w:tcPr>
                <w:p w14:paraId="3AD0C5D8">
                  <w:pPr>
                    <w:adjustRightInd w:val="0"/>
                    <w:snapToGrid w:val="0"/>
                    <w:jc w:val="center"/>
                    <w:rPr>
                      <w:rFonts w:hint="eastAsia" w:eastAsia="宋体"/>
                      <w:szCs w:val="21"/>
                      <w:lang w:eastAsia="zh-CN"/>
                    </w:rPr>
                  </w:pPr>
                  <w:r>
                    <w:rPr>
                      <w:rFonts w:hint="eastAsia"/>
                      <w:szCs w:val="21"/>
                      <w:lang w:val="en-US" w:eastAsia="zh-CN"/>
                    </w:rPr>
                    <w:t>普通</w:t>
                  </w:r>
                  <w:r>
                    <w:rPr>
                      <w:rFonts w:hint="eastAsia"/>
                      <w:szCs w:val="21"/>
                      <w:lang w:eastAsia="zh-CN"/>
                    </w:rPr>
                    <w:t>门诊废水</w:t>
                  </w:r>
                </w:p>
              </w:tc>
              <w:tc>
                <w:tcPr>
                  <w:tcW w:w="2739" w:type="pct"/>
                  <w:vMerge w:val="continue"/>
                  <w:noWrap w:val="0"/>
                  <w:vAlign w:val="center"/>
                </w:tcPr>
                <w:p w14:paraId="40DE108C">
                  <w:pPr>
                    <w:pStyle w:val="19"/>
                    <w:spacing w:line="240" w:lineRule="auto"/>
                    <w:ind w:firstLine="0"/>
                    <w:jc w:val="center"/>
                    <w:rPr>
                      <w:rFonts w:hint="eastAsia"/>
                      <w:sz w:val="21"/>
                      <w:szCs w:val="21"/>
                      <w:lang w:eastAsia="zh-CN"/>
                    </w:rPr>
                  </w:pPr>
                </w:p>
              </w:tc>
              <w:tc>
                <w:tcPr>
                  <w:tcW w:w="706" w:type="pct"/>
                  <w:vMerge w:val="continue"/>
                  <w:noWrap w:val="0"/>
                  <w:vAlign w:val="center"/>
                </w:tcPr>
                <w:p w14:paraId="7FD3EEBB">
                  <w:pPr>
                    <w:adjustRightInd w:val="0"/>
                    <w:snapToGrid w:val="0"/>
                    <w:jc w:val="center"/>
                    <w:rPr>
                      <w:rFonts w:hint="eastAsia"/>
                      <w:szCs w:val="21"/>
                    </w:rPr>
                  </w:pPr>
                </w:p>
              </w:tc>
            </w:tr>
            <w:tr w14:paraId="361F10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418" w:type="pct"/>
                  <w:vMerge w:val="continue"/>
                  <w:noWrap w:val="0"/>
                  <w:vAlign w:val="center"/>
                </w:tcPr>
                <w:p w14:paraId="36A5173E">
                  <w:pPr>
                    <w:adjustRightInd w:val="0"/>
                    <w:snapToGrid w:val="0"/>
                    <w:jc w:val="center"/>
                    <w:rPr>
                      <w:rFonts w:hint="eastAsia"/>
                      <w:szCs w:val="21"/>
                    </w:rPr>
                  </w:pPr>
                </w:p>
              </w:tc>
              <w:tc>
                <w:tcPr>
                  <w:tcW w:w="1135" w:type="pct"/>
                  <w:noWrap w:val="0"/>
                  <w:vAlign w:val="center"/>
                </w:tcPr>
                <w:p w14:paraId="7BA781DC">
                  <w:pPr>
                    <w:adjustRightInd w:val="0"/>
                    <w:snapToGrid w:val="0"/>
                    <w:jc w:val="center"/>
                    <w:rPr>
                      <w:rFonts w:hint="default"/>
                      <w:szCs w:val="21"/>
                      <w:lang w:val="en-US" w:eastAsia="zh-CN"/>
                    </w:rPr>
                  </w:pPr>
                  <w:r>
                    <w:rPr>
                      <w:rFonts w:hint="eastAsia"/>
                      <w:szCs w:val="21"/>
                      <w:lang w:val="en-US" w:eastAsia="zh-CN"/>
                    </w:rPr>
                    <w:t>口腔科废水</w:t>
                  </w:r>
                </w:p>
              </w:tc>
              <w:tc>
                <w:tcPr>
                  <w:tcW w:w="2739" w:type="pct"/>
                  <w:vMerge w:val="continue"/>
                  <w:noWrap w:val="0"/>
                  <w:vAlign w:val="center"/>
                </w:tcPr>
                <w:p w14:paraId="56D4959C">
                  <w:pPr>
                    <w:pStyle w:val="19"/>
                    <w:spacing w:line="240" w:lineRule="auto"/>
                    <w:ind w:firstLine="0"/>
                    <w:jc w:val="center"/>
                    <w:rPr>
                      <w:rFonts w:hint="eastAsia"/>
                      <w:sz w:val="21"/>
                      <w:szCs w:val="21"/>
                      <w:lang w:eastAsia="zh-CN"/>
                    </w:rPr>
                  </w:pPr>
                </w:p>
              </w:tc>
              <w:tc>
                <w:tcPr>
                  <w:tcW w:w="706" w:type="pct"/>
                  <w:vMerge w:val="continue"/>
                  <w:noWrap w:val="0"/>
                  <w:vAlign w:val="center"/>
                </w:tcPr>
                <w:p w14:paraId="16508033">
                  <w:pPr>
                    <w:adjustRightInd w:val="0"/>
                    <w:snapToGrid w:val="0"/>
                    <w:jc w:val="center"/>
                    <w:rPr>
                      <w:rFonts w:hint="eastAsia"/>
                      <w:szCs w:val="21"/>
                    </w:rPr>
                  </w:pPr>
                </w:p>
              </w:tc>
            </w:tr>
            <w:tr w14:paraId="244200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8" w:type="pct"/>
                  <w:vMerge w:val="continue"/>
                  <w:noWrap w:val="0"/>
                  <w:vAlign w:val="center"/>
                </w:tcPr>
                <w:p w14:paraId="30ABE99C">
                  <w:pPr>
                    <w:adjustRightInd w:val="0"/>
                    <w:snapToGrid w:val="0"/>
                    <w:jc w:val="center"/>
                    <w:rPr>
                      <w:rFonts w:hint="eastAsia"/>
                      <w:szCs w:val="21"/>
                    </w:rPr>
                  </w:pPr>
                </w:p>
              </w:tc>
              <w:tc>
                <w:tcPr>
                  <w:tcW w:w="1135" w:type="pct"/>
                  <w:noWrap w:val="0"/>
                  <w:vAlign w:val="center"/>
                </w:tcPr>
                <w:p w14:paraId="02505417">
                  <w:pPr>
                    <w:adjustRightInd w:val="0"/>
                    <w:snapToGrid w:val="0"/>
                    <w:jc w:val="center"/>
                    <w:rPr>
                      <w:rFonts w:hint="eastAsia"/>
                      <w:szCs w:val="21"/>
                      <w:lang w:eastAsia="zh-CN"/>
                    </w:rPr>
                  </w:pPr>
                  <w:r>
                    <w:rPr>
                      <w:rFonts w:hint="eastAsia"/>
                      <w:szCs w:val="21"/>
                      <w:lang w:eastAsia="zh-CN"/>
                    </w:rPr>
                    <w:t>病房废水</w:t>
                  </w:r>
                </w:p>
              </w:tc>
              <w:tc>
                <w:tcPr>
                  <w:tcW w:w="2739" w:type="pct"/>
                  <w:vMerge w:val="continue"/>
                  <w:noWrap w:val="0"/>
                  <w:vAlign w:val="center"/>
                </w:tcPr>
                <w:p w14:paraId="34153A3B">
                  <w:pPr>
                    <w:pStyle w:val="19"/>
                    <w:spacing w:line="240" w:lineRule="auto"/>
                    <w:ind w:firstLine="0"/>
                    <w:jc w:val="center"/>
                    <w:rPr>
                      <w:rFonts w:hint="eastAsia"/>
                      <w:sz w:val="21"/>
                      <w:szCs w:val="21"/>
                      <w:lang w:eastAsia="zh-CN"/>
                    </w:rPr>
                  </w:pPr>
                </w:p>
              </w:tc>
              <w:tc>
                <w:tcPr>
                  <w:tcW w:w="706" w:type="pct"/>
                  <w:vMerge w:val="continue"/>
                  <w:noWrap w:val="0"/>
                  <w:vAlign w:val="center"/>
                </w:tcPr>
                <w:p w14:paraId="36C694DB">
                  <w:pPr>
                    <w:adjustRightInd w:val="0"/>
                    <w:snapToGrid w:val="0"/>
                    <w:jc w:val="center"/>
                    <w:rPr>
                      <w:rFonts w:hint="eastAsia"/>
                      <w:szCs w:val="21"/>
                    </w:rPr>
                  </w:pPr>
                </w:p>
              </w:tc>
            </w:tr>
            <w:tr w14:paraId="049C53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8" w:type="pct"/>
                  <w:vMerge w:val="continue"/>
                  <w:noWrap w:val="0"/>
                  <w:vAlign w:val="center"/>
                </w:tcPr>
                <w:p w14:paraId="556CC90D">
                  <w:pPr>
                    <w:adjustRightInd w:val="0"/>
                    <w:snapToGrid w:val="0"/>
                    <w:jc w:val="center"/>
                    <w:rPr>
                      <w:rFonts w:hint="eastAsia"/>
                      <w:szCs w:val="21"/>
                    </w:rPr>
                  </w:pPr>
                </w:p>
              </w:tc>
              <w:tc>
                <w:tcPr>
                  <w:tcW w:w="1135" w:type="pct"/>
                  <w:noWrap w:val="0"/>
                  <w:vAlign w:val="center"/>
                </w:tcPr>
                <w:p w14:paraId="142022C3">
                  <w:pPr>
                    <w:adjustRightInd w:val="0"/>
                    <w:snapToGrid w:val="0"/>
                    <w:jc w:val="center"/>
                    <w:rPr>
                      <w:rFonts w:hint="eastAsia"/>
                      <w:szCs w:val="21"/>
                      <w:lang w:eastAsia="zh-CN"/>
                    </w:rPr>
                  </w:pPr>
                  <w:r>
                    <w:rPr>
                      <w:rFonts w:hint="eastAsia"/>
                      <w:szCs w:val="21"/>
                      <w:lang w:eastAsia="zh-CN"/>
                    </w:rPr>
                    <w:t>检验废水</w:t>
                  </w:r>
                </w:p>
              </w:tc>
              <w:tc>
                <w:tcPr>
                  <w:tcW w:w="2739" w:type="pct"/>
                  <w:vMerge w:val="continue"/>
                  <w:noWrap w:val="0"/>
                  <w:vAlign w:val="center"/>
                </w:tcPr>
                <w:p w14:paraId="4763136F">
                  <w:pPr>
                    <w:pStyle w:val="19"/>
                    <w:spacing w:line="240" w:lineRule="auto"/>
                    <w:ind w:firstLine="0"/>
                    <w:jc w:val="center"/>
                    <w:rPr>
                      <w:rFonts w:hint="eastAsia"/>
                      <w:sz w:val="21"/>
                      <w:szCs w:val="21"/>
                      <w:lang w:eastAsia="zh-CN"/>
                    </w:rPr>
                  </w:pPr>
                </w:p>
              </w:tc>
              <w:tc>
                <w:tcPr>
                  <w:tcW w:w="706" w:type="pct"/>
                  <w:vMerge w:val="continue"/>
                  <w:noWrap w:val="0"/>
                  <w:vAlign w:val="center"/>
                </w:tcPr>
                <w:p w14:paraId="6A55A3EC">
                  <w:pPr>
                    <w:adjustRightInd w:val="0"/>
                    <w:snapToGrid w:val="0"/>
                    <w:jc w:val="center"/>
                    <w:rPr>
                      <w:rFonts w:hint="eastAsia"/>
                      <w:szCs w:val="21"/>
                    </w:rPr>
                  </w:pPr>
                </w:p>
              </w:tc>
            </w:tr>
            <w:tr w14:paraId="71760A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418" w:type="pct"/>
                  <w:vMerge w:val="continue"/>
                  <w:noWrap w:val="0"/>
                  <w:vAlign w:val="center"/>
                </w:tcPr>
                <w:p w14:paraId="00A21855">
                  <w:pPr>
                    <w:adjustRightInd w:val="0"/>
                    <w:snapToGrid w:val="0"/>
                    <w:jc w:val="center"/>
                    <w:rPr>
                      <w:rFonts w:hint="eastAsia"/>
                      <w:szCs w:val="21"/>
                    </w:rPr>
                  </w:pPr>
                </w:p>
              </w:tc>
              <w:tc>
                <w:tcPr>
                  <w:tcW w:w="1135" w:type="pct"/>
                  <w:noWrap w:val="0"/>
                  <w:vAlign w:val="center"/>
                </w:tcPr>
                <w:p w14:paraId="31115EB6">
                  <w:pPr>
                    <w:adjustRightInd w:val="0"/>
                    <w:snapToGrid w:val="0"/>
                    <w:jc w:val="center"/>
                    <w:rPr>
                      <w:rFonts w:hint="default"/>
                      <w:szCs w:val="21"/>
                      <w:lang w:val="en-US" w:eastAsia="zh-CN"/>
                    </w:rPr>
                  </w:pPr>
                  <w:r>
                    <w:rPr>
                      <w:rFonts w:hint="eastAsia"/>
                      <w:szCs w:val="21"/>
                      <w:lang w:val="en-US" w:eastAsia="zh-CN"/>
                    </w:rPr>
                    <w:t>手术室废水</w:t>
                  </w:r>
                </w:p>
              </w:tc>
              <w:tc>
                <w:tcPr>
                  <w:tcW w:w="2739" w:type="pct"/>
                  <w:vMerge w:val="continue"/>
                  <w:noWrap w:val="0"/>
                  <w:vAlign w:val="center"/>
                </w:tcPr>
                <w:p w14:paraId="2F527603">
                  <w:pPr>
                    <w:pStyle w:val="19"/>
                    <w:spacing w:line="240" w:lineRule="auto"/>
                    <w:ind w:firstLine="0"/>
                    <w:jc w:val="center"/>
                    <w:rPr>
                      <w:rFonts w:hint="eastAsia"/>
                      <w:sz w:val="21"/>
                      <w:szCs w:val="21"/>
                      <w:lang w:eastAsia="zh-CN"/>
                    </w:rPr>
                  </w:pPr>
                </w:p>
              </w:tc>
              <w:tc>
                <w:tcPr>
                  <w:tcW w:w="706" w:type="pct"/>
                  <w:vMerge w:val="continue"/>
                  <w:noWrap w:val="0"/>
                  <w:vAlign w:val="center"/>
                </w:tcPr>
                <w:p w14:paraId="6F0D62AE">
                  <w:pPr>
                    <w:adjustRightInd w:val="0"/>
                    <w:snapToGrid w:val="0"/>
                    <w:jc w:val="center"/>
                    <w:rPr>
                      <w:rFonts w:hint="eastAsia"/>
                      <w:szCs w:val="21"/>
                    </w:rPr>
                  </w:pPr>
                </w:p>
              </w:tc>
            </w:tr>
            <w:tr w14:paraId="483C43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8" w:type="pct"/>
                  <w:vMerge w:val="continue"/>
                  <w:noWrap w:val="0"/>
                  <w:vAlign w:val="center"/>
                </w:tcPr>
                <w:p w14:paraId="43F67F42">
                  <w:pPr>
                    <w:adjustRightInd w:val="0"/>
                    <w:snapToGrid w:val="0"/>
                    <w:jc w:val="center"/>
                    <w:rPr>
                      <w:rFonts w:hint="eastAsia"/>
                      <w:szCs w:val="21"/>
                    </w:rPr>
                  </w:pPr>
                </w:p>
              </w:tc>
              <w:tc>
                <w:tcPr>
                  <w:tcW w:w="1135" w:type="pct"/>
                  <w:noWrap w:val="0"/>
                  <w:vAlign w:val="center"/>
                </w:tcPr>
                <w:p w14:paraId="70795314">
                  <w:pPr>
                    <w:adjustRightInd w:val="0"/>
                    <w:snapToGrid w:val="0"/>
                    <w:jc w:val="center"/>
                    <w:rPr>
                      <w:rFonts w:hint="default"/>
                      <w:szCs w:val="21"/>
                      <w:lang w:val="en-US" w:eastAsia="zh-CN"/>
                    </w:rPr>
                  </w:pPr>
                  <w:r>
                    <w:rPr>
                      <w:rFonts w:hint="eastAsia"/>
                      <w:szCs w:val="21"/>
                      <w:lang w:val="en-US" w:eastAsia="zh-CN"/>
                    </w:rPr>
                    <w:t>浓水</w:t>
                  </w:r>
                </w:p>
              </w:tc>
              <w:tc>
                <w:tcPr>
                  <w:tcW w:w="2739" w:type="pct"/>
                  <w:vMerge w:val="continue"/>
                  <w:noWrap w:val="0"/>
                  <w:vAlign w:val="center"/>
                </w:tcPr>
                <w:p w14:paraId="121EDE75">
                  <w:pPr>
                    <w:pStyle w:val="19"/>
                    <w:spacing w:line="240" w:lineRule="auto"/>
                    <w:ind w:firstLine="0"/>
                    <w:jc w:val="center"/>
                    <w:rPr>
                      <w:rFonts w:hint="eastAsia"/>
                      <w:sz w:val="21"/>
                      <w:szCs w:val="21"/>
                      <w:lang w:eastAsia="zh-CN"/>
                    </w:rPr>
                  </w:pPr>
                </w:p>
              </w:tc>
              <w:tc>
                <w:tcPr>
                  <w:tcW w:w="706" w:type="pct"/>
                  <w:vMerge w:val="continue"/>
                  <w:noWrap w:val="0"/>
                  <w:vAlign w:val="center"/>
                </w:tcPr>
                <w:p w14:paraId="0AA455B9">
                  <w:pPr>
                    <w:adjustRightInd w:val="0"/>
                    <w:snapToGrid w:val="0"/>
                    <w:jc w:val="center"/>
                    <w:rPr>
                      <w:rFonts w:hint="eastAsia"/>
                      <w:szCs w:val="21"/>
                    </w:rPr>
                  </w:pPr>
                </w:p>
              </w:tc>
            </w:tr>
            <w:tr w14:paraId="2C0749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8" w:type="pct"/>
                  <w:vMerge w:val="continue"/>
                  <w:noWrap w:val="0"/>
                  <w:vAlign w:val="center"/>
                </w:tcPr>
                <w:p w14:paraId="1B8CDC98">
                  <w:pPr>
                    <w:adjustRightInd w:val="0"/>
                    <w:snapToGrid w:val="0"/>
                    <w:jc w:val="center"/>
                    <w:rPr>
                      <w:rFonts w:hint="eastAsia"/>
                      <w:szCs w:val="21"/>
                    </w:rPr>
                  </w:pPr>
                </w:p>
              </w:tc>
              <w:tc>
                <w:tcPr>
                  <w:tcW w:w="1135" w:type="pct"/>
                  <w:noWrap w:val="0"/>
                  <w:vAlign w:val="center"/>
                </w:tcPr>
                <w:p w14:paraId="5AE0ACB9">
                  <w:pPr>
                    <w:adjustRightInd w:val="0"/>
                    <w:snapToGrid w:val="0"/>
                    <w:jc w:val="center"/>
                    <w:rPr>
                      <w:rFonts w:hint="eastAsia" w:eastAsia="宋体"/>
                      <w:szCs w:val="21"/>
                      <w:lang w:eastAsia="zh-CN"/>
                    </w:rPr>
                  </w:pPr>
                  <w:r>
                    <w:rPr>
                      <w:rFonts w:hint="eastAsia"/>
                      <w:szCs w:val="21"/>
                      <w:lang w:eastAsia="zh-CN"/>
                    </w:rPr>
                    <w:t>保洁废水</w:t>
                  </w:r>
                </w:p>
              </w:tc>
              <w:tc>
                <w:tcPr>
                  <w:tcW w:w="2739" w:type="pct"/>
                  <w:vMerge w:val="continue"/>
                  <w:noWrap w:val="0"/>
                  <w:vAlign w:val="center"/>
                </w:tcPr>
                <w:p w14:paraId="4DF31CEE">
                  <w:pPr>
                    <w:pStyle w:val="19"/>
                    <w:spacing w:line="240" w:lineRule="auto"/>
                    <w:ind w:firstLine="0"/>
                    <w:jc w:val="center"/>
                    <w:rPr>
                      <w:rFonts w:hint="eastAsia" w:eastAsia="宋体"/>
                      <w:sz w:val="21"/>
                      <w:szCs w:val="21"/>
                      <w:lang w:eastAsia="zh-CN"/>
                    </w:rPr>
                  </w:pPr>
                </w:p>
              </w:tc>
              <w:tc>
                <w:tcPr>
                  <w:tcW w:w="706" w:type="pct"/>
                  <w:vMerge w:val="continue"/>
                  <w:noWrap w:val="0"/>
                  <w:vAlign w:val="center"/>
                </w:tcPr>
                <w:p w14:paraId="4E080790">
                  <w:pPr>
                    <w:adjustRightInd w:val="0"/>
                    <w:snapToGrid w:val="0"/>
                    <w:jc w:val="center"/>
                    <w:rPr>
                      <w:rFonts w:hint="eastAsia" w:eastAsia="宋体"/>
                      <w:szCs w:val="21"/>
                      <w:lang w:val="en-US" w:eastAsia="zh-CN"/>
                    </w:rPr>
                  </w:pPr>
                </w:p>
              </w:tc>
            </w:tr>
            <w:tr w14:paraId="00DF5E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18" w:type="pct"/>
                  <w:noWrap w:val="0"/>
                  <w:vAlign w:val="center"/>
                </w:tcPr>
                <w:p w14:paraId="75CC0EA4">
                  <w:pPr>
                    <w:adjustRightInd w:val="0"/>
                    <w:snapToGrid w:val="0"/>
                    <w:jc w:val="center"/>
                    <w:rPr>
                      <w:rFonts w:hint="eastAsia"/>
                      <w:szCs w:val="21"/>
                    </w:rPr>
                  </w:pPr>
                  <w:r>
                    <w:rPr>
                      <w:rFonts w:hint="eastAsia"/>
                      <w:szCs w:val="21"/>
                    </w:rPr>
                    <w:t>噪声</w:t>
                  </w:r>
                </w:p>
              </w:tc>
              <w:tc>
                <w:tcPr>
                  <w:tcW w:w="1135" w:type="pct"/>
                  <w:noWrap w:val="0"/>
                  <w:vAlign w:val="center"/>
                </w:tcPr>
                <w:p w14:paraId="27D6DD89">
                  <w:pPr>
                    <w:adjustRightInd w:val="0"/>
                    <w:snapToGrid w:val="0"/>
                    <w:jc w:val="center"/>
                    <w:rPr>
                      <w:szCs w:val="21"/>
                    </w:rPr>
                  </w:pPr>
                  <w:r>
                    <w:rPr>
                      <w:rFonts w:hint="eastAsia"/>
                      <w:szCs w:val="21"/>
                    </w:rPr>
                    <w:t>设备噪声</w:t>
                  </w:r>
                </w:p>
              </w:tc>
              <w:tc>
                <w:tcPr>
                  <w:tcW w:w="2739" w:type="pct"/>
                  <w:noWrap w:val="0"/>
                  <w:vAlign w:val="center"/>
                </w:tcPr>
                <w:p w14:paraId="7FF23190">
                  <w:pPr>
                    <w:adjustRightInd w:val="0"/>
                    <w:snapToGrid w:val="0"/>
                    <w:jc w:val="center"/>
                    <w:rPr>
                      <w:kern w:val="0"/>
                      <w:szCs w:val="21"/>
                    </w:rPr>
                  </w:pPr>
                  <w:r>
                    <w:rPr>
                      <w:rFonts w:hint="eastAsia"/>
                      <w:kern w:val="0"/>
                      <w:szCs w:val="21"/>
                    </w:rPr>
                    <w:t>基础减振，厂房隔声</w:t>
                  </w:r>
                </w:p>
              </w:tc>
              <w:tc>
                <w:tcPr>
                  <w:tcW w:w="706" w:type="pct"/>
                  <w:noWrap w:val="0"/>
                  <w:vAlign w:val="center"/>
                </w:tcPr>
                <w:p w14:paraId="208B98D0">
                  <w:pPr>
                    <w:adjustRightInd w:val="0"/>
                    <w:snapToGrid w:val="0"/>
                    <w:jc w:val="center"/>
                    <w:rPr>
                      <w:rFonts w:hint="default" w:eastAsia="宋体"/>
                      <w:szCs w:val="21"/>
                      <w:lang w:val="en-US" w:eastAsia="zh-CN"/>
                    </w:rPr>
                  </w:pPr>
                  <w:r>
                    <w:rPr>
                      <w:rFonts w:hint="eastAsia"/>
                      <w:szCs w:val="21"/>
                      <w:lang w:val="en-US" w:eastAsia="zh-CN"/>
                    </w:rPr>
                    <w:t>5</w:t>
                  </w:r>
                </w:p>
              </w:tc>
            </w:tr>
            <w:tr w14:paraId="4755BA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jc w:val="center"/>
              </w:trPr>
              <w:tc>
                <w:tcPr>
                  <w:tcW w:w="418" w:type="pct"/>
                  <w:vMerge w:val="restart"/>
                  <w:noWrap w:val="0"/>
                  <w:vAlign w:val="center"/>
                </w:tcPr>
                <w:p w14:paraId="067E2A15">
                  <w:pPr>
                    <w:adjustRightInd w:val="0"/>
                    <w:snapToGrid w:val="0"/>
                    <w:jc w:val="center"/>
                    <w:rPr>
                      <w:szCs w:val="21"/>
                    </w:rPr>
                  </w:pPr>
                  <w:r>
                    <w:rPr>
                      <w:rFonts w:hint="eastAsia"/>
                      <w:szCs w:val="21"/>
                    </w:rPr>
                    <w:t>固废处理</w:t>
                  </w:r>
                </w:p>
              </w:tc>
              <w:tc>
                <w:tcPr>
                  <w:tcW w:w="1135" w:type="pct"/>
                  <w:vMerge w:val="restart"/>
                  <w:noWrap w:val="0"/>
                  <w:vAlign w:val="center"/>
                </w:tcPr>
                <w:p w14:paraId="10B8EF21">
                  <w:pPr>
                    <w:adjustRightInd w:val="0"/>
                    <w:snapToGrid w:val="0"/>
                    <w:jc w:val="center"/>
                    <w:rPr>
                      <w:rFonts w:hint="eastAsia"/>
                      <w:szCs w:val="21"/>
                    </w:rPr>
                  </w:pPr>
                  <w:r>
                    <w:rPr>
                      <w:rFonts w:hint="eastAsia"/>
                      <w:szCs w:val="21"/>
                    </w:rPr>
                    <w:t>固废处理</w:t>
                  </w:r>
                </w:p>
              </w:tc>
              <w:tc>
                <w:tcPr>
                  <w:tcW w:w="2739" w:type="pct"/>
                  <w:noWrap w:val="0"/>
                  <w:vAlign w:val="center"/>
                </w:tcPr>
                <w:p w14:paraId="4A9BDE06">
                  <w:pPr>
                    <w:adjustRightInd w:val="0"/>
                    <w:snapToGrid w:val="0"/>
                    <w:jc w:val="center"/>
                    <w:rPr>
                      <w:rFonts w:hint="eastAsia" w:eastAsia="宋体"/>
                      <w:szCs w:val="21"/>
                      <w:lang w:val="en-US" w:eastAsia="zh-CN"/>
                    </w:rPr>
                  </w:pPr>
                  <w:r>
                    <w:rPr>
                      <w:rFonts w:hint="eastAsia"/>
                      <w:szCs w:val="21"/>
                    </w:rPr>
                    <w:t>位于</w:t>
                  </w:r>
                  <w:r>
                    <w:rPr>
                      <w:rFonts w:hint="eastAsia"/>
                      <w:szCs w:val="21"/>
                      <w:lang w:val="en-US" w:eastAsia="zh-CN"/>
                    </w:rPr>
                    <w:t>院区东侧</w:t>
                  </w:r>
                  <w:r>
                    <w:rPr>
                      <w:rFonts w:hint="eastAsia"/>
                      <w:szCs w:val="21"/>
                    </w:rPr>
                    <w:t>，设置一般固废暂存间，面积约10m</w:t>
                  </w:r>
                  <w:r>
                    <w:rPr>
                      <w:rFonts w:hint="eastAsia"/>
                      <w:szCs w:val="21"/>
                      <w:vertAlign w:val="superscript"/>
                    </w:rPr>
                    <w:t>2</w:t>
                  </w:r>
                  <w:r>
                    <w:rPr>
                      <w:rFonts w:hint="eastAsia"/>
                      <w:szCs w:val="21"/>
                    </w:rPr>
                    <w:t>，暂存一般固废</w:t>
                  </w:r>
                  <w:r>
                    <w:rPr>
                      <w:rFonts w:hint="eastAsia"/>
                      <w:szCs w:val="21"/>
                      <w:lang w:val="en-US" w:eastAsia="zh-CN"/>
                    </w:rPr>
                    <w:t>。</w:t>
                  </w:r>
                </w:p>
              </w:tc>
              <w:tc>
                <w:tcPr>
                  <w:tcW w:w="706" w:type="pct"/>
                  <w:noWrap w:val="0"/>
                  <w:vAlign w:val="center"/>
                </w:tcPr>
                <w:p w14:paraId="1B5F0CEA">
                  <w:pPr>
                    <w:adjustRightInd w:val="0"/>
                    <w:snapToGrid w:val="0"/>
                    <w:jc w:val="center"/>
                    <w:rPr>
                      <w:rFonts w:hint="eastAsia" w:eastAsia="宋体"/>
                      <w:szCs w:val="21"/>
                      <w:lang w:eastAsia="zh-CN"/>
                    </w:rPr>
                  </w:pPr>
                  <w:r>
                    <w:rPr>
                      <w:rFonts w:hint="eastAsia"/>
                      <w:szCs w:val="21"/>
                    </w:rPr>
                    <w:t>0.</w:t>
                  </w:r>
                  <w:r>
                    <w:rPr>
                      <w:rFonts w:hint="eastAsia"/>
                      <w:szCs w:val="21"/>
                      <w:lang w:val="en-US" w:eastAsia="zh-CN"/>
                    </w:rPr>
                    <w:t>3</w:t>
                  </w:r>
                </w:p>
              </w:tc>
            </w:tr>
            <w:tr w14:paraId="6917EB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8" w:type="pct"/>
                  <w:vMerge w:val="continue"/>
                  <w:noWrap w:val="0"/>
                  <w:vAlign w:val="center"/>
                </w:tcPr>
                <w:p w14:paraId="076F3907">
                  <w:pPr>
                    <w:adjustRightInd w:val="0"/>
                    <w:snapToGrid w:val="0"/>
                    <w:jc w:val="center"/>
                    <w:rPr>
                      <w:szCs w:val="21"/>
                    </w:rPr>
                  </w:pPr>
                </w:p>
              </w:tc>
              <w:tc>
                <w:tcPr>
                  <w:tcW w:w="1135" w:type="pct"/>
                  <w:vMerge w:val="continue"/>
                  <w:noWrap w:val="0"/>
                  <w:vAlign w:val="center"/>
                </w:tcPr>
                <w:p w14:paraId="373E3E09">
                  <w:pPr>
                    <w:adjustRightInd w:val="0"/>
                    <w:snapToGrid w:val="0"/>
                    <w:jc w:val="center"/>
                    <w:rPr>
                      <w:szCs w:val="21"/>
                    </w:rPr>
                  </w:pPr>
                </w:p>
              </w:tc>
              <w:tc>
                <w:tcPr>
                  <w:tcW w:w="2739" w:type="pct"/>
                  <w:noWrap w:val="0"/>
                  <w:vAlign w:val="center"/>
                </w:tcPr>
                <w:p w14:paraId="4B865A3B">
                  <w:pPr>
                    <w:pStyle w:val="23"/>
                    <w:spacing w:line="240" w:lineRule="auto"/>
                    <w:jc w:val="center"/>
                    <w:rPr>
                      <w:rFonts w:hint="eastAsia"/>
                      <w:b w:val="0"/>
                      <w:bCs/>
                      <w:sz w:val="21"/>
                      <w:szCs w:val="21"/>
                    </w:rPr>
                  </w:pPr>
                  <w:r>
                    <w:rPr>
                      <w:rFonts w:hint="eastAsia"/>
                      <w:b w:val="0"/>
                      <w:bCs/>
                      <w:sz w:val="21"/>
                      <w:szCs w:val="21"/>
                      <w:lang w:val="en-US" w:eastAsia="zh-CN"/>
                    </w:rPr>
                    <w:t>危险</w:t>
                  </w:r>
                  <w:r>
                    <w:rPr>
                      <w:rFonts w:hint="eastAsia"/>
                      <w:b w:val="0"/>
                      <w:bCs/>
                      <w:sz w:val="21"/>
                      <w:szCs w:val="21"/>
                    </w:rPr>
                    <w:t>废物：</w:t>
                  </w:r>
                </w:p>
                <w:p w14:paraId="5BD2E908">
                  <w:pPr>
                    <w:pStyle w:val="23"/>
                    <w:spacing w:line="240" w:lineRule="auto"/>
                    <w:jc w:val="center"/>
                    <w:rPr>
                      <w:rFonts w:hint="eastAsia" w:eastAsia="宋体"/>
                      <w:sz w:val="21"/>
                      <w:szCs w:val="21"/>
                      <w:lang w:val="en-US" w:eastAsia="zh-CN"/>
                    </w:rPr>
                  </w:pPr>
                  <w:r>
                    <w:rPr>
                      <w:rFonts w:hint="eastAsia" w:ascii="Times New Roman" w:hAnsi="Times New Roman"/>
                      <w:b w:val="0"/>
                      <w:bCs/>
                      <w:sz w:val="21"/>
                      <w:szCs w:val="21"/>
                    </w:rPr>
                    <w:t>位于</w:t>
                  </w:r>
                  <w:r>
                    <w:rPr>
                      <w:rFonts w:hint="eastAsia" w:ascii="Times New Roman" w:hAnsi="Times New Roman"/>
                      <w:b w:val="0"/>
                      <w:bCs/>
                      <w:sz w:val="21"/>
                      <w:szCs w:val="21"/>
                      <w:lang w:val="en-US" w:eastAsia="zh-CN"/>
                    </w:rPr>
                    <w:t>院区东侧</w:t>
                  </w:r>
                  <w:r>
                    <w:rPr>
                      <w:rFonts w:hint="eastAsia" w:ascii="Times New Roman" w:hAnsi="Times New Roman"/>
                      <w:b w:val="0"/>
                      <w:bCs/>
                      <w:sz w:val="21"/>
                      <w:szCs w:val="21"/>
                    </w:rPr>
                    <w:t>，设置1处医疗废物暂存间，占地面积</w:t>
                  </w:r>
                  <w:r>
                    <w:rPr>
                      <w:rFonts w:hint="eastAsia" w:ascii="Times New Roman" w:hAnsi="Times New Roman"/>
                      <w:b w:val="0"/>
                      <w:bCs/>
                      <w:sz w:val="21"/>
                      <w:szCs w:val="21"/>
                      <w:lang w:val="en-US" w:eastAsia="zh-CN"/>
                    </w:rPr>
                    <w:t>3</w:t>
                  </w:r>
                  <w:r>
                    <w:rPr>
                      <w:rFonts w:hint="eastAsia" w:ascii="Times New Roman" w:hAnsi="Times New Roman"/>
                      <w:b w:val="0"/>
                      <w:bCs/>
                      <w:sz w:val="21"/>
                      <w:szCs w:val="21"/>
                    </w:rPr>
                    <w:t>0m</w:t>
                  </w:r>
                  <w:r>
                    <w:rPr>
                      <w:rFonts w:hint="eastAsia" w:ascii="Times New Roman" w:hAnsi="Times New Roman"/>
                      <w:b w:val="0"/>
                      <w:bCs/>
                      <w:sz w:val="21"/>
                      <w:szCs w:val="21"/>
                      <w:vertAlign w:val="superscript"/>
                    </w:rPr>
                    <w:t>2</w:t>
                  </w:r>
                  <w:r>
                    <w:rPr>
                      <w:rFonts w:hint="eastAsia" w:ascii="Times New Roman" w:hAnsi="Times New Roman"/>
                      <w:b w:val="0"/>
                      <w:bCs/>
                      <w:sz w:val="21"/>
                      <w:szCs w:val="21"/>
                      <w:lang w:val="en-US" w:eastAsia="zh-CN"/>
                    </w:rPr>
                    <w:t>，暂存医疗废物，定期交有资质单位处理。在污水处理站北侧设置危废暂存间一间，约20m</w:t>
                  </w:r>
                  <w:r>
                    <w:rPr>
                      <w:rFonts w:hint="eastAsia" w:ascii="Times New Roman" w:hAnsi="Times New Roman"/>
                      <w:b w:val="0"/>
                      <w:bCs/>
                      <w:sz w:val="21"/>
                      <w:szCs w:val="21"/>
                      <w:vertAlign w:val="superscript"/>
                      <w:lang w:val="en-US" w:eastAsia="zh-CN"/>
                    </w:rPr>
                    <w:t>2</w:t>
                  </w:r>
                  <w:r>
                    <w:rPr>
                      <w:rFonts w:hint="eastAsia" w:ascii="Times New Roman" w:hAnsi="Times New Roman"/>
                      <w:b w:val="0"/>
                      <w:bCs/>
                      <w:sz w:val="21"/>
                      <w:szCs w:val="21"/>
                      <w:lang w:val="en-US" w:eastAsia="zh-CN"/>
                    </w:rPr>
                    <w:t>，</w:t>
                  </w:r>
                  <w:r>
                    <w:rPr>
                      <w:rFonts w:ascii="Times New Roman" w:hAnsi="Times New Roman"/>
                      <w:b w:val="0"/>
                      <w:bCs/>
                      <w:sz w:val="21"/>
                      <w:szCs w:val="21"/>
                    </w:rPr>
                    <w:t>暂存产生的</w:t>
                  </w:r>
                  <w:r>
                    <w:rPr>
                      <w:rFonts w:hint="eastAsia" w:ascii="Times New Roman" w:hAnsi="Times New Roman"/>
                      <w:b w:val="0"/>
                      <w:bCs/>
                      <w:sz w:val="21"/>
                      <w:szCs w:val="21"/>
                      <w:lang w:eastAsia="zh-CN"/>
                    </w:rPr>
                    <w:t>污泥栅渣等</w:t>
                  </w:r>
                  <w:r>
                    <w:rPr>
                      <w:rFonts w:ascii="Times New Roman" w:hAnsi="Times New Roman"/>
                      <w:b w:val="0"/>
                      <w:bCs/>
                      <w:sz w:val="21"/>
                      <w:szCs w:val="21"/>
                    </w:rPr>
                    <w:t>，交有资质单位进行处理</w:t>
                  </w:r>
                </w:p>
              </w:tc>
              <w:tc>
                <w:tcPr>
                  <w:tcW w:w="706" w:type="pct"/>
                  <w:noWrap w:val="0"/>
                  <w:vAlign w:val="center"/>
                </w:tcPr>
                <w:p w14:paraId="2F738DD0">
                  <w:pPr>
                    <w:adjustRightInd w:val="0"/>
                    <w:snapToGrid w:val="0"/>
                    <w:jc w:val="center"/>
                    <w:rPr>
                      <w:rFonts w:hint="default" w:eastAsia="宋体"/>
                      <w:szCs w:val="21"/>
                      <w:lang w:val="en-US" w:eastAsia="zh-CN"/>
                    </w:rPr>
                  </w:pPr>
                  <w:r>
                    <w:rPr>
                      <w:rFonts w:hint="eastAsia"/>
                      <w:szCs w:val="21"/>
                    </w:rPr>
                    <w:t>2</w:t>
                  </w:r>
                  <w:r>
                    <w:rPr>
                      <w:rFonts w:hint="eastAsia"/>
                      <w:szCs w:val="21"/>
                      <w:lang w:val="en-US" w:eastAsia="zh-CN"/>
                    </w:rPr>
                    <w:t>.5</w:t>
                  </w:r>
                </w:p>
              </w:tc>
            </w:tr>
            <w:tr w14:paraId="09A3BC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8" w:type="pct"/>
                  <w:vMerge w:val="continue"/>
                  <w:noWrap w:val="0"/>
                  <w:vAlign w:val="center"/>
                </w:tcPr>
                <w:p w14:paraId="6454ABB9">
                  <w:pPr>
                    <w:adjustRightInd w:val="0"/>
                    <w:snapToGrid w:val="0"/>
                    <w:jc w:val="center"/>
                    <w:rPr>
                      <w:szCs w:val="21"/>
                    </w:rPr>
                  </w:pPr>
                </w:p>
              </w:tc>
              <w:tc>
                <w:tcPr>
                  <w:tcW w:w="1135" w:type="pct"/>
                  <w:vMerge w:val="continue"/>
                  <w:noWrap w:val="0"/>
                  <w:vAlign w:val="center"/>
                </w:tcPr>
                <w:p w14:paraId="2919F1B0">
                  <w:pPr>
                    <w:adjustRightInd w:val="0"/>
                    <w:snapToGrid w:val="0"/>
                    <w:jc w:val="center"/>
                    <w:rPr>
                      <w:szCs w:val="21"/>
                    </w:rPr>
                  </w:pPr>
                </w:p>
              </w:tc>
              <w:tc>
                <w:tcPr>
                  <w:tcW w:w="2739" w:type="pct"/>
                  <w:noWrap w:val="0"/>
                  <w:vAlign w:val="center"/>
                </w:tcPr>
                <w:p w14:paraId="6515E1A6">
                  <w:pPr>
                    <w:adjustRightInd w:val="0"/>
                    <w:snapToGrid w:val="0"/>
                    <w:jc w:val="center"/>
                    <w:rPr>
                      <w:rFonts w:hint="eastAsia"/>
                      <w:szCs w:val="21"/>
                    </w:rPr>
                  </w:pPr>
                  <w:r>
                    <w:rPr>
                      <w:rFonts w:hint="eastAsia"/>
                      <w:szCs w:val="21"/>
                    </w:rPr>
                    <w:t>生活垃圾设置垃圾桶进行分类收集</w:t>
                  </w:r>
                </w:p>
              </w:tc>
              <w:tc>
                <w:tcPr>
                  <w:tcW w:w="706" w:type="pct"/>
                  <w:noWrap w:val="0"/>
                  <w:vAlign w:val="center"/>
                </w:tcPr>
                <w:p w14:paraId="51BE7F09">
                  <w:pPr>
                    <w:adjustRightInd w:val="0"/>
                    <w:snapToGrid w:val="0"/>
                    <w:jc w:val="center"/>
                    <w:rPr>
                      <w:szCs w:val="21"/>
                    </w:rPr>
                  </w:pPr>
                  <w:r>
                    <w:rPr>
                      <w:rFonts w:hint="eastAsia"/>
                      <w:szCs w:val="21"/>
                    </w:rPr>
                    <w:t>0.2</w:t>
                  </w:r>
                </w:p>
              </w:tc>
            </w:tr>
            <w:tr w14:paraId="0FBB62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54" w:type="pct"/>
                  <w:gridSpan w:val="2"/>
                  <w:noWrap w:val="0"/>
                  <w:vAlign w:val="center"/>
                </w:tcPr>
                <w:p w14:paraId="7FE66A85">
                  <w:pPr>
                    <w:adjustRightInd w:val="0"/>
                    <w:snapToGrid w:val="0"/>
                    <w:jc w:val="center"/>
                    <w:rPr>
                      <w:szCs w:val="21"/>
                    </w:rPr>
                  </w:pPr>
                  <w:r>
                    <w:rPr>
                      <w:rFonts w:hint="eastAsia"/>
                      <w:szCs w:val="21"/>
                    </w:rPr>
                    <w:t>地下水、土壤防治</w:t>
                  </w:r>
                </w:p>
              </w:tc>
              <w:tc>
                <w:tcPr>
                  <w:tcW w:w="2739" w:type="pct"/>
                  <w:noWrap w:val="0"/>
                  <w:vAlign w:val="center"/>
                </w:tcPr>
                <w:p w14:paraId="73A3481D">
                  <w:pPr>
                    <w:jc w:val="center"/>
                    <w:rPr>
                      <w:rFonts w:hint="eastAsia" w:eastAsia="宋体"/>
                      <w:szCs w:val="21"/>
                      <w:lang w:val="en-US" w:eastAsia="zh-CN"/>
                    </w:rPr>
                  </w:pPr>
                  <w:r>
                    <w:rPr>
                      <w:rFonts w:hint="eastAsia"/>
                      <w:szCs w:val="21"/>
                    </w:rPr>
                    <w:t>对</w:t>
                  </w:r>
                  <w:r>
                    <w:rPr>
                      <w:rFonts w:hint="eastAsia"/>
                      <w:szCs w:val="21"/>
                      <w:lang w:eastAsia="zh-CN"/>
                    </w:rPr>
                    <w:t>化粪池、污水处理站、医疗废物暂存间、危险废物暂存间</w:t>
                  </w:r>
                  <w:r>
                    <w:rPr>
                      <w:rFonts w:hint="eastAsia"/>
                      <w:szCs w:val="21"/>
                    </w:rPr>
                    <w:t>进行重点防渗</w:t>
                  </w:r>
                  <w:r>
                    <w:rPr>
                      <w:rFonts w:hint="eastAsia"/>
                      <w:szCs w:val="21"/>
                      <w:lang w:eastAsia="zh-CN"/>
                    </w:rPr>
                    <w:t>：</w:t>
                  </w:r>
                  <w:r>
                    <w:rPr>
                      <w:rFonts w:hint="eastAsia" w:ascii="Times New Roman" w:hAnsi="Times New Roman" w:eastAsia="宋体"/>
                      <w:color w:val="auto"/>
                      <w:szCs w:val="21"/>
                      <w:lang w:val="en-US" w:eastAsia="zh-CN"/>
                    </w:rPr>
                    <w:t>采用高密度聚乙烯材料或其他人工防渗材料防渗，防渗系数≤1.0×10</w:t>
                  </w:r>
                  <w:r>
                    <w:rPr>
                      <w:rFonts w:hint="eastAsia" w:ascii="Times New Roman" w:hAnsi="Times New Roman" w:eastAsia="宋体"/>
                      <w:color w:val="auto"/>
                      <w:szCs w:val="21"/>
                      <w:vertAlign w:val="superscript"/>
                      <w:lang w:val="en-US" w:eastAsia="zh-CN"/>
                    </w:rPr>
                    <w:t>-10</w:t>
                  </w:r>
                  <w:r>
                    <w:rPr>
                      <w:rFonts w:hint="eastAsia" w:ascii="Times New Roman" w:hAnsi="Times New Roman" w:eastAsia="宋体"/>
                      <w:color w:val="auto"/>
                      <w:szCs w:val="21"/>
                      <w:lang w:val="en-US" w:eastAsia="zh-CN"/>
                    </w:rPr>
                    <w:t>cm/s</w:t>
                  </w:r>
                  <w:r>
                    <w:rPr>
                      <w:rFonts w:hint="eastAsia"/>
                      <w:szCs w:val="21"/>
                    </w:rPr>
                    <w:t>；</w:t>
                  </w:r>
                  <w:r>
                    <w:rPr>
                      <w:rFonts w:hint="eastAsia"/>
                      <w:szCs w:val="21"/>
                      <w:lang w:eastAsia="zh-CN"/>
                    </w:rPr>
                    <w:t>一般固废区</w:t>
                  </w:r>
                  <w:r>
                    <w:rPr>
                      <w:rFonts w:hint="eastAsia"/>
                      <w:szCs w:val="21"/>
                    </w:rPr>
                    <w:t>进行一般防渗</w:t>
                  </w:r>
                  <w:r>
                    <w:rPr>
                      <w:rFonts w:hint="eastAsia"/>
                      <w:szCs w:val="21"/>
                      <w:lang w:eastAsia="zh-CN"/>
                    </w:rPr>
                    <w:t>：</w:t>
                  </w:r>
                  <w:r>
                    <w:rPr>
                      <w:rFonts w:hint="eastAsia" w:ascii="Times New Roman" w:hAnsi="Times New Roman" w:eastAsia="宋体"/>
                      <w:color w:val="auto"/>
                      <w:szCs w:val="21"/>
                      <w:lang w:val="en-US" w:eastAsia="zh-CN"/>
                    </w:rPr>
                    <w:t>防渗采用硬化防渗水泥地面防渗，防渗系数≤1.0×10</w:t>
                  </w:r>
                  <w:r>
                    <w:rPr>
                      <w:rFonts w:hint="eastAsia" w:ascii="Times New Roman" w:hAnsi="Times New Roman" w:eastAsia="宋体"/>
                      <w:color w:val="auto"/>
                      <w:szCs w:val="21"/>
                      <w:vertAlign w:val="superscript"/>
                      <w:lang w:val="en-US" w:eastAsia="zh-CN"/>
                    </w:rPr>
                    <w:t>-7</w:t>
                  </w:r>
                  <w:r>
                    <w:rPr>
                      <w:rFonts w:hint="eastAsia" w:ascii="Times New Roman" w:hAnsi="Times New Roman" w:eastAsia="宋体"/>
                      <w:color w:val="auto"/>
                      <w:szCs w:val="21"/>
                      <w:lang w:val="en-US" w:eastAsia="zh-CN"/>
                    </w:rPr>
                    <w:t>cm/s</w:t>
                  </w:r>
                  <w:r>
                    <w:rPr>
                      <w:rFonts w:hint="eastAsia"/>
                      <w:szCs w:val="21"/>
                    </w:rPr>
                    <w:t>。</w:t>
                  </w:r>
                  <w:r>
                    <w:rPr>
                      <w:rFonts w:hint="eastAsia"/>
                      <w:szCs w:val="21"/>
                      <w:lang w:eastAsia="zh-CN"/>
                    </w:rPr>
                    <w:t>医院其他区域</w:t>
                  </w:r>
                  <w:r>
                    <w:rPr>
                      <w:rFonts w:hint="eastAsia"/>
                      <w:szCs w:val="21"/>
                    </w:rPr>
                    <w:t>进行简单防渗</w:t>
                  </w:r>
                  <w:r>
                    <w:rPr>
                      <w:rFonts w:hint="eastAsia"/>
                      <w:szCs w:val="21"/>
                      <w:lang w:eastAsia="zh-CN"/>
                    </w:rPr>
                    <w:t>。</w:t>
                  </w:r>
                </w:p>
              </w:tc>
              <w:tc>
                <w:tcPr>
                  <w:tcW w:w="706" w:type="pct"/>
                  <w:noWrap w:val="0"/>
                  <w:vAlign w:val="center"/>
                </w:tcPr>
                <w:p w14:paraId="218B09AC">
                  <w:pPr>
                    <w:adjustRightInd w:val="0"/>
                    <w:snapToGrid w:val="0"/>
                    <w:jc w:val="center"/>
                    <w:rPr>
                      <w:rFonts w:hint="eastAsia"/>
                      <w:szCs w:val="21"/>
                    </w:rPr>
                  </w:pPr>
                  <w:r>
                    <w:rPr>
                      <w:rFonts w:hint="eastAsia"/>
                      <w:szCs w:val="21"/>
                    </w:rPr>
                    <w:t>2</w:t>
                  </w:r>
                </w:p>
              </w:tc>
            </w:tr>
            <w:tr w14:paraId="56D12A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54" w:type="pct"/>
                  <w:gridSpan w:val="2"/>
                  <w:noWrap w:val="0"/>
                  <w:vAlign w:val="center"/>
                </w:tcPr>
                <w:p w14:paraId="227CE01B">
                  <w:pPr>
                    <w:adjustRightInd w:val="0"/>
                    <w:snapToGrid w:val="0"/>
                    <w:jc w:val="center"/>
                    <w:rPr>
                      <w:szCs w:val="21"/>
                    </w:rPr>
                  </w:pPr>
                  <w:r>
                    <w:rPr>
                      <w:rFonts w:hint="eastAsia"/>
                      <w:szCs w:val="21"/>
                    </w:rPr>
                    <w:t>环境风险</w:t>
                  </w:r>
                </w:p>
              </w:tc>
              <w:tc>
                <w:tcPr>
                  <w:tcW w:w="2739" w:type="pct"/>
                  <w:noWrap w:val="0"/>
                  <w:vAlign w:val="center"/>
                </w:tcPr>
                <w:p w14:paraId="69B64075">
                  <w:pPr>
                    <w:adjustRightInd w:val="0"/>
                    <w:snapToGrid w:val="0"/>
                    <w:jc w:val="center"/>
                    <w:rPr>
                      <w:rFonts w:hint="eastAsia" w:eastAsia="宋体"/>
                      <w:szCs w:val="21"/>
                      <w:lang w:eastAsia="zh-CN"/>
                    </w:rPr>
                  </w:pPr>
                  <w:r>
                    <w:rPr>
                      <w:rFonts w:hint="eastAsia"/>
                      <w:szCs w:val="21"/>
                      <w:lang w:eastAsia="zh-CN"/>
                    </w:rPr>
                    <w:t>分区防渗，</w:t>
                  </w:r>
                  <w:r>
                    <w:rPr>
                      <w:rFonts w:hint="eastAsia"/>
                      <w:bCs/>
                      <w:color w:val="auto"/>
                      <w:szCs w:val="21"/>
                      <w:highlight w:val="none"/>
                      <w:lang w:eastAsia="zh-CN"/>
                    </w:rPr>
                    <w:t>医疗废物暂存间、危险废物暂存间、柴油存储间</w:t>
                  </w:r>
                  <w:r>
                    <w:rPr>
                      <w:rFonts w:hint="eastAsia"/>
                      <w:color w:val="auto"/>
                      <w:szCs w:val="21"/>
                      <w:highlight w:val="none"/>
                    </w:rPr>
                    <w:t>进行重点防渗</w:t>
                  </w:r>
                  <w:r>
                    <w:rPr>
                      <w:rFonts w:hint="eastAsia"/>
                      <w:color w:val="auto"/>
                      <w:szCs w:val="21"/>
                      <w:highlight w:val="none"/>
                      <w:lang w:eastAsia="zh-CN"/>
                    </w:rPr>
                    <w:t>；柴油存储间四周设置围堰，</w:t>
                  </w:r>
                  <w:r>
                    <w:rPr>
                      <w:rFonts w:ascii="Times New Roman" w:hAnsi="Times New Roman"/>
                      <w:color w:val="000000"/>
                      <w:szCs w:val="21"/>
                    </w:rPr>
                    <w:t>加强厂区管理，设备定期维护、保养，确保废水稳定达标排放</w:t>
                  </w:r>
                  <w:r>
                    <w:rPr>
                      <w:rFonts w:hint="eastAsia" w:ascii="Times New Roman" w:hAnsi="Times New Roman"/>
                      <w:color w:val="000000"/>
                      <w:szCs w:val="21"/>
                      <w:lang w:eastAsia="zh-CN"/>
                    </w:rPr>
                    <w:t>，</w:t>
                  </w:r>
                  <w:r>
                    <w:rPr>
                      <w:rFonts w:ascii="Times New Roman" w:hAnsi="Times New Roman"/>
                      <w:color w:val="000000"/>
                      <w:szCs w:val="21"/>
                    </w:rPr>
                    <w:t>污水处理站配套建设1座事故应急池，有效容积</w:t>
                  </w:r>
                  <w:r>
                    <w:rPr>
                      <w:rFonts w:hint="eastAsia"/>
                      <w:color w:val="000000"/>
                      <w:szCs w:val="21"/>
                      <w:lang w:val="en-US" w:eastAsia="zh-CN"/>
                    </w:rPr>
                    <w:t>2</w:t>
                  </w:r>
                  <w:r>
                    <w:rPr>
                      <w:rFonts w:hint="eastAsia" w:ascii="Times New Roman" w:hAnsi="Times New Roman"/>
                      <w:color w:val="000000"/>
                      <w:szCs w:val="21"/>
                      <w:lang w:val="en-US" w:eastAsia="zh-CN"/>
                    </w:rPr>
                    <w:t>0</w:t>
                  </w:r>
                  <w:r>
                    <w:rPr>
                      <w:rFonts w:ascii="Times New Roman" w:hAnsi="Times New Roman"/>
                      <w:color w:val="000000"/>
                      <w:szCs w:val="21"/>
                    </w:rPr>
                    <w:t>m</w:t>
                  </w:r>
                  <w:r>
                    <w:rPr>
                      <w:rFonts w:ascii="Times New Roman" w:hAnsi="Times New Roman"/>
                      <w:color w:val="000000"/>
                      <w:szCs w:val="21"/>
                      <w:vertAlign w:val="superscript"/>
                    </w:rPr>
                    <w:t>3</w:t>
                  </w:r>
                  <w:r>
                    <w:rPr>
                      <w:rFonts w:ascii="Times New Roman" w:hAnsi="Times New Roman"/>
                      <w:color w:val="000000"/>
                      <w:szCs w:val="21"/>
                    </w:rPr>
                    <w:t>，用于收集事故状态下废水。</w:t>
                  </w:r>
                </w:p>
              </w:tc>
              <w:tc>
                <w:tcPr>
                  <w:tcW w:w="706" w:type="pct"/>
                  <w:noWrap w:val="0"/>
                  <w:vAlign w:val="center"/>
                </w:tcPr>
                <w:p w14:paraId="1101B755">
                  <w:pPr>
                    <w:adjustRightInd w:val="0"/>
                    <w:snapToGrid w:val="0"/>
                    <w:jc w:val="center"/>
                    <w:rPr>
                      <w:rFonts w:hint="eastAsia" w:eastAsia="宋体"/>
                      <w:szCs w:val="21"/>
                      <w:lang w:eastAsia="zh-CN"/>
                    </w:rPr>
                  </w:pPr>
                  <w:r>
                    <w:rPr>
                      <w:rFonts w:hint="eastAsia"/>
                      <w:szCs w:val="21"/>
                      <w:lang w:val="en-US" w:eastAsia="zh-CN"/>
                    </w:rPr>
                    <w:t>2</w:t>
                  </w:r>
                </w:p>
              </w:tc>
            </w:tr>
            <w:tr w14:paraId="5DD9F2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293" w:type="pct"/>
                  <w:gridSpan w:val="3"/>
                  <w:noWrap w:val="0"/>
                  <w:vAlign w:val="center"/>
                </w:tcPr>
                <w:p w14:paraId="6983C576">
                  <w:pPr>
                    <w:adjustRightInd w:val="0"/>
                    <w:snapToGrid w:val="0"/>
                    <w:jc w:val="center"/>
                    <w:rPr>
                      <w:szCs w:val="21"/>
                    </w:rPr>
                  </w:pPr>
                  <w:r>
                    <w:rPr>
                      <w:rFonts w:hint="eastAsia"/>
                      <w:szCs w:val="21"/>
                    </w:rPr>
                    <w:t>总计</w:t>
                  </w:r>
                </w:p>
              </w:tc>
              <w:tc>
                <w:tcPr>
                  <w:tcW w:w="706" w:type="pct"/>
                  <w:noWrap w:val="0"/>
                  <w:vAlign w:val="center"/>
                </w:tcPr>
                <w:p w14:paraId="6DAFB3A9">
                  <w:pPr>
                    <w:adjustRightInd w:val="0"/>
                    <w:snapToGrid w:val="0"/>
                    <w:jc w:val="center"/>
                    <w:rPr>
                      <w:rFonts w:hint="default" w:eastAsia="宋体"/>
                      <w:szCs w:val="21"/>
                      <w:lang w:val="en-US" w:eastAsia="zh-CN"/>
                    </w:rPr>
                  </w:pPr>
                  <w:r>
                    <w:rPr>
                      <w:rFonts w:hint="eastAsia"/>
                      <w:szCs w:val="21"/>
                      <w:lang w:val="en-US" w:eastAsia="zh-CN"/>
                    </w:rPr>
                    <w:t>55</w:t>
                  </w:r>
                </w:p>
              </w:tc>
            </w:tr>
          </w:tbl>
          <w:p w14:paraId="52BA96F2">
            <w:pPr>
              <w:pStyle w:val="19"/>
              <w:ind w:firstLine="0"/>
              <w:rPr>
                <w:rFonts w:ascii="Times New Roman"/>
                <w:sz w:val="24"/>
                <w:szCs w:val="24"/>
              </w:rPr>
            </w:pPr>
          </w:p>
        </w:tc>
      </w:tr>
    </w:tbl>
    <w:p w14:paraId="0E8BF38B">
      <w:pPr>
        <w:pStyle w:val="13"/>
        <w:jc w:val="center"/>
        <w:outlineLvl w:val="0"/>
        <w:rPr>
          <w:rFonts w:ascii="黑体" w:hAnsi="黑体" w:eastAsia="黑体"/>
          <w:snapToGrid w:val="0"/>
          <w:sz w:val="30"/>
          <w:szCs w:val="30"/>
        </w:rPr>
      </w:pPr>
      <w:r>
        <w:rPr>
          <w:rFonts w:hint="eastAsia" w:ascii="黑体" w:hAnsi="黑体" w:eastAsia="黑体"/>
          <w:snapToGrid w:val="0"/>
          <w:sz w:val="30"/>
          <w:szCs w:val="30"/>
        </w:rPr>
        <w:t>五、</w:t>
      </w:r>
      <w:bookmarkStart w:id="10" w:name="_Hlk54167917"/>
      <w:r>
        <w:rPr>
          <w:rFonts w:hint="eastAsia" w:ascii="黑体" w:hAnsi="黑体" w:eastAsia="黑体"/>
          <w:snapToGrid w:val="0"/>
          <w:sz w:val="30"/>
          <w:szCs w:val="30"/>
        </w:rPr>
        <w:t>环境保护措施监督检查清单</w:t>
      </w:r>
      <w:bookmarkEnd w:id="10"/>
    </w:p>
    <w:tbl>
      <w:tblPr>
        <w:tblStyle w:val="14"/>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288"/>
        <w:gridCol w:w="1588"/>
        <w:gridCol w:w="960"/>
        <w:gridCol w:w="2472"/>
        <w:gridCol w:w="2492"/>
      </w:tblGrid>
      <w:tr w14:paraId="091F0DC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1288" w:type="dxa"/>
            <w:tcBorders>
              <w:tl2br w:val="single" w:color="auto" w:sz="4" w:space="0"/>
            </w:tcBorders>
            <w:noWrap w:val="0"/>
            <w:vAlign w:val="top"/>
          </w:tcPr>
          <w:p w14:paraId="75A153EF">
            <w:pPr>
              <w:adjustRightInd w:val="0"/>
              <w:snapToGrid w:val="0"/>
              <w:ind w:firstLine="630" w:firstLineChars="300"/>
              <w:rPr>
                <w:rFonts w:hint="eastAsia" w:ascii="宋体" w:hAnsi="宋体" w:cs="宋体"/>
                <w:szCs w:val="21"/>
              </w:rPr>
            </w:pPr>
            <w:r>
              <w:rPr>
                <w:rFonts w:hint="eastAsia" w:ascii="宋体" w:hAnsi="宋体" w:cs="宋体"/>
                <w:szCs w:val="21"/>
              </w:rPr>
              <w:t>内容</w:t>
            </w:r>
          </w:p>
          <w:p w14:paraId="366024AD">
            <w:pPr>
              <w:adjustRightInd w:val="0"/>
              <w:snapToGrid w:val="0"/>
              <w:rPr>
                <w:rFonts w:hint="eastAsia" w:ascii="宋体" w:hAnsi="宋体" w:cs="宋体"/>
                <w:szCs w:val="21"/>
              </w:rPr>
            </w:pPr>
            <w:r>
              <w:rPr>
                <w:rFonts w:hint="eastAsia" w:ascii="宋体" w:hAnsi="宋体" w:cs="宋体"/>
                <w:szCs w:val="21"/>
              </w:rPr>
              <w:t>要素</w:t>
            </w:r>
          </w:p>
        </w:tc>
        <w:tc>
          <w:tcPr>
            <w:tcW w:w="1588" w:type="dxa"/>
            <w:noWrap w:val="0"/>
            <w:vAlign w:val="center"/>
          </w:tcPr>
          <w:p w14:paraId="01FF7C62">
            <w:pPr>
              <w:adjustRightInd w:val="0"/>
              <w:snapToGrid w:val="0"/>
              <w:jc w:val="center"/>
              <w:rPr>
                <w:rFonts w:hint="eastAsia" w:ascii="宋体" w:hAnsi="宋体" w:cs="宋体"/>
                <w:szCs w:val="21"/>
              </w:rPr>
            </w:pPr>
            <w:r>
              <w:rPr>
                <w:rFonts w:hint="eastAsia" w:ascii="宋体" w:hAnsi="宋体" w:cs="宋体"/>
                <w:szCs w:val="21"/>
              </w:rPr>
              <w:t>排放口(编号、</w:t>
            </w:r>
          </w:p>
          <w:p w14:paraId="0222C9C7">
            <w:pPr>
              <w:adjustRightInd w:val="0"/>
              <w:snapToGrid w:val="0"/>
              <w:jc w:val="center"/>
              <w:rPr>
                <w:rFonts w:hint="eastAsia" w:ascii="宋体" w:hAnsi="宋体" w:cs="宋体"/>
                <w:szCs w:val="21"/>
              </w:rPr>
            </w:pPr>
            <w:r>
              <w:rPr>
                <w:rFonts w:hint="eastAsia" w:ascii="宋体" w:hAnsi="宋体" w:cs="宋体"/>
                <w:szCs w:val="21"/>
              </w:rPr>
              <w:t>名称)/污染源</w:t>
            </w:r>
          </w:p>
        </w:tc>
        <w:tc>
          <w:tcPr>
            <w:tcW w:w="960" w:type="dxa"/>
            <w:noWrap w:val="0"/>
            <w:vAlign w:val="center"/>
          </w:tcPr>
          <w:p w14:paraId="69B148D2">
            <w:pPr>
              <w:adjustRightInd w:val="0"/>
              <w:snapToGrid w:val="0"/>
              <w:jc w:val="center"/>
              <w:rPr>
                <w:rFonts w:hint="eastAsia" w:ascii="宋体" w:hAnsi="宋体" w:cs="宋体"/>
                <w:szCs w:val="21"/>
              </w:rPr>
            </w:pPr>
            <w:r>
              <w:rPr>
                <w:rFonts w:hint="eastAsia" w:ascii="宋体" w:hAnsi="宋体" w:cs="宋体"/>
                <w:szCs w:val="21"/>
              </w:rPr>
              <w:t>污染物项目</w:t>
            </w:r>
          </w:p>
        </w:tc>
        <w:tc>
          <w:tcPr>
            <w:tcW w:w="2472" w:type="dxa"/>
            <w:noWrap w:val="0"/>
            <w:vAlign w:val="center"/>
          </w:tcPr>
          <w:p w14:paraId="35825FE4">
            <w:pPr>
              <w:adjustRightInd w:val="0"/>
              <w:snapToGrid w:val="0"/>
              <w:jc w:val="center"/>
              <w:rPr>
                <w:rFonts w:hint="eastAsia" w:ascii="宋体" w:hAnsi="宋体" w:cs="宋体"/>
                <w:szCs w:val="21"/>
              </w:rPr>
            </w:pPr>
            <w:r>
              <w:rPr>
                <w:rFonts w:hint="eastAsia" w:ascii="宋体" w:hAnsi="宋体" w:cs="宋体"/>
                <w:szCs w:val="21"/>
              </w:rPr>
              <w:t>环境保护措施</w:t>
            </w:r>
          </w:p>
        </w:tc>
        <w:tc>
          <w:tcPr>
            <w:tcW w:w="2492" w:type="dxa"/>
            <w:noWrap w:val="0"/>
            <w:vAlign w:val="center"/>
          </w:tcPr>
          <w:p w14:paraId="15359664">
            <w:pPr>
              <w:adjustRightInd w:val="0"/>
              <w:snapToGrid w:val="0"/>
              <w:jc w:val="center"/>
              <w:rPr>
                <w:rFonts w:hint="eastAsia" w:ascii="宋体" w:hAnsi="宋体" w:cs="宋体"/>
                <w:szCs w:val="21"/>
              </w:rPr>
            </w:pPr>
            <w:r>
              <w:rPr>
                <w:rFonts w:hint="eastAsia" w:ascii="宋体" w:hAnsi="宋体" w:cs="宋体"/>
                <w:szCs w:val="21"/>
              </w:rPr>
              <w:t>执行标准</w:t>
            </w:r>
          </w:p>
        </w:tc>
      </w:tr>
      <w:tr w14:paraId="57A2B0F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93" w:hRule="atLeast"/>
          <w:jc w:val="center"/>
        </w:trPr>
        <w:tc>
          <w:tcPr>
            <w:tcW w:w="1288" w:type="dxa"/>
            <w:vMerge w:val="restart"/>
            <w:noWrap w:val="0"/>
            <w:vAlign w:val="center"/>
          </w:tcPr>
          <w:p w14:paraId="648DD8C8">
            <w:pPr>
              <w:adjustRightInd w:val="0"/>
              <w:snapToGrid w:val="0"/>
              <w:jc w:val="center"/>
              <w:rPr>
                <w:rFonts w:hint="eastAsia" w:ascii="宋体" w:hAnsi="宋体" w:eastAsia="宋体" w:cs="宋体"/>
                <w:szCs w:val="21"/>
                <w:lang w:eastAsia="zh-CN"/>
              </w:rPr>
            </w:pPr>
            <w:r>
              <w:rPr>
                <w:rFonts w:hint="eastAsia" w:ascii="宋体" w:hAnsi="宋体" w:cs="宋体"/>
                <w:szCs w:val="21"/>
                <w:lang w:eastAsia="zh-CN"/>
              </w:rPr>
              <w:t>大气环境</w:t>
            </w:r>
          </w:p>
        </w:tc>
        <w:tc>
          <w:tcPr>
            <w:tcW w:w="1588" w:type="dxa"/>
            <w:noWrap w:val="0"/>
            <w:vAlign w:val="center"/>
          </w:tcPr>
          <w:p w14:paraId="52515FF8">
            <w:pPr>
              <w:tabs>
                <w:tab w:val="left" w:pos="418"/>
              </w:tabs>
              <w:adjustRightInd w:val="0"/>
              <w:snapToGrid w:val="0"/>
              <w:ind w:firstLine="210" w:firstLineChars="100"/>
              <w:jc w:val="both"/>
              <w:rPr>
                <w:rFonts w:hint="eastAsia" w:ascii="宋体" w:hAnsi="宋体" w:eastAsia="宋体" w:cs="宋体"/>
                <w:szCs w:val="21"/>
                <w:lang w:eastAsia="zh-CN"/>
              </w:rPr>
            </w:pPr>
            <w:r>
              <w:rPr>
                <w:rFonts w:hint="eastAsia" w:ascii="宋体" w:hAnsi="宋体" w:cs="宋体"/>
                <w:szCs w:val="21"/>
                <w:lang w:eastAsia="zh-CN"/>
              </w:rPr>
              <w:t>污水站恶臭</w:t>
            </w:r>
          </w:p>
        </w:tc>
        <w:tc>
          <w:tcPr>
            <w:tcW w:w="960" w:type="dxa"/>
            <w:noWrap w:val="0"/>
            <w:vAlign w:val="center"/>
          </w:tcPr>
          <w:p w14:paraId="7BBB9DAD">
            <w:pPr>
              <w:widowControl/>
              <w:textAlignment w:val="center"/>
              <w:rPr>
                <w:color w:val="000000"/>
                <w:kern w:val="0"/>
                <w:szCs w:val="21"/>
                <w:lang w:bidi="ar"/>
              </w:rPr>
            </w:pPr>
            <w:r>
              <w:rPr>
                <w:rFonts w:hint="eastAsia"/>
                <w:color w:val="000000"/>
                <w:kern w:val="0"/>
                <w:szCs w:val="21"/>
                <w:lang w:bidi="ar"/>
              </w:rPr>
              <w:t>NH</w:t>
            </w:r>
            <w:r>
              <w:rPr>
                <w:rFonts w:hint="eastAsia"/>
                <w:color w:val="000000"/>
                <w:kern w:val="0"/>
                <w:szCs w:val="21"/>
                <w:vertAlign w:val="subscript"/>
                <w:lang w:bidi="ar"/>
              </w:rPr>
              <w:t>3</w:t>
            </w:r>
            <w:r>
              <w:rPr>
                <w:rFonts w:hint="eastAsia"/>
                <w:color w:val="000000"/>
                <w:kern w:val="0"/>
                <w:szCs w:val="21"/>
                <w:lang w:bidi="ar"/>
              </w:rPr>
              <w:t>、H</w:t>
            </w:r>
            <w:r>
              <w:rPr>
                <w:rFonts w:hint="eastAsia"/>
                <w:color w:val="000000"/>
                <w:kern w:val="0"/>
                <w:szCs w:val="21"/>
                <w:vertAlign w:val="subscript"/>
                <w:lang w:bidi="ar"/>
              </w:rPr>
              <w:t>2</w:t>
            </w:r>
            <w:r>
              <w:rPr>
                <w:rFonts w:hint="eastAsia"/>
                <w:color w:val="000000"/>
                <w:kern w:val="0"/>
                <w:szCs w:val="21"/>
                <w:lang w:bidi="ar"/>
              </w:rPr>
              <w:t>S、臭气浓度</w:t>
            </w:r>
          </w:p>
        </w:tc>
        <w:tc>
          <w:tcPr>
            <w:tcW w:w="2472" w:type="dxa"/>
            <w:noWrap w:val="0"/>
            <w:vAlign w:val="center"/>
          </w:tcPr>
          <w:p w14:paraId="2CD55C93">
            <w:pPr>
              <w:jc w:val="center"/>
              <w:rPr>
                <w:rFonts w:hint="eastAsia"/>
                <w:szCs w:val="21"/>
              </w:rPr>
            </w:pPr>
            <w:r>
              <w:rPr>
                <w:rFonts w:hint="eastAsia"/>
                <w:sz w:val="21"/>
                <w:szCs w:val="21"/>
                <w:lang w:eastAsia="zh-CN"/>
              </w:rPr>
              <w:t>污水处理站为整体地埋式设计，</w:t>
            </w:r>
            <w:r>
              <w:rPr>
                <w:rFonts w:hint="default"/>
                <w:sz w:val="21"/>
                <w:szCs w:val="21"/>
              </w:rPr>
              <w:t>加盖密闭，盖板上预留进、出气</w:t>
            </w:r>
            <w:r>
              <w:rPr>
                <w:rFonts w:hint="default" w:ascii="Times New Roman" w:hAnsi="Times New Roman" w:cs="Times New Roman"/>
                <w:sz w:val="21"/>
                <w:szCs w:val="21"/>
              </w:rPr>
              <w:t>口</w:t>
            </w:r>
            <w:r>
              <w:rPr>
                <w:rFonts w:hint="default" w:ascii="Times New Roman" w:hAnsi="Times New Roman" w:cs="Times New Roman"/>
                <w:sz w:val="21"/>
                <w:szCs w:val="21"/>
                <w:lang w:eastAsia="zh-CN"/>
              </w:rPr>
              <w:t>，废气</w:t>
            </w:r>
            <w:r>
              <w:rPr>
                <w:rFonts w:hint="default" w:ascii="Times New Roman" w:hAnsi="Times New Roman" w:cs="Times New Roman"/>
                <w:sz w:val="21"/>
                <w:szCs w:val="21"/>
              </w:rPr>
              <w:t>收集后通过</w:t>
            </w:r>
            <w:r>
              <w:rPr>
                <w:rFonts w:hint="eastAsia" w:ascii="Times New Roman" w:hAnsi="Times New Roman" w:cs="Times New Roman"/>
                <w:sz w:val="21"/>
                <w:szCs w:val="21"/>
                <w:lang w:eastAsia="zh-CN"/>
              </w:rPr>
              <w:t>“</w:t>
            </w:r>
            <w:r>
              <w:rPr>
                <w:rFonts w:hint="default" w:ascii="Times New Roman" w:hAnsi="Times New Roman" w:cs="Times New Roman"/>
                <w:sz w:val="21"/>
                <w:szCs w:val="21"/>
                <w:lang w:eastAsia="zh-CN"/>
              </w:rPr>
              <w:t>二级</w:t>
            </w:r>
            <w:r>
              <w:rPr>
                <w:rFonts w:hint="default" w:ascii="Times New Roman" w:hAnsi="Times New Roman" w:cs="Times New Roman"/>
                <w:sz w:val="21"/>
                <w:szCs w:val="21"/>
              </w:rPr>
              <w:t>活性炭吸附</w:t>
            </w:r>
            <w:r>
              <w:rPr>
                <w:rFonts w:hint="eastAsia" w:ascii="Times New Roman" w:hAnsi="Times New Roman" w:cs="Times New Roman"/>
                <w:sz w:val="21"/>
                <w:szCs w:val="21"/>
                <w:lang w:eastAsia="zh-CN"/>
              </w:rPr>
              <w:t>”</w:t>
            </w:r>
            <w:r>
              <w:rPr>
                <w:rFonts w:hint="default" w:ascii="Times New Roman" w:hAnsi="Times New Roman" w:cs="Times New Roman"/>
                <w:sz w:val="21"/>
                <w:szCs w:val="21"/>
              </w:rPr>
              <w:t>处理后</w:t>
            </w:r>
            <w:r>
              <w:rPr>
                <w:rFonts w:hint="default" w:ascii="Times New Roman" w:hAnsi="Times New Roman" w:cs="Times New Roman"/>
                <w:sz w:val="21"/>
                <w:szCs w:val="21"/>
                <w:lang w:eastAsia="zh-CN"/>
              </w:rPr>
              <w:t>通过</w:t>
            </w:r>
            <w:r>
              <w:rPr>
                <w:rFonts w:hint="default" w:ascii="Times New Roman" w:hAnsi="Times New Roman" w:cs="Times New Roman"/>
                <w:sz w:val="21"/>
                <w:szCs w:val="21"/>
                <w:lang w:val="en-US" w:eastAsia="zh-CN"/>
              </w:rPr>
              <w:t>1根15m高排气筒DA001排放</w:t>
            </w:r>
            <w:r>
              <w:rPr>
                <w:rFonts w:hint="default" w:ascii="Times New Roman" w:hAnsi="Times New Roman" w:cs="Times New Roman"/>
                <w:sz w:val="21"/>
                <w:szCs w:val="21"/>
              </w:rPr>
              <w:t>。</w:t>
            </w:r>
          </w:p>
        </w:tc>
        <w:tc>
          <w:tcPr>
            <w:tcW w:w="2492" w:type="dxa"/>
            <w:noWrap w:val="0"/>
            <w:vAlign w:val="center"/>
          </w:tcPr>
          <w:p w14:paraId="426F2243">
            <w:pPr>
              <w:jc w:val="center"/>
              <w:rPr>
                <w:rFonts w:hint="eastAsia"/>
                <w:color w:val="auto"/>
                <w:szCs w:val="21"/>
                <w:lang w:eastAsia="zh-CN"/>
              </w:rPr>
            </w:pPr>
            <w:r>
              <w:rPr>
                <w:rFonts w:hint="eastAsia"/>
                <w:color w:val="auto"/>
                <w:szCs w:val="21"/>
                <w:lang w:eastAsia="zh-CN"/>
              </w:rPr>
              <w:t>《医疗机构水污染物排放标准》（GB18466-2005）（含2026年修改单）、</w:t>
            </w:r>
            <w:r>
              <w:rPr>
                <w:rFonts w:hint="eastAsia"/>
                <w:sz w:val="21"/>
                <w:szCs w:val="21"/>
              </w:rPr>
              <w:t>《恶臭污染物排放标准》</w:t>
            </w:r>
            <w:r>
              <w:rPr>
                <w:rFonts w:hint="eastAsia"/>
                <w:sz w:val="21"/>
                <w:szCs w:val="21"/>
                <w:lang w:eastAsia="zh-CN"/>
              </w:rPr>
              <w:t>（</w:t>
            </w:r>
            <w:r>
              <w:rPr>
                <w:rFonts w:hint="eastAsia"/>
                <w:sz w:val="21"/>
                <w:szCs w:val="21"/>
              </w:rPr>
              <w:t>GB14554-93</w:t>
            </w:r>
            <w:r>
              <w:rPr>
                <w:rFonts w:hint="eastAsia"/>
                <w:sz w:val="21"/>
                <w:szCs w:val="21"/>
                <w:lang w:eastAsia="zh-CN"/>
              </w:rPr>
              <w:t>）</w:t>
            </w:r>
          </w:p>
        </w:tc>
      </w:tr>
      <w:tr w14:paraId="0F46B19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93" w:hRule="atLeast"/>
          <w:jc w:val="center"/>
        </w:trPr>
        <w:tc>
          <w:tcPr>
            <w:tcW w:w="1288" w:type="dxa"/>
            <w:vMerge w:val="continue"/>
            <w:noWrap w:val="0"/>
            <w:vAlign w:val="center"/>
          </w:tcPr>
          <w:p w14:paraId="60361F07">
            <w:pPr>
              <w:adjustRightInd w:val="0"/>
              <w:snapToGrid w:val="0"/>
              <w:jc w:val="center"/>
              <w:rPr>
                <w:rFonts w:hint="eastAsia" w:ascii="宋体" w:hAnsi="宋体" w:cs="宋体"/>
                <w:szCs w:val="21"/>
                <w:lang w:eastAsia="zh-CN"/>
              </w:rPr>
            </w:pPr>
          </w:p>
        </w:tc>
        <w:tc>
          <w:tcPr>
            <w:tcW w:w="1588" w:type="dxa"/>
            <w:noWrap w:val="0"/>
            <w:vAlign w:val="center"/>
          </w:tcPr>
          <w:p w14:paraId="01B30656">
            <w:pPr>
              <w:widowControl w:val="0"/>
              <w:spacing w:line="240" w:lineRule="auto"/>
              <w:ind w:firstLine="0" w:firstLineChars="0"/>
              <w:jc w:val="center"/>
              <w:rPr>
                <w:rFonts w:hint="eastAsia" w:ascii="宋体" w:hAnsi="宋体" w:cs="宋体"/>
                <w:szCs w:val="21"/>
                <w:lang w:eastAsia="zh-CN"/>
              </w:rPr>
            </w:pPr>
            <w:r>
              <w:rPr>
                <w:rFonts w:hint="eastAsia" w:ascii="Times New Roman" w:hAnsi="Times New Roman" w:eastAsia="宋体" w:cs="Times New Roman"/>
                <w:snapToGrid w:val="0"/>
                <w:color w:val="000000"/>
                <w:kern w:val="0"/>
                <w:sz w:val="21"/>
                <w:szCs w:val="21"/>
                <w:lang w:val="en-US" w:eastAsia="zh-CN" w:bidi="ar-SA"/>
              </w:rPr>
              <w:t>备用柴油发电机废气</w:t>
            </w:r>
          </w:p>
        </w:tc>
        <w:tc>
          <w:tcPr>
            <w:tcW w:w="960" w:type="dxa"/>
            <w:noWrap w:val="0"/>
            <w:vAlign w:val="center"/>
          </w:tcPr>
          <w:p w14:paraId="59AB39A4">
            <w:pPr>
              <w:widowControl w:val="0"/>
              <w:spacing w:line="240" w:lineRule="auto"/>
              <w:ind w:firstLine="0" w:firstLineChars="0"/>
              <w:jc w:val="center"/>
              <w:rPr>
                <w:rFonts w:hint="eastAsia"/>
                <w:color w:val="000000"/>
                <w:kern w:val="0"/>
                <w:szCs w:val="21"/>
                <w:lang w:bidi="ar"/>
              </w:rPr>
            </w:pPr>
            <w:r>
              <w:rPr>
                <w:rFonts w:hint="eastAsia" w:ascii="Times New Roman" w:hAnsi="Times New Roman" w:eastAsia="宋体" w:cs="Times New Roman"/>
                <w:snapToGrid w:val="0"/>
                <w:color w:val="000000"/>
                <w:kern w:val="0"/>
                <w:sz w:val="21"/>
                <w:szCs w:val="21"/>
                <w:lang w:val="en-US" w:eastAsia="zh-CN" w:bidi="ar-SA"/>
              </w:rPr>
              <w:t>S</w:t>
            </w:r>
            <w:r>
              <w:rPr>
                <w:rFonts w:ascii="Times New Roman" w:hAnsi="Times New Roman" w:eastAsia="宋体" w:cs="Times New Roman"/>
                <w:snapToGrid w:val="0"/>
                <w:color w:val="000000"/>
                <w:kern w:val="0"/>
                <w:sz w:val="21"/>
                <w:szCs w:val="21"/>
                <w:lang w:val="en-US" w:eastAsia="zh-CN" w:bidi="ar-SA"/>
              </w:rPr>
              <w:t>O</w:t>
            </w:r>
            <w:r>
              <w:rPr>
                <w:rFonts w:ascii="Times New Roman" w:hAnsi="Times New Roman" w:eastAsia="宋体" w:cs="Times New Roman"/>
                <w:snapToGrid w:val="0"/>
                <w:color w:val="000000"/>
                <w:kern w:val="0"/>
                <w:sz w:val="21"/>
                <w:szCs w:val="21"/>
                <w:vertAlign w:val="subscript"/>
                <w:lang w:val="en-US" w:eastAsia="zh-CN" w:bidi="ar-SA"/>
              </w:rPr>
              <w:t>2</w:t>
            </w:r>
            <w:r>
              <w:rPr>
                <w:rFonts w:hint="eastAsia" w:ascii="Times New Roman" w:hAnsi="Times New Roman" w:eastAsia="宋体" w:cs="Times New Roman"/>
                <w:snapToGrid w:val="0"/>
                <w:color w:val="000000"/>
                <w:kern w:val="0"/>
                <w:sz w:val="21"/>
                <w:szCs w:val="21"/>
                <w:lang w:val="en-US" w:eastAsia="zh-CN" w:bidi="ar-SA"/>
              </w:rPr>
              <w:t>、N</w:t>
            </w:r>
            <w:r>
              <w:rPr>
                <w:rFonts w:ascii="Times New Roman" w:hAnsi="Times New Roman" w:eastAsia="宋体" w:cs="Times New Roman"/>
                <w:snapToGrid w:val="0"/>
                <w:color w:val="000000"/>
                <w:kern w:val="0"/>
                <w:sz w:val="21"/>
                <w:szCs w:val="21"/>
                <w:lang w:val="en-US" w:eastAsia="zh-CN" w:bidi="ar-SA"/>
              </w:rPr>
              <w:t>O</w:t>
            </w:r>
            <w:r>
              <w:rPr>
                <w:rFonts w:ascii="Times New Roman" w:hAnsi="Times New Roman" w:eastAsia="宋体" w:cs="Times New Roman"/>
                <w:snapToGrid w:val="0"/>
                <w:color w:val="000000"/>
                <w:kern w:val="0"/>
                <w:sz w:val="21"/>
                <w:szCs w:val="21"/>
                <w:vertAlign w:val="subscript"/>
                <w:lang w:val="en-US" w:eastAsia="zh-CN" w:bidi="ar-SA"/>
              </w:rPr>
              <w:t>x</w:t>
            </w:r>
            <w:r>
              <w:rPr>
                <w:rFonts w:hint="eastAsia" w:ascii="Times New Roman" w:hAnsi="Times New Roman" w:eastAsia="宋体" w:cs="Times New Roman"/>
                <w:snapToGrid w:val="0"/>
                <w:color w:val="000000"/>
                <w:kern w:val="0"/>
                <w:sz w:val="21"/>
                <w:szCs w:val="21"/>
                <w:lang w:val="en-US" w:eastAsia="zh-CN" w:bidi="ar-SA"/>
              </w:rPr>
              <w:t>、烟尘</w:t>
            </w:r>
          </w:p>
        </w:tc>
        <w:tc>
          <w:tcPr>
            <w:tcW w:w="2472" w:type="dxa"/>
            <w:noWrap w:val="0"/>
            <w:vAlign w:val="center"/>
          </w:tcPr>
          <w:p w14:paraId="093B0390">
            <w:pPr>
              <w:widowControl w:val="0"/>
              <w:spacing w:line="240" w:lineRule="auto"/>
              <w:ind w:firstLine="0" w:firstLineChars="0"/>
              <w:jc w:val="center"/>
              <w:rPr>
                <w:rFonts w:hint="eastAsia"/>
                <w:szCs w:val="21"/>
              </w:rPr>
            </w:pPr>
            <w:r>
              <w:rPr>
                <w:rFonts w:hint="eastAsia" w:ascii="Times New Roman" w:hAnsi="Times New Roman" w:eastAsia="宋体" w:cs="Times New Roman"/>
                <w:snapToGrid w:val="0"/>
                <w:color w:val="000000"/>
                <w:kern w:val="0"/>
                <w:sz w:val="21"/>
                <w:szCs w:val="21"/>
                <w:lang w:val="en-US" w:eastAsia="zh-CN" w:bidi="ar-SA"/>
              </w:rPr>
              <w:t>由专用排气管道引至楼顶并高于楼顶排放</w:t>
            </w:r>
          </w:p>
        </w:tc>
        <w:tc>
          <w:tcPr>
            <w:tcW w:w="2492" w:type="dxa"/>
            <w:noWrap w:val="0"/>
            <w:vAlign w:val="center"/>
          </w:tcPr>
          <w:p w14:paraId="53CD5296">
            <w:pPr>
              <w:jc w:val="center"/>
              <w:rPr>
                <w:rFonts w:hint="default"/>
                <w:color w:val="auto"/>
                <w:szCs w:val="21"/>
                <w:lang w:val="en-US" w:eastAsia="zh-CN"/>
              </w:rPr>
            </w:pPr>
            <w:r>
              <w:rPr>
                <w:rFonts w:hint="eastAsia"/>
                <w:color w:val="auto"/>
                <w:szCs w:val="21"/>
                <w:lang w:val="en-US" w:eastAsia="zh-CN"/>
              </w:rPr>
              <w:t>/</w:t>
            </w:r>
          </w:p>
        </w:tc>
      </w:tr>
      <w:tr w14:paraId="4EACBA7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93" w:hRule="atLeast"/>
          <w:jc w:val="center"/>
        </w:trPr>
        <w:tc>
          <w:tcPr>
            <w:tcW w:w="1288" w:type="dxa"/>
            <w:vMerge w:val="continue"/>
            <w:noWrap w:val="0"/>
            <w:vAlign w:val="center"/>
          </w:tcPr>
          <w:p w14:paraId="7076F99B">
            <w:pPr>
              <w:adjustRightInd w:val="0"/>
              <w:snapToGrid w:val="0"/>
              <w:jc w:val="center"/>
              <w:rPr>
                <w:rFonts w:hint="eastAsia" w:ascii="宋体" w:hAnsi="宋体" w:cs="宋体"/>
                <w:szCs w:val="21"/>
                <w:lang w:eastAsia="zh-CN"/>
              </w:rPr>
            </w:pPr>
          </w:p>
        </w:tc>
        <w:tc>
          <w:tcPr>
            <w:tcW w:w="1588" w:type="dxa"/>
            <w:noWrap w:val="0"/>
            <w:vAlign w:val="center"/>
          </w:tcPr>
          <w:p w14:paraId="5DA0751D">
            <w:pPr>
              <w:widowControl w:val="0"/>
              <w:spacing w:line="240" w:lineRule="auto"/>
              <w:ind w:firstLine="0" w:firstLineChars="0"/>
              <w:jc w:val="center"/>
              <w:rPr>
                <w:rFonts w:hint="eastAsia" w:ascii="Times New Roman" w:hAnsi="Times New Roman" w:eastAsia="宋体" w:cs="Times New Roman"/>
                <w:snapToGrid w:val="0"/>
                <w:color w:val="000000"/>
                <w:kern w:val="0"/>
                <w:sz w:val="21"/>
                <w:szCs w:val="21"/>
                <w:lang w:val="en-US" w:eastAsia="zh-CN" w:bidi="ar-SA"/>
              </w:rPr>
            </w:pPr>
            <w:r>
              <w:rPr>
                <w:rFonts w:hint="eastAsia" w:ascii="Times New Roman" w:hAnsi="Times New Roman" w:eastAsia="宋体" w:cs="Times New Roman"/>
                <w:snapToGrid w:val="0"/>
                <w:color w:val="000000"/>
                <w:kern w:val="0"/>
                <w:sz w:val="21"/>
                <w:szCs w:val="21"/>
                <w:lang w:val="en-US" w:eastAsia="zh-CN" w:bidi="ar-SA"/>
              </w:rPr>
              <w:t>检验废气</w:t>
            </w:r>
          </w:p>
        </w:tc>
        <w:tc>
          <w:tcPr>
            <w:tcW w:w="960" w:type="dxa"/>
            <w:noWrap w:val="0"/>
            <w:vAlign w:val="center"/>
          </w:tcPr>
          <w:p w14:paraId="3DE491A2">
            <w:pPr>
              <w:widowControl w:val="0"/>
              <w:spacing w:line="240" w:lineRule="auto"/>
              <w:ind w:firstLine="0" w:firstLineChars="0"/>
              <w:jc w:val="center"/>
              <w:rPr>
                <w:rFonts w:hint="eastAsia" w:ascii="Times New Roman" w:hAnsi="Times New Roman" w:eastAsia="宋体" w:cs="Times New Roman"/>
                <w:snapToGrid w:val="0"/>
                <w:color w:val="000000"/>
                <w:kern w:val="0"/>
                <w:sz w:val="21"/>
                <w:szCs w:val="21"/>
                <w:lang w:val="en-US" w:eastAsia="zh-CN" w:bidi="ar-SA"/>
              </w:rPr>
            </w:pPr>
            <w:r>
              <w:rPr>
                <w:rFonts w:hint="eastAsia" w:ascii="Times New Roman" w:hAnsi="Times New Roman" w:eastAsia="宋体" w:cs="Times New Roman"/>
                <w:snapToGrid w:val="0"/>
                <w:color w:val="000000"/>
                <w:kern w:val="0"/>
                <w:sz w:val="21"/>
                <w:szCs w:val="21"/>
                <w:lang w:val="en-US" w:eastAsia="zh-CN" w:bidi="ar-SA"/>
              </w:rPr>
              <w:t>酸雾、有机废气</w:t>
            </w:r>
          </w:p>
        </w:tc>
        <w:tc>
          <w:tcPr>
            <w:tcW w:w="2472" w:type="dxa"/>
            <w:noWrap w:val="0"/>
            <w:vAlign w:val="center"/>
          </w:tcPr>
          <w:p w14:paraId="4D2EE7CF">
            <w:pPr>
              <w:widowControl w:val="0"/>
              <w:spacing w:line="240" w:lineRule="auto"/>
              <w:ind w:firstLine="0" w:firstLineChars="0"/>
              <w:jc w:val="center"/>
              <w:rPr>
                <w:rFonts w:hint="eastAsia" w:ascii="Times New Roman" w:hAnsi="Times New Roman" w:eastAsia="宋体" w:cs="Times New Roman"/>
                <w:snapToGrid w:val="0"/>
                <w:color w:val="000000"/>
                <w:kern w:val="0"/>
                <w:sz w:val="21"/>
                <w:szCs w:val="21"/>
                <w:lang w:val="en-US" w:eastAsia="zh-CN" w:bidi="ar-SA"/>
              </w:rPr>
            </w:pPr>
            <w:r>
              <w:rPr>
                <w:rFonts w:hint="eastAsia" w:ascii="Times New Roman" w:hAnsi="Times New Roman" w:eastAsia="宋体" w:cs="Times New Roman"/>
                <w:snapToGrid w:val="0"/>
                <w:color w:val="000000"/>
                <w:kern w:val="0"/>
                <w:sz w:val="21"/>
                <w:szCs w:val="21"/>
                <w:lang w:val="en-US" w:eastAsia="zh-CN" w:bidi="ar-SA"/>
              </w:rPr>
              <w:t>检验室设负压排风系统，保持室内空气清洁。排放的少量废气通过专门的排气管道引至屋顶排放，</w:t>
            </w:r>
          </w:p>
        </w:tc>
        <w:tc>
          <w:tcPr>
            <w:tcW w:w="2492" w:type="dxa"/>
            <w:noWrap w:val="0"/>
            <w:vAlign w:val="center"/>
          </w:tcPr>
          <w:p w14:paraId="5D44DE46">
            <w:pPr>
              <w:jc w:val="center"/>
              <w:rPr>
                <w:rFonts w:hint="default"/>
                <w:color w:val="auto"/>
                <w:szCs w:val="21"/>
                <w:lang w:val="en-US" w:eastAsia="zh-CN"/>
              </w:rPr>
            </w:pPr>
            <w:r>
              <w:rPr>
                <w:rFonts w:hint="eastAsia"/>
                <w:color w:val="auto"/>
                <w:szCs w:val="21"/>
                <w:lang w:val="en-US" w:eastAsia="zh-CN"/>
              </w:rPr>
              <w:t>/</w:t>
            </w:r>
          </w:p>
        </w:tc>
      </w:tr>
      <w:tr w14:paraId="15778D9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93" w:hRule="atLeast"/>
          <w:jc w:val="center"/>
        </w:trPr>
        <w:tc>
          <w:tcPr>
            <w:tcW w:w="1288" w:type="dxa"/>
            <w:vMerge w:val="restart"/>
            <w:noWrap w:val="0"/>
            <w:vAlign w:val="center"/>
          </w:tcPr>
          <w:p w14:paraId="24B21CAA">
            <w:pPr>
              <w:adjustRightInd w:val="0"/>
              <w:snapToGrid w:val="0"/>
              <w:jc w:val="center"/>
              <w:rPr>
                <w:rFonts w:hint="eastAsia" w:ascii="宋体" w:hAnsi="宋体" w:cs="宋体"/>
                <w:szCs w:val="21"/>
              </w:rPr>
            </w:pPr>
            <w:r>
              <w:rPr>
                <w:rFonts w:hint="eastAsia" w:ascii="宋体" w:hAnsi="宋体" w:cs="宋体"/>
                <w:szCs w:val="21"/>
              </w:rPr>
              <w:t>地表水环境</w:t>
            </w:r>
          </w:p>
        </w:tc>
        <w:tc>
          <w:tcPr>
            <w:tcW w:w="1588" w:type="dxa"/>
            <w:noWrap w:val="0"/>
            <w:vAlign w:val="center"/>
          </w:tcPr>
          <w:p w14:paraId="1DCA4BA5">
            <w:pPr>
              <w:tabs>
                <w:tab w:val="left" w:pos="418"/>
              </w:tabs>
              <w:adjustRightInd w:val="0"/>
              <w:snapToGrid w:val="0"/>
              <w:ind w:firstLine="210" w:firstLineChars="100"/>
              <w:jc w:val="center"/>
              <w:rPr>
                <w:rFonts w:hint="eastAsia" w:ascii="宋体" w:hAnsi="宋体" w:eastAsia="宋体" w:cs="宋体"/>
                <w:szCs w:val="21"/>
                <w:lang w:eastAsia="zh-CN"/>
              </w:rPr>
            </w:pPr>
            <w:r>
              <w:rPr>
                <w:rFonts w:hint="eastAsia" w:ascii="宋体" w:hAnsi="宋体" w:cs="宋体"/>
                <w:szCs w:val="21"/>
                <w:lang w:eastAsia="zh-CN"/>
              </w:rPr>
              <w:t>综合废水（</w:t>
            </w:r>
            <w:r>
              <w:rPr>
                <w:rFonts w:hint="eastAsia" w:ascii="宋体" w:hAnsi="宋体" w:cs="宋体"/>
                <w:szCs w:val="21"/>
              </w:rPr>
              <w:t>生活污水</w:t>
            </w:r>
            <w:r>
              <w:rPr>
                <w:rFonts w:hint="eastAsia" w:ascii="宋体" w:hAnsi="宋体" w:cs="宋体"/>
                <w:szCs w:val="21"/>
                <w:lang w:eastAsia="zh-CN"/>
              </w:rPr>
              <w:t>、</w:t>
            </w:r>
            <w:r>
              <w:rPr>
                <w:rFonts w:hint="eastAsia" w:ascii="宋体" w:hAnsi="宋体" w:cs="宋体"/>
                <w:szCs w:val="21"/>
                <w:lang w:val="en-US" w:eastAsia="zh-CN"/>
              </w:rPr>
              <w:t>普通</w:t>
            </w:r>
            <w:r>
              <w:rPr>
                <w:rFonts w:hint="eastAsia" w:ascii="宋体" w:hAnsi="宋体" w:cs="宋体"/>
                <w:szCs w:val="21"/>
                <w:lang w:eastAsia="zh-CN"/>
              </w:rPr>
              <w:t>门诊废水、</w:t>
            </w:r>
            <w:r>
              <w:rPr>
                <w:rFonts w:hint="eastAsia" w:ascii="宋体" w:hAnsi="宋体" w:cs="宋体"/>
                <w:szCs w:val="21"/>
                <w:lang w:val="en-US" w:eastAsia="zh-CN"/>
              </w:rPr>
              <w:t>口腔科废水、</w:t>
            </w:r>
            <w:r>
              <w:rPr>
                <w:rFonts w:hint="eastAsia" w:ascii="宋体" w:hAnsi="宋体" w:cs="宋体"/>
                <w:szCs w:val="21"/>
                <w:lang w:eastAsia="zh-CN"/>
              </w:rPr>
              <w:t>病房废水、检验废水、</w:t>
            </w:r>
            <w:r>
              <w:rPr>
                <w:rFonts w:hint="eastAsia" w:ascii="宋体" w:hAnsi="宋体" w:cs="宋体"/>
                <w:szCs w:val="21"/>
                <w:lang w:val="en-US" w:eastAsia="zh-CN"/>
              </w:rPr>
              <w:t>手术室废水、浓水、</w:t>
            </w:r>
            <w:r>
              <w:rPr>
                <w:rFonts w:hint="eastAsia" w:ascii="宋体" w:hAnsi="宋体" w:cs="宋体"/>
                <w:szCs w:val="21"/>
                <w:lang w:eastAsia="zh-CN"/>
              </w:rPr>
              <w:t>保洁废水）</w:t>
            </w:r>
          </w:p>
        </w:tc>
        <w:tc>
          <w:tcPr>
            <w:tcW w:w="960" w:type="dxa"/>
            <w:noWrap w:val="0"/>
            <w:vAlign w:val="center"/>
          </w:tcPr>
          <w:p w14:paraId="0E195DE7">
            <w:pPr>
              <w:widowControl/>
              <w:jc w:val="center"/>
              <w:textAlignment w:val="center"/>
              <w:rPr>
                <w:rFonts w:hint="eastAsia" w:eastAsia="宋体"/>
                <w:b/>
                <w:szCs w:val="21"/>
                <w:lang w:eastAsia="zh-CN"/>
              </w:rPr>
            </w:pPr>
            <w:r>
              <w:rPr>
                <w:rFonts w:hint="eastAsia"/>
                <w:color w:val="000000"/>
                <w:kern w:val="0"/>
                <w:szCs w:val="21"/>
                <w:lang w:val="en-US" w:eastAsia="zh-CN" w:bidi="ar"/>
              </w:rPr>
              <w:t>PH、</w:t>
            </w:r>
            <w:r>
              <w:rPr>
                <w:color w:val="000000"/>
                <w:kern w:val="0"/>
                <w:szCs w:val="21"/>
                <w:lang w:bidi="ar"/>
              </w:rPr>
              <w:t>COD</w:t>
            </w:r>
            <w:r>
              <w:rPr>
                <w:rFonts w:hint="eastAsia"/>
                <w:color w:val="000000"/>
                <w:kern w:val="0"/>
                <w:szCs w:val="21"/>
                <w:lang w:bidi="ar"/>
              </w:rPr>
              <w:t>、</w:t>
            </w:r>
            <w:r>
              <w:rPr>
                <w:color w:val="000000"/>
                <w:kern w:val="0"/>
                <w:szCs w:val="21"/>
                <w:lang w:bidi="ar"/>
              </w:rPr>
              <w:t>BOD</w:t>
            </w:r>
            <w:r>
              <w:rPr>
                <w:color w:val="000000"/>
                <w:kern w:val="0"/>
                <w:szCs w:val="21"/>
                <w:vertAlign w:val="subscript"/>
                <w:lang w:bidi="ar"/>
              </w:rPr>
              <w:t>5</w:t>
            </w:r>
            <w:r>
              <w:rPr>
                <w:rFonts w:hint="eastAsia"/>
                <w:color w:val="000000"/>
                <w:kern w:val="0"/>
                <w:szCs w:val="21"/>
                <w:lang w:bidi="ar"/>
              </w:rPr>
              <w:t>、</w:t>
            </w:r>
            <w:r>
              <w:rPr>
                <w:color w:val="000000"/>
                <w:kern w:val="0"/>
                <w:szCs w:val="21"/>
                <w:lang w:bidi="ar"/>
              </w:rPr>
              <w:t>SS</w:t>
            </w:r>
            <w:r>
              <w:rPr>
                <w:rFonts w:hint="eastAsia"/>
                <w:color w:val="000000"/>
                <w:kern w:val="0"/>
                <w:szCs w:val="21"/>
                <w:lang w:bidi="ar"/>
              </w:rPr>
              <w:t>、</w:t>
            </w:r>
            <w:r>
              <w:rPr>
                <w:color w:val="000000"/>
                <w:kern w:val="0"/>
                <w:szCs w:val="21"/>
                <w:lang w:bidi="ar"/>
              </w:rPr>
              <w:t>NH</w:t>
            </w:r>
            <w:r>
              <w:rPr>
                <w:color w:val="000000"/>
                <w:kern w:val="0"/>
                <w:szCs w:val="21"/>
                <w:vertAlign w:val="subscript"/>
                <w:lang w:bidi="ar"/>
              </w:rPr>
              <w:t>3</w:t>
            </w:r>
            <w:r>
              <w:rPr>
                <w:color w:val="000000"/>
                <w:kern w:val="0"/>
                <w:szCs w:val="21"/>
                <w:lang w:bidi="ar"/>
              </w:rPr>
              <w:t>-N</w:t>
            </w:r>
            <w:r>
              <w:rPr>
                <w:rFonts w:hint="eastAsia"/>
                <w:color w:val="000000"/>
                <w:kern w:val="0"/>
                <w:szCs w:val="21"/>
                <w:lang w:eastAsia="zh-CN" w:bidi="ar"/>
              </w:rPr>
              <w:t>、粪大肠菌群、总余氯</w:t>
            </w:r>
          </w:p>
        </w:tc>
        <w:tc>
          <w:tcPr>
            <w:tcW w:w="2472" w:type="dxa"/>
            <w:noWrap w:val="0"/>
            <w:vAlign w:val="center"/>
          </w:tcPr>
          <w:p w14:paraId="08BFD78B">
            <w:pPr>
              <w:jc w:val="center"/>
              <w:rPr>
                <w:rFonts w:ascii="宋体" w:hAnsi="宋体" w:cs="宋体"/>
                <w:szCs w:val="21"/>
              </w:rPr>
            </w:pPr>
            <w:r>
              <w:rPr>
                <w:rFonts w:hint="eastAsia" w:ascii="宋体" w:hAnsi="宋体" w:cs="宋体"/>
                <w:szCs w:val="21"/>
              </w:rPr>
              <w:t>生活污水</w:t>
            </w:r>
            <w:r>
              <w:rPr>
                <w:rFonts w:hint="eastAsia" w:ascii="宋体" w:hAnsi="宋体" w:cs="宋体"/>
                <w:szCs w:val="21"/>
                <w:lang w:eastAsia="zh-CN"/>
              </w:rPr>
              <w:t>、</w:t>
            </w:r>
            <w:r>
              <w:rPr>
                <w:rFonts w:hint="eastAsia" w:ascii="宋体" w:hAnsi="宋体" w:cs="宋体"/>
                <w:szCs w:val="21"/>
                <w:lang w:val="en-US" w:eastAsia="zh-CN"/>
              </w:rPr>
              <w:t>普通</w:t>
            </w:r>
            <w:r>
              <w:rPr>
                <w:rFonts w:hint="eastAsia" w:ascii="宋体" w:hAnsi="宋体" w:cs="宋体"/>
                <w:szCs w:val="21"/>
                <w:lang w:eastAsia="zh-CN"/>
              </w:rPr>
              <w:t>门诊废水、</w:t>
            </w:r>
            <w:r>
              <w:rPr>
                <w:rFonts w:hint="eastAsia" w:ascii="宋体" w:hAnsi="宋体" w:cs="宋体"/>
                <w:szCs w:val="21"/>
                <w:lang w:val="en-US" w:eastAsia="zh-CN"/>
              </w:rPr>
              <w:t>口腔科废水、</w:t>
            </w:r>
            <w:r>
              <w:rPr>
                <w:rFonts w:hint="eastAsia" w:ascii="宋体" w:hAnsi="宋体" w:cs="宋体"/>
                <w:szCs w:val="21"/>
                <w:lang w:eastAsia="zh-CN"/>
              </w:rPr>
              <w:t>病房废水、检验废水、</w:t>
            </w:r>
            <w:r>
              <w:rPr>
                <w:rFonts w:hint="eastAsia" w:ascii="宋体" w:hAnsi="宋体" w:cs="宋体"/>
                <w:szCs w:val="21"/>
                <w:lang w:val="en-US" w:eastAsia="zh-CN"/>
              </w:rPr>
              <w:t>手术室废水</w:t>
            </w:r>
            <w:r>
              <w:rPr>
                <w:rFonts w:hint="eastAsia"/>
                <w:sz w:val="21"/>
                <w:szCs w:val="21"/>
                <w:lang w:eastAsia="zh-CN"/>
              </w:rPr>
              <w:t>经化粪池预处理后，与</w:t>
            </w:r>
            <w:r>
              <w:rPr>
                <w:rFonts w:hint="eastAsia"/>
                <w:sz w:val="21"/>
                <w:szCs w:val="21"/>
                <w:lang w:val="en-US" w:eastAsia="zh-CN"/>
              </w:rPr>
              <w:t>浓水、</w:t>
            </w:r>
            <w:r>
              <w:rPr>
                <w:rFonts w:hint="eastAsia"/>
                <w:sz w:val="21"/>
                <w:szCs w:val="21"/>
                <w:lang w:eastAsia="zh-CN"/>
              </w:rPr>
              <w:t>保洁废水一同进入医院自建污水处理站处理达标后，接管进入潘集区芦集镇再生水厂进一步处理。</w:t>
            </w:r>
            <w:r>
              <w:rPr>
                <w:rFonts w:hint="eastAsia"/>
                <w:szCs w:val="21"/>
                <w:lang w:eastAsia="zh-CN"/>
              </w:rPr>
              <w:t>医院污水处理站</w:t>
            </w:r>
            <w:r>
              <w:rPr>
                <w:rFonts w:hint="eastAsia"/>
                <w:szCs w:val="21"/>
              </w:rPr>
              <w:t>采用“一级强化处理+消毒”工艺，处理规模为</w:t>
            </w:r>
            <w:r>
              <w:rPr>
                <w:rFonts w:hint="eastAsia"/>
                <w:szCs w:val="21"/>
                <w:lang w:val="en-US" w:eastAsia="zh-CN"/>
              </w:rPr>
              <w:t>65</w:t>
            </w:r>
            <w:r>
              <w:rPr>
                <w:rFonts w:hint="eastAsia"/>
                <w:szCs w:val="21"/>
              </w:rPr>
              <w:t>t/d。</w:t>
            </w:r>
          </w:p>
        </w:tc>
        <w:tc>
          <w:tcPr>
            <w:tcW w:w="2492" w:type="dxa"/>
            <w:noWrap w:val="0"/>
            <w:vAlign w:val="center"/>
          </w:tcPr>
          <w:p w14:paraId="64F02308">
            <w:pPr>
              <w:jc w:val="center"/>
              <w:rPr>
                <w:rFonts w:hint="eastAsia" w:ascii="宋体" w:hAnsi="宋体" w:cs="宋体"/>
                <w:szCs w:val="21"/>
              </w:rPr>
            </w:pPr>
            <w:r>
              <w:rPr>
                <w:rFonts w:hint="eastAsia"/>
                <w:color w:val="auto"/>
                <w:szCs w:val="21"/>
                <w:lang w:eastAsia="zh-CN"/>
              </w:rPr>
              <w:t>《医疗机构水污染物排放标准》（GB18466-2005）（含2026年修改单）中表 2 预处理标准</w:t>
            </w:r>
          </w:p>
        </w:tc>
      </w:tr>
      <w:tr w14:paraId="6533CC2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288" w:type="dxa"/>
            <w:noWrap w:val="0"/>
            <w:vAlign w:val="center"/>
          </w:tcPr>
          <w:p w14:paraId="329A282D">
            <w:pPr>
              <w:adjustRightInd w:val="0"/>
              <w:snapToGrid w:val="0"/>
              <w:jc w:val="center"/>
              <w:rPr>
                <w:rFonts w:hint="eastAsia" w:ascii="宋体" w:hAnsi="宋体" w:cs="宋体"/>
                <w:szCs w:val="21"/>
              </w:rPr>
            </w:pPr>
            <w:r>
              <w:rPr>
                <w:rFonts w:hint="eastAsia" w:ascii="宋体" w:hAnsi="宋体" w:cs="宋体"/>
                <w:szCs w:val="21"/>
              </w:rPr>
              <w:t>声环境</w:t>
            </w:r>
          </w:p>
        </w:tc>
        <w:tc>
          <w:tcPr>
            <w:tcW w:w="1588" w:type="dxa"/>
            <w:noWrap w:val="0"/>
            <w:vAlign w:val="center"/>
          </w:tcPr>
          <w:p w14:paraId="05AA33D0">
            <w:pPr>
              <w:adjustRightInd w:val="0"/>
              <w:snapToGrid w:val="0"/>
              <w:jc w:val="center"/>
              <w:rPr>
                <w:rFonts w:ascii="宋体" w:hAnsi="宋体" w:cs="宋体"/>
                <w:szCs w:val="21"/>
              </w:rPr>
            </w:pPr>
            <w:r>
              <w:rPr>
                <w:rFonts w:hint="eastAsia" w:ascii="宋体" w:hAnsi="宋体" w:cs="宋体"/>
                <w:szCs w:val="21"/>
              </w:rPr>
              <w:t>设备运行</w:t>
            </w:r>
          </w:p>
        </w:tc>
        <w:tc>
          <w:tcPr>
            <w:tcW w:w="960" w:type="dxa"/>
            <w:noWrap w:val="0"/>
            <w:vAlign w:val="center"/>
          </w:tcPr>
          <w:p w14:paraId="05F8021F">
            <w:pPr>
              <w:adjustRightInd w:val="0"/>
              <w:snapToGrid w:val="0"/>
              <w:jc w:val="center"/>
              <w:rPr>
                <w:rFonts w:hint="eastAsia" w:ascii="宋体" w:hAnsi="宋体" w:cs="宋体"/>
                <w:szCs w:val="21"/>
              </w:rPr>
            </w:pPr>
            <w:r>
              <w:rPr>
                <w:rFonts w:hint="eastAsia" w:ascii="宋体" w:hAnsi="宋体" w:cs="宋体"/>
                <w:szCs w:val="21"/>
              </w:rPr>
              <w:t>机械噪声</w:t>
            </w:r>
          </w:p>
        </w:tc>
        <w:tc>
          <w:tcPr>
            <w:tcW w:w="2472" w:type="dxa"/>
            <w:noWrap w:val="0"/>
            <w:vAlign w:val="center"/>
          </w:tcPr>
          <w:p w14:paraId="6E816EA7">
            <w:pPr>
              <w:adjustRightInd w:val="0"/>
              <w:snapToGrid w:val="0"/>
              <w:jc w:val="center"/>
              <w:rPr>
                <w:rFonts w:hint="eastAsia" w:ascii="宋体" w:hAnsi="宋体" w:cs="宋体"/>
                <w:szCs w:val="21"/>
              </w:rPr>
            </w:pPr>
            <w:r>
              <w:rPr>
                <w:szCs w:val="21"/>
              </w:rPr>
              <w:t>减</w:t>
            </w:r>
            <w:r>
              <w:rPr>
                <w:rFonts w:hint="eastAsia"/>
                <w:szCs w:val="21"/>
              </w:rPr>
              <w:t>振</w:t>
            </w:r>
            <w:r>
              <w:rPr>
                <w:szCs w:val="21"/>
              </w:rPr>
              <w:t>、厂房隔声、距离衰减</w:t>
            </w:r>
          </w:p>
        </w:tc>
        <w:tc>
          <w:tcPr>
            <w:tcW w:w="2492" w:type="dxa"/>
            <w:noWrap w:val="0"/>
            <w:vAlign w:val="center"/>
          </w:tcPr>
          <w:p w14:paraId="148BE89C">
            <w:pPr>
              <w:adjustRightInd w:val="0"/>
              <w:snapToGrid w:val="0"/>
              <w:jc w:val="center"/>
              <w:rPr>
                <w:rFonts w:hint="eastAsia" w:ascii="宋体" w:hAnsi="宋体" w:cs="宋体"/>
                <w:szCs w:val="21"/>
              </w:rPr>
            </w:pPr>
            <w:r>
              <w:rPr>
                <w:rFonts w:hint="eastAsia" w:ascii="宋体" w:hAnsi="宋体" w:cs="宋体"/>
                <w:szCs w:val="21"/>
              </w:rPr>
              <w:t>《工业企业厂界环境噪</w:t>
            </w:r>
            <w:r>
              <w:rPr>
                <w:szCs w:val="21"/>
              </w:rPr>
              <w:t>声排放标准》（GB12348-2008）标准中</w:t>
            </w:r>
            <w:r>
              <w:rPr>
                <w:rFonts w:hint="eastAsia"/>
                <w:szCs w:val="21"/>
                <w:lang w:val="en-US" w:eastAsia="zh-CN"/>
              </w:rPr>
              <w:t>1</w:t>
            </w:r>
            <w:r>
              <w:rPr>
                <w:szCs w:val="21"/>
              </w:rPr>
              <w:t>类标准</w:t>
            </w:r>
            <w:r>
              <w:rPr>
                <w:rFonts w:hint="eastAsia"/>
                <w:szCs w:val="21"/>
                <w:lang w:eastAsia="zh-CN"/>
              </w:rPr>
              <w:t>、</w:t>
            </w:r>
            <w:r>
              <w:rPr>
                <w:rFonts w:hint="eastAsia"/>
                <w:szCs w:val="21"/>
                <w:lang w:val="en-US" w:eastAsia="zh-CN"/>
              </w:rPr>
              <w:t>2类标准</w:t>
            </w:r>
            <w:r>
              <w:rPr>
                <w:rFonts w:hint="eastAsia"/>
                <w:szCs w:val="21"/>
              </w:rPr>
              <w:t>。</w:t>
            </w:r>
          </w:p>
        </w:tc>
      </w:tr>
      <w:tr w14:paraId="1144E4B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288" w:type="dxa"/>
            <w:noWrap w:val="0"/>
            <w:vAlign w:val="center"/>
          </w:tcPr>
          <w:p w14:paraId="648F5E16">
            <w:pPr>
              <w:adjustRightInd w:val="0"/>
              <w:snapToGrid w:val="0"/>
              <w:jc w:val="center"/>
              <w:rPr>
                <w:rFonts w:hint="eastAsia" w:ascii="宋体" w:hAnsi="宋体" w:cs="宋体"/>
                <w:szCs w:val="21"/>
              </w:rPr>
            </w:pPr>
            <w:r>
              <w:rPr>
                <w:rFonts w:hint="eastAsia" w:ascii="宋体" w:hAnsi="宋体" w:cs="宋体"/>
                <w:szCs w:val="21"/>
              </w:rPr>
              <w:t>电磁辐射</w:t>
            </w:r>
          </w:p>
        </w:tc>
        <w:tc>
          <w:tcPr>
            <w:tcW w:w="1588" w:type="dxa"/>
            <w:noWrap w:val="0"/>
            <w:vAlign w:val="center"/>
          </w:tcPr>
          <w:p w14:paraId="68593D6E">
            <w:pPr>
              <w:adjustRightInd w:val="0"/>
              <w:snapToGrid w:val="0"/>
              <w:jc w:val="center"/>
              <w:rPr>
                <w:rFonts w:hint="eastAsia" w:ascii="宋体" w:hAnsi="宋体" w:cs="宋体"/>
                <w:szCs w:val="21"/>
              </w:rPr>
            </w:pPr>
            <w:r>
              <w:rPr>
                <w:rFonts w:hint="eastAsia" w:ascii="宋体" w:hAnsi="宋体" w:cs="宋体"/>
                <w:szCs w:val="21"/>
              </w:rPr>
              <w:t>/</w:t>
            </w:r>
          </w:p>
        </w:tc>
        <w:tc>
          <w:tcPr>
            <w:tcW w:w="960" w:type="dxa"/>
            <w:noWrap w:val="0"/>
            <w:vAlign w:val="center"/>
          </w:tcPr>
          <w:p w14:paraId="0246F08E">
            <w:pPr>
              <w:adjustRightInd w:val="0"/>
              <w:snapToGrid w:val="0"/>
              <w:jc w:val="center"/>
              <w:rPr>
                <w:rFonts w:hint="eastAsia" w:ascii="宋体" w:hAnsi="宋体" w:cs="宋体"/>
                <w:szCs w:val="21"/>
              </w:rPr>
            </w:pPr>
            <w:r>
              <w:rPr>
                <w:rFonts w:hint="eastAsia" w:ascii="宋体" w:hAnsi="宋体" w:cs="宋体"/>
                <w:szCs w:val="21"/>
              </w:rPr>
              <w:t>/</w:t>
            </w:r>
          </w:p>
        </w:tc>
        <w:tc>
          <w:tcPr>
            <w:tcW w:w="2472" w:type="dxa"/>
            <w:noWrap w:val="0"/>
            <w:vAlign w:val="center"/>
          </w:tcPr>
          <w:p w14:paraId="21B5CCDB">
            <w:pPr>
              <w:adjustRightInd w:val="0"/>
              <w:snapToGrid w:val="0"/>
              <w:jc w:val="center"/>
              <w:rPr>
                <w:rFonts w:hint="eastAsia" w:ascii="宋体" w:hAnsi="宋体" w:cs="宋体"/>
                <w:szCs w:val="21"/>
              </w:rPr>
            </w:pPr>
            <w:r>
              <w:rPr>
                <w:rFonts w:hint="eastAsia" w:ascii="宋体" w:hAnsi="宋体" w:cs="宋体"/>
                <w:szCs w:val="21"/>
              </w:rPr>
              <w:t>/</w:t>
            </w:r>
          </w:p>
        </w:tc>
        <w:tc>
          <w:tcPr>
            <w:tcW w:w="2492" w:type="dxa"/>
            <w:noWrap w:val="0"/>
            <w:vAlign w:val="center"/>
          </w:tcPr>
          <w:p w14:paraId="2DE712BF">
            <w:pPr>
              <w:adjustRightInd w:val="0"/>
              <w:snapToGrid w:val="0"/>
              <w:jc w:val="center"/>
              <w:rPr>
                <w:rFonts w:hint="eastAsia" w:ascii="宋体" w:hAnsi="宋体" w:cs="宋体"/>
                <w:szCs w:val="21"/>
              </w:rPr>
            </w:pPr>
            <w:r>
              <w:rPr>
                <w:rFonts w:hint="eastAsia" w:ascii="宋体" w:hAnsi="宋体" w:cs="宋体"/>
                <w:szCs w:val="21"/>
              </w:rPr>
              <w:t>/</w:t>
            </w:r>
          </w:p>
        </w:tc>
      </w:tr>
      <w:tr w14:paraId="63DF87A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59" w:hRule="atLeast"/>
          <w:jc w:val="center"/>
        </w:trPr>
        <w:tc>
          <w:tcPr>
            <w:tcW w:w="1288" w:type="dxa"/>
            <w:noWrap w:val="0"/>
            <w:vAlign w:val="center"/>
          </w:tcPr>
          <w:p w14:paraId="6124E811">
            <w:pPr>
              <w:adjustRightInd w:val="0"/>
              <w:snapToGrid w:val="0"/>
              <w:jc w:val="center"/>
              <w:rPr>
                <w:rFonts w:hint="eastAsia" w:ascii="宋体" w:hAnsi="宋体" w:cs="宋体"/>
                <w:szCs w:val="21"/>
              </w:rPr>
            </w:pPr>
            <w:r>
              <w:rPr>
                <w:rFonts w:hint="eastAsia" w:ascii="宋体" w:hAnsi="宋体" w:cs="宋体"/>
                <w:szCs w:val="21"/>
              </w:rPr>
              <w:t>固体废物</w:t>
            </w:r>
          </w:p>
        </w:tc>
        <w:tc>
          <w:tcPr>
            <w:tcW w:w="7512" w:type="dxa"/>
            <w:gridSpan w:val="4"/>
            <w:noWrap w:val="0"/>
            <w:vAlign w:val="center"/>
          </w:tcPr>
          <w:p w14:paraId="7DB94A2E">
            <w:pPr>
              <w:adjustRightInd w:val="0"/>
              <w:snapToGrid w:val="0"/>
              <w:jc w:val="center"/>
              <w:rPr>
                <w:szCs w:val="21"/>
              </w:rPr>
            </w:pPr>
          </w:p>
          <w:p w14:paraId="54D4F5BD">
            <w:pPr>
              <w:adjustRightInd w:val="0"/>
              <w:snapToGrid w:val="0"/>
              <w:jc w:val="center"/>
              <w:rPr>
                <w:szCs w:val="21"/>
              </w:rPr>
            </w:pPr>
            <w:r>
              <w:rPr>
                <w:szCs w:val="21"/>
              </w:rPr>
              <w:t>一般固废：</w:t>
            </w:r>
            <w:r>
              <w:rPr>
                <w:rFonts w:hint="eastAsia"/>
              </w:rPr>
              <w:t>位于</w:t>
            </w:r>
            <w:r>
              <w:rPr>
                <w:rFonts w:hint="eastAsia"/>
                <w:szCs w:val="21"/>
                <w:lang w:val="en-US" w:eastAsia="zh-CN"/>
              </w:rPr>
              <w:t>院区东侧</w:t>
            </w:r>
            <w:r>
              <w:rPr>
                <w:rFonts w:hint="eastAsia"/>
              </w:rPr>
              <w:t>，设置一般固废暂存间，面积约10m</w:t>
            </w:r>
            <w:r>
              <w:rPr>
                <w:rFonts w:hint="eastAsia"/>
                <w:vertAlign w:val="superscript"/>
              </w:rPr>
              <w:t>2</w:t>
            </w:r>
            <w:r>
              <w:rPr>
                <w:rFonts w:hint="eastAsia"/>
              </w:rPr>
              <w:t>，</w:t>
            </w:r>
            <w:r>
              <w:rPr>
                <w:rFonts w:hint="eastAsia"/>
                <w:szCs w:val="21"/>
              </w:rPr>
              <w:t>暂存一般固废，进行综合利用，</w:t>
            </w:r>
            <w:r>
              <w:rPr>
                <w:szCs w:val="21"/>
              </w:rPr>
              <w:t>不产生二次污染，满足《</w:t>
            </w:r>
            <w:r>
              <w:rPr>
                <w:rFonts w:hint="eastAsia"/>
                <w:szCs w:val="21"/>
              </w:rPr>
              <w:t>一般工业固体废物贮存和填埋污染控制标准</w:t>
            </w:r>
            <w:r>
              <w:rPr>
                <w:szCs w:val="21"/>
              </w:rPr>
              <w:t>》（</w:t>
            </w:r>
            <w:r>
              <w:rPr>
                <w:rFonts w:hint="eastAsia"/>
                <w:szCs w:val="21"/>
              </w:rPr>
              <w:t>GB 18599-2020</w:t>
            </w:r>
            <w:r>
              <w:rPr>
                <w:szCs w:val="21"/>
              </w:rPr>
              <w:t>）要求</w:t>
            </w:r>
            <w:r>
              <w:rPr>
                <w:rFonts w:hint="eastAsia"/>
                <w:szCs w:val="21"/>
              </w:rPr>
              <w:t>；</w:t>
            </w:r>
            <w:r>
              <w:rPr>
                <w:rFonts w:hint="eastAsia"/>
                <w:szCs w:val="21"/>
                <w:lang w:eastAsia="zh-CN"/>
              </w:rPr>
              <w:t>位于</w:t>
            </w:r>
            <w:r>
              <w:rPr>
                <w:rFonts w:hint="eastAsia"/>
                <w:szCs w:val="21"/>
                <w:lang w:val="en-US" w:eastAsia="zh-CN"/>
              </w:rPr>
              <w:t>院区东侧</w:t>
            </w:r>
            <w:r>
              <w:rPr>
                <w:rFonts w:hint="eastAsia"/>
                <w:szCs w:val="21"/>
                <w:lang w:eastAsia="zh-CN"/>
              </w:rPr>
              <w:t>，设置1处医疗废物暂存间，占地面积</w:t>
            </w:r>
            <w:r>
              <w:rPr>
                <w:rFonts w:hint="eastAsia"/>
                <w:szCs w:val="21"/>
                <w:lang w:val="en-US" w:eastAsia="zh-CN"/>
              </w:rPr>
              <w:t>3</w:t>
            </w:r>
            <w:r>
              <w:rPr>
                <w:rFonts w:hint="eastAsia"/>
                <w:szCs w:val="21"/>
                <w:lang w:eastAsia="zh-CN"/>
              </w:rPr>
              <w:t>0m</w:t>
            </w:r>
            <w:r>
              <w:rPr>
                <w:rFonts w:hint="eastAsia"/>
                <w:szCs w:val="21"/>
                <w:vertAlign w:val="superscript"/>
                <w:lang w:eastAsia="zh-CN"/>
              </w:rPr>
              <w:t>2</w:t>
            </w:r>
            <w:r>
              <w:rPr>
                <w:rFonts w:hint="eastAsia"/>
                <w:szCs w:val="21"/>
                <w:lang w:eastAsia="zh-CN"/>
              </w:rPr>
              <w:t>，暂存医疗废物，定期交有资质单位处理。在污水处理站</w:t>
            </w:r>
            <w:r>
              <w:rPr>
                <w:rFonts w:hint="eastAsia"/>
                <w:szCs w:val="21"/>
                <w:lang w:val="en-US" w:eastAsia="zh-CN"/>
              </w:rPr>
              <w:t>北</w:t>
            </w:r>
            <w:r>
              <w:rPr>
                <w:rFonts w:hint="eastAsia"/>
                <w:szCs w:val="21"/>
                <w:lang w:eastAsia="zh-CN"/>
              </w:rPr>
              <w:t>侧设置危废暂存间一间，约20m</w:t>
            </w:r>
            <w:r>
              <w:rPr>
                <w:rFonts w:hint="eastAsia"/>
                <w:szCs w:val="21"/>
                <w:vertAlign w:val="superscript"/>
                <w:lang w:eastAsia="zh-CN"/>
              </w:rPr>
              <w:t>2</w:t>
            </w:r>
            <w:r>
              <w:rPr>
                <w:rFonts w:hint="eastAsia"/>
                <w:szCs w:val="21"/>
                <w:lang w:eastAsia="zh-CN"/>
              </w:rPr>
              <w:t>，暂存产生的污泥栅渣等，交有资质单位进行处理</w:t>
            </w:r>
            <w:r>
              <w:rPr>
                <w:rFonts w:hint="eastAsia" w:ascii="Times New Roman" w:hAnsi="Times New Roman"/>
                <w:b w:val="0"/>
                <w:bCs/>
                <w:sz w:val="21"/>
                <w:szCs w:val="21"/>
                <w:lang w:eastAsia="zh-CN"/>
              </w:rPr>
              <w:t>，</w:t>
            </w:r>
            <w:r>
              <w:rPr>
                <w:rFonts w:hint="eastAsia"/>
                <w:szCs w:val="21"/>
              </w:rPr>
              <w:t>危险废物暂存执行危险废物贮存执行《危险废物贮存污染控制标准》（GB18597-2023）。</w:t>
            </w:r>
          </w:p>
        </w:tc>
      </w:tr>
      <w:tr w14:paraId="5713C23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76" w:hRule="atLeast"/>
          <w:jc w:val="center"/>
        </w:trPr>
        <w:tc>
          <w:tcPr>
            <w:tcW w:w="1288" w:type="dxa"/>
            <w:noWrap w:val="0"/>
            <w:vAlign w:val="center"/>
          </w:tcPr>
          <w:p w14:paraId="213DA27D">
            <w:pPr>
              <w:adjustRightInd w:val="0"/>
              <w:snapToGrid w:val="0"/>
              <w:jc w:val="center"/>
              <w:rPr>
                <w:rFonts w:hint="eastAsia" w:ascii="宋体" w:hAnsi="宋体" w:cs="宋体"/>
                <w:szCs w:val="21"/>
              </w:rPr>
            </w:pPr>
            <w:r>
              <w:rPr>
                <w:rFonts w:hint="eastAsia" w:ascii="宋体" w:hAnsi="宋体" w:cs="宋体"/>
                <w:szCs w:val="21"/>
              </w:rPr>
              <w:t>土壤及地下水污染防治措施</w:t>
            </w:r>
          </w:p>
        </w:tc>
        <w:tc>
          <w:tcPr>
            <w:tcW w:w="7512" w:type="dxa"/>
            <w:gridSpan w:val="4"/>
            <w:noWrap w:val="0"/>
            <w:vAlign w:val="center"/>
          </w:tcPr>
          <w:p w14:paraId="6FFF497D">
            <w:pPr>
              <w:adjustRightInd w:val="0"/>
              <w:snapToGrid w:val="0"/>
              <w:ind w:firstLine="420" w:firstLineChars="200"/>
              <w:rPr>
                <w:color w:val="auto"/>
                <w:szCs w:val="21"/>
              </w:rPr>
            </w:pPr>
            <w:r>
              <w:rPr>
                <w:color w:val="auto"/>
                <w:szCs w:val="21"/>
              </w:rPr>
              <w:t>分区防渗。</w:t>
            </w:r>
          </w:p>
          <w:p w14:paraId="5075A48A">
            <w:pPr>
              <w:pStyle w:val="23"/>
              <w:spacing w:line="240" w:lineRule="auto"/>
              <w:ind w:firstLine="420" w:firstLineChars="200"/>
              <w:rPr>
                <w:rFonts w:hint="eastAsia" w:ascii="Times New Roman" w:hAnsi="Times New Roman" w:eastAsia="宋体"/>
                <w:b w:val="0"/>
                <w:color w:val="auto"/>
                <w:sz w:val="21"/>
                <w:szCs w:val="21"/>
                <w:lang w:eastAsia="zh-CN"/>
              </w:rPr>
            </w:pPr>
            <w:r>
              <w:rPr>
                <w:rFonts w:hint="eastAsia" w:ascii="Times New Roman" w:hAnsi="Times New Roman"/>
                <w:b w:val="0"/>
                <w:color w:val="auto"/>
                <w:sz w:val="21"/>
                <w:szCs w:val="21"/>
              </w:rPr>
              <w:t>简单</w:t>
            </w:r>
            <w:r>
              <w:rPr>
                <w:rFonts w:ascii="Times New Roman" w:hAnsi="Times New Roman"/>
                <w:b w:val="0"/>
                <w:color w:val="auto"/>
                <w:sz w:val="21"/>
                <w:szCs w:val="21"/>
              </w:rPr>
              <w:t>防渗区：</w:t>
            </w:r>
            <w:r>
              <w:rPr>
                <w:rFonts w:hint="eastAsia" w:ascii="Times New Roman" w:hAnsi="Times New Roman"/>
                <w:b w:val="0"/>
                <w:color w:val="auto"/>
                <w:sz w:val="21"/>
                <w:szCs w:val="21"/>
                <w:lang w:eastAsia="zh-CN"/>
              </w:rPr>
              <w:t>医院其他区域</w:t>
            </w:r>
          </w:p>
          <w:p w14:paraId="70ACB44F">
            <w:pPr>
              <w:pStyle w:val="11"/>
              <w:ind w:left="0" w:firstLine="420" w:firstLineChars="200"/>
              <w:rPr>
                <w:rFonts w:hint="eastAsia" w:eastAsia="宋体"/>
                <w:bCs/>
                <w:color w:val="auto"/>
                <w:szCs w:val="21"/>
                <w:lang w:eastAsia="zh-CN"/>
              </w:rPr>
            </w:pPr>
            <w:r>
              <w:rPr>
                <w:rFonts w:hint="eastAsia" w:ascii="Times New Roman" w:hAnsi="Times New Roman"/>
                <w:b w:val="0"/>
                <w:bCs/>
                <w:color w:val="auto"/>
                <w:sz w:val="21"/>
                <w:szCs w:val="21"/>
                <w:lang w:eastAsia="zh-CN"/>
              </w:rPr>
              <w:t>一般防渗区：一般固废区，</w:t>
            </w:r>
            <w:r>
              <w:rPr>
                <w:rFonts w:hint="eastAsia" w:ascii="Times New Roman" w:hAnsi="Times New Roman" w:eastAsia="宋体"/>
                <w:color w:val="auto"/>
                <w:szCs w:val="21"/>
                <w:lang w:val="en-US" w:eastAsia="zh-CN"/>
              </w:rPr>
              <w:t>防渗采用硬化防渗水泥地面防渗，防渗系数≤1.0×10</w:t>
            </w:r>
            <w:r>
              <w:rPr>
                <w:rFonts w:hint="eastAsia" w:ascii="Times New Roman" w:hAnsi="Times New Roman" w:eastAsia="宋体"/>
                <w:color w:val="auto"/>
                <w:szCs w:val="21"/>
                <w:vertAlign w:val="superscript"/>
                <w:lang w:val="en-US" w:eastAsia="zh-CN"/>
              </w:rPr>
              <w:t>-7</w:t>
            </w:r>
            <w:r>
              <w:rPr>
                <w:rFonts w:hint="eastAsia" w:ascii="Times New Roman" w:hAnsi="Times New Roman" w:eastAsia="宋体"/>
                <w:color w:val="auto"/>
                <w:szCs w:val="21"/>
                <w:lang w:val="en-US" w:eastAsia="zh-CN"/>
              </w:rPr>
              <w:t>cm/s</w:t>
            </w:r>
            <w:r>
              <w:rPr>
                <w:rFonts w:hint="eastAsia" w:ascii="Times New Roman"/>
                <w:color w:val="auto"/>
                <w:sz w:val="21"/>
                <w:szCs w:val="21"/>
                <w:highlight w:val="none"/>
              </w:rPr>
              <w:t>。</w:t>
            </w:r>
          </w:p>
          <w:p w14:paraId="5802AED1">
            <w:pPr>
              <w:pStyle w:val="23"/>
              <w:spacing w:line="240" w:lineRule="auto"/>
              <w:ind w:firstLine="420" w:firstLineChars="200"/>
              <w:rPr>
                <w:b w:val="0"/>
                <w:sz w:val="21"/>
                <w:szCs w:val="21"/>
              </w:rPr>
            </w:pPr>
            <w:r>
              <w:rPr>
                <w:rFonts w:ascii="Times New Roman" w:hAnsi="Times New Roman"/>
                <w:b w:val="0"/>
                <w:color w:val="auto"/>
                <w:sz w:val="21"/>
                <w:szCs w:val="21"/>
              </w:rPr>
              <w:t>重点防渗区：</w:t>
            </w:r>
            <w:r>
              <w:rPr>
                <w:rFonts w:hint="eastAsia" w:ascii="Times New Roman" w:hAnsi="Times New Roman"/>
                <w:b w:val="0"/>
                <w:color w:val="auto"/>
                <w:sz w:val="21"/>
                <w:szCs w:val="21"/>
              </w:rPr>
              <w:t>化粪池、污水处理站、医疗废物暂存间、危险废物暂存间</w:t>
            </w:r>
            <w:r>
              <w:rPr>
                <w:rFonts w:hint="eastAsia" w:ascii="Times New Roman" w:hAnsi="Times New Roman"/>
                <w:b w:val="0"/>
                <w:color w:val="auto"/>
                <w:sz w:val="21"/>
                <w:szCs w:val="21"/>
                <w:lang w:eastAsia="zh-CN"/>
              </w:rPr>
              <w:t>、柴油存储间</w:t>
            </w:r>
            <w:r>
              <w:rPr>
                <w:rFonts w:hint="eastAsia" w:ascii="Times New Roman" w:hAnsi="Times New Roman"/>
                <w:b w:val="0"/>
                <w:color w:val="auto"/>
                <w:sz w:val="21"/>
                <w:szCs w:val="21"/>
              </w:rPr>
              <w:t>，采用高密度聚乙烯材料或其他人工防渗材料防渗，防渗系数≤1.0×10-10cm/s。</w:t>
            </w:r>
          </w:p>
        </w:tc>
      </w:tr>
      <w:tr w14:paraId="21F53F2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51" w:hRule="atLeast"/>
          <w:jc w:val="center"/>
        </w:trPr>
        <w:tc>
          <w:tcPr>
            <w:tcW w:w="1288" w:type="dxa"/>
            <w:noWrap w:val="0"/>
            <w:vAlign w:val="center"/>
          </w:tcPr>
          <w:p w14:paraId="7D0521A6">
            <w:pPr>
              <w:adjustRightInd w:val="0"/>
              <w:snapToGrid w:val="0"/>
              <w:jc w:val="center"/>
              <w:rPr>
                <w:rFonts w:hint="eastAsia" w:ascii="宋体" w:hAnsi="宋体" w:cs="宋体"/>
                <w:szCs w:val="21"/>
              </w:rPr>
            </w:pPr>
            <w:r>
              <w:rPr>
                <w:rFonts w:hint="eastAsia" w:ascii="宋体" w:hAnsi="宋体" w:cs="宋体"/>
                <w:szCs w:val="21"/>
              </w:rPr>
              <w:t>生态保护措施</w:t>
            </w:r>
          </w:p>
        </w:tc>
        <w:tc>
          <w:tcPr>
            <w:tcW w:w="7512" w:type="dxa"/>
            <w:gridSpan w:val="4"/>
            <w:noWrap w:val="0"/>
            <w:vAlign w:val="center"/>
          </w:tcPr>
          <w:p w14:paraId="77E3AA19">
            <w:pPr>
              <w:adjustRightInd w:val="0"/>
              <w:snapToGrid w:val="0"/>
              <w:jc w:val="center"/>
              <w:rPr>
                <w:rFonts w:hint="eastAsia"/>
                <w:szCs w:val="21"/>
              </w:rPr>
            </w:pPr>
            <w:r>
              <w:rPr>
                <w:rFonts w:hint="eastAsia"/>
                <w:szCs w:val="21"/>
              </w:rPr>
              <w:t>/</w:t>
            </w:r>
          </w:p>
        </w:tc>
      </w:tr>
      <w:tr w14:paraId="17A1C5C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76" w:hRule="atLeast"/>
          <w:jc w:val="center"/>
        </w:trPr>
        <w:tc>
          <w:tcPr>
            <w:tcW w:w="1288" w:type="dxa"/>
            <w:noWrap w:val="0"/>
            <w:vAlign w:val="center"/>
          </w:tcPr>
          <w:p w14:paraId="151DC346">
            <w:pPr>
              <w:adjustRightInd w:val="0"/>
              <w:snapToGrid w:val="0"/>
              <w:jc w:val="center"/>
              <w:rPr>
                <w:rFonts w:ascii="宋体" w:hAnsi="宋体" w:cs="宋体"/>
                <w:spacing w:val="-8"/>
                <w:szCs w:val="21"/>
                <w:highlight w:val="none"/>
              </w:rPr>
            </w:pPr>
            <w:r>
              <w:rPr>
                <w:rFonts w:hint="eastAsia" w:ascii="宋体" w:hAnsi="宋体" w:cs="宋体"/>
                <w:spacing w:val="-8"/>
                <w:szCs w:val="21"/>
                <w:highlight w:val="none"/>
              </w:rPr>
              <w:t>环境风险</w:t>
            </w:r>
          </w:p>
          <w:p w14:paraId="57ED7AE7">
            <w:pPr>
              <w:adjustRightInd w:val="0"/>
              <w:snapToGrid w:val="0"/>
              <w:jc w:val="center"/>
              <w:rPr>
                <w:rFonts w:hint="eastAsia" w:ascii="宋体" w:hAnsi="宋体" w:cs="宋体"/>
                <w:spacing w:val="-8"/>
                <w:szCs w:val="21"/>
                <w:highlight w:val="none"/>
              </w:rPr>
            </w:pPr>
            <w:r>
              <w:rPr>
                <w:rFonts w:hint="eastAsia" w:ascii="宋体" w:hAnsi="宋体" w:cs="宋体"/>
                <w:spacing w:val="-8"/>
                <w:szCs w:val="21"/>
                <w:highlight w:val="none"/>
              </w:rPr>
              <w:t>防范措施</w:t>
            </w:r>
          </w:p>
        </w:tc>
        <w:tc>
          <w:tcPr>
            <w:tcW w:w="7512" w:type="dxa"/>
            <w:gridSpan w:val="4"/>
            <w:noWrap w:val="0"/>
            <w:vAlign w:val="center"/>
          </w:tcPr>
          <w:p w14:paraId="5CD35807">
            <w:pPr>
              <w:adjustRightInd w:val="0"/>
              <w:snapToGrid w:val="0"/>
              <w:ind w:firstLine="420" w:firstLineChars="200"/>
              <w:rPr>
                <w:rFonts w:hint="eastAsia" w:eastAsia="宋体"/>
                <w:szCs w:val="21"/>
                <w:highlight w:val="none"/>
                <w:lang w:eastAsia="zh-CN"/>
              </w:rPr>
            </w:pPr>
            <w:r>
              <w:rPr>
                <w:rFonts w:hint="eastAsia"/>
                <w:bCs/>
                <w:szCs w:val="21"/>
                <w:highlight w:val="none"/>
              </w:rPr>
              <w:t>贯彻预防为主原则，加强对废弃物的管理，完善并严格执行各项工作规程；采取主动控制和被动控制相结合的措施，做到源头 控制、分区防渗；配备齐全的应急救援物资等。</w:t>
            </w:r>
          </w:p>
        </w:tc>
      </w:tr>
      <w:tr w14:paraId="78B0FDB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02" w:hRule="atLeast"/>
          <w:jc w:val="center"/>
        </w:trPr>
        <w:tc>
          <w:tcPr>
            <w:tcW w:w="1288" w:type="dxa"/>
            <w:noWrap w:val="0"/>
            <w:vAlign w:val="center"/>
          </w:tcPr>
          <w:p w14:paraId="0E522766">
            <w:pPr>
              <w:adjustRightInd w:val="0"/>
              <w:snapToGrid w:val="0"/>
              <w:jc w:val="center"/>
              <w:rPr>
                <w:rFonts w:ascii="宋体" w:hAnsi="宋体" w:cs="宋体"/>
                <w:spacing w:val="-8"/>
                <w:szCs w:val="21"/>
              </w:rPr>
            </w:pPr>
            <w:r>
              <w:rPr>
                <w:rFonts w:hint="eastAsia" w:ascii="宋体" w:hAnsi="宋体" w:cs="宋体"/>
                <w:spacing w:val="-8"/>
                <w:szCs w:val="21"/>
              </w:rPr>
              <w:t>其他环境</w:t>
            </w:r>
          </w:p>
          <w:p w14:paraId="29A89D57">
            <w:pPr>
              <w:adjustRightInd w:val="0"/>
              <w:snapToGrid w:val="0"/>
              <w:jc w:val="center"/>
              <w:rPr>
                <w:rFonts w:hint="eastAsia" w:ascii="宋体" w:hAnsi="宋体" w:cs="宋体"/>
                <w:spacing w:val="-8"/>
                <w:szCs w:val="21"/>
              </w:rPr>
            </w:pPr>
            <w:r>
              <w:rPr>
                <w:rFonts w:hint="eastAsia" w:ascii="宋体" w:hAnsi="宋体" w:cs="宋体"/>
                <w:spacing w:val="-8"/>
                <w:szCs w:val="21"/>
              </w:rPr>
              <w:t>管理要求</w:t>
            </w:r>
          </w:p>
        </w:tc>
        <w:tc>
          <w:tcPr>
            <w:tcW w:w="7512" w:type="dxa"/>
            <w:gridSpan w:val="4"/>
            <w:noWrap w:val="0"/>
            <w:vAlign w:val="center"/>
          </w:tcPr>
          <w:p w14:paraId="30BD937F">
            <w:pPr>
              <w:adjustRightInd w:val="0"/>
              <w:snapToGrid w:val="0"/>
              <w:ind w:firstLine="420" w:firstLineChars="200"/>
              <w:jc w:val="center"/>
              <w:rPr>
                <w:rFonts w:hint="eastAsia"/>
                <w:szCs w:val="21"/>
              </w:rPr>
            </w:pPr>
            <w:r>
              <w:rPr>
                <w:rFonts w:hint="eastAsia"/>
                <w:szCs w:val="21"/>
              </w:rPr>
              <w:t>/</w:t>
            </w:r>
          </w:p>
        </w:tc>
      </w:tr>
    </w:tbl>
    <w:p w14:paraId="1E491F13">
      <w:pPr>
        <w:pStyle w:val="13"/>
        <w:jc w:val="center"/>
        <w:outlineLvl w:val="0"/>
        <w:rPr>
          <w:rFonts w:hint="eastAsia" w:ascii="黑体" w:hAnsi="黑体" w:eastAsia="黑体"/>
          <w:snapToGrid w:val="0"/>
          <w:sz w:val="30"/>
          <w:szCs w:val="30"/>
        </w:rPr>
      </w:pPr>
    </w:p>
    <w:p w14:paraId="3DC2943C">
      <w:pPr>
        <w:pStyle w:val="13"/>
        <w:jc w:val="center"/>
        <w:outlineLvl w:val="0"/>
        <w:rPr>
          <w:rFonts w:hint="eastAsia" w:ascii="黑体" w:hAnsi="黑体" w:eastAsia="黑体"/>
          <w:snapToGrid w:val="0"/>
          <w:sz w:val="30"/>
          <w:szCs w:val="30"/>
        </w:rPr>
      </w:pPr>
    </w:p>
    <w:p w14:paraId="2B0B13CF">
      <w:pPr>
        <w:pStyle w:val="13"/>
        <w:jc w:val="center"/>
        <w:outlineLvl w:val="0"/>
        <w:rPr>
          <w:rFonts w:hint="eastAsia" w:ascii="黑体" w:hAnsi="黑体" w:eastAsia="黑体"/>
          <w:snapToGrid w:val="0"/>
          <w:sz w:val="30"/>
          <w:szCs w:val="30"/>
        </w:rPr>
      </w:pPr>
    </w:p>
    <w:p w14:paraId="35785BEE">
      <w:pPr>
        <w:pStyle w:val="13"/>
        <w:jc w:val="center"/>
        <w:outlineLvl w:val="0"/>
        <w:rPr>
          <w:rFonts w:hint="eastAsia" w:ascii="黑体" w:hAnsi="黑体" w:eastAsia="黑体"/>
          <w:snapToGrid w:val="0"/>
          <w:sz w:val="30"/>
          <w:szCs w:val="30"/>
        </w:rPr>
      </w:pPr>
    </w:p>
    <w:p w14:paraId="2D0A7488">
      <w:pPr>
        <w:pStyle w:val="13"/>
        <w:jc w:val="center"/>
        <w:outlineLvl w:val="0"/>
        <w:rPr>
          <w:rFonts w:hint="eastAsia" w:ascii="黑体" w:hAnsi="黑体" w:eastAsia="黑体"/>
          <w:snapToGrid w:val="0"/>
          <w:sz w:val="30"/>
          <w:szCs w:val="30"/>
        </w:rPr>
      </w:pPr>
    </w:p>
    <w:p w14:paraId="79A93670">
      <w:pPr>
        <w:pStyle w:val="13"/>
        <w:jc w:val="center"/>
        <w:outlineLvl w:val="0"/>
        <w:rPr>
          <w:rFonts w:hint="eastAsia" w:ascii="黑体" w:hAnsi="黑体" w:eastAsia="黑体"/>
          <w:snapToGrid w:val="0"/>
          <w:sz w:val="30"/>
          <w:szCs w:val="30"/>
        </w:rPr>
      </w:pPr>
    </w:p>
    <w:p w14:paraId="6C001C4A">
      <w:pPr>
        <w:pStyle w:val="13"/>
        <w:jc w:val="center"/>
        <w:outlineLvl w:val="0"/>
        <w:rPr>
          <w:rFonts w:hint="eastAsia" w:ascii="黑体" w:hAnsi="黑体" w:eastAsia="黑体"/>
          <w:snapToGrid w:val="0"/>
          <w:sz w:val="30"/>
          <w:szCs w:val="30"/>
        </w:rPr>
      </w:pPr>
    </w:p>
    <w:p w14:paraId="526581AE">
      <w:pPr>
        <w:pStyle w:val="13"/>
        <w:jc w:val="center"/>
        <w:outlineLvl w:val="0"/>
        <w:rPr>
          <w:rFonts w:hint="eastAsia" w:ascii="黑体" w:hAnsi="黑体" w:eastAsia="黑体"/>
          <w:snapToGrid w:val="0"/>
          <w:sz w:val="30"/>
          <w:szCs w:val="30"/>
        </w:rPr>
      </w:pPr>
    </w:p>
    <w:p w14:paraId="0CF361FB">
      <w:pPr>
        <w:pStyle w:val="13"/>
        <w:jc w:val="center"/>
        <w:outlineLvl w:val="0"/>
        <w:rPr>
          <w:rFonts w:hint="eastAsia" w:ascii="黑体" w:hAnsi="黑体" w:eastAsia="黑体"/>
          <w:snapToGrid w:val="0"/>
          <w:sz w:val="30"/>
          <w:szCs w:val="30"/>
        </w:rPr>
      </w:pPr>
    </w:p>
    <w:p w14:paraId="30B31976">
      <w:pPr>
        <w:pStyle w:val="13"/>
        <w:jc w:val="center"/>
        <w:outlineLvl w:val="0"/>
        <w:rPr>
          <w:rFonts w:hint="eastAsia" w:ascii="黑体" w:hAnsi="黑体" w:eastAsia="黑体"/>
          <w:snapToGrid w:val="0"/>
          <w:sz w:val="30"/>
          <w:szCs w:val="30"/>
        </w:rPr>
      </w:pPr>
    </w:p>
    <w:p w14:paraId="466BEF1F">
      <w:pPr>
        <w:pStyle w:val="13"/>
        <w:jc w:val="center"/>
        <w:outlineLvl w:val="0"/>
        <w:rPr>
          <w:rFonts w:hint="eastAsia" w:ascii="黑体" w:hAnsi="黑体" w:eastAsia="黑体"/>
          <w:snapToGrid w:val="0"/>
          <w:sz w:val="30"/>
          <w:szCs w:val="30"/>
        </w:rPr>
      </w:pPr>
    </w:p>
    <w:p w14:paraId="18707E76">
      <w:pPr>
        <w:pStyle w:val="13"/>
        <w:jc w:val="center"/>
        <w:outlineLvl w:val="0"/>
        <w:rPr>
          <w:rFonts w:ascii="黑体" w:hAnsi="黑体" w:eastAsia="黑体"/>
          <w:snapToGrid w:val="0"/>
          <w:sz w:val="30"/>
          <w:szCs w:val="30"/>
        </w:rPr>
      </w:pPr>
      <w:r>
        <w:rPr>
          <w:rFonts w:hint="eastAsia" w:ascii="黑体" w:hAnsi="黑体" w:eastAsia="黑体"/>
          <w:snapToGrid w:val="0"/>
          <w:sz w:val="30"/>
          <w:szCs w:val="30"/>
        </w:rPr>
        <w:t>六、结论</w:t>
      </w:r>
    </w:p>
    <w:tbl>
      <w:tblPr>
        <w:tblStyle w:val="14"/>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8865"/>
      </w:tblGrid>
      <w:tr w14:paraId="4B06068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991" w:hRule="atLeast"/>
          <w:jc w:val="center"/>
        </w:trPr>
        <w:tc>
          <w:tcPr>
            <w:tcW w:w="8865" w:type="dxa"/>
            <w:noWrap w:val="0"/>
            <w:vAlign w:val="top"/>
          </w:tcPr>
          <w:p w14:paraId="4BFF096F">
            <w:pPr>
              <w:pStyle w:val="7"/>
              <w:spacing w:before="0" w:after="0" w:line="360" w:lineRule="auto"/>
              <w:ind w:right="0" w:firstLine="480" w:firstLineChars="200"/>
            </w:pPr>
            <w:r>
              <w:rPr>
                <w:rFonts w:hint="eastAsia" w:ascii="宋体" w:cs="宋体"/>
                <w:sz w:val="24"/>
              </w:rPr>
              <w:t>综上所述，项目建设符合国家和地方相关产业政策，选址符合“三线一单”，所采取的污染治理技术可行，可确保污染物稳定达标排放，处理达标后排放的污染物对周围环境影响较小，不会改变当地环境功能区划，项目的环境风险较小且可接受，在落实本报告表提出的各项污染物防治措施，严格执行“三同时”制度的情况下，从环保角度考虑，本项目建设可行。</w:t>
            </w:r>
          </w:p>
        </w:tc>
      </w:tr>
    </w:tbl>
    <w:p w14:paraId="61B96D18">
      <w:pPr>
        <w:adjustRightInd w:val="0"/>
        <w:snapToGrid w:val="0"/>
        <w:spacing w:line="360" w:lineRule="auto"/>
        <w:rPr>
          <w:rFonts w:hint="eastAsia" w:ascii="宋体" w:cs="宋体"/>
          <w:b/>
          <w:kern w:val="0"/>
          <w:sz w:val="28"/>
          <w:szCs w:val="28"/>
        </w:rPr>
        <w:sectPr>
          <w:pgSz w:w="11905" w:h="16838"/>
          <w:pgMar w:top="1701" w:right="1531" w:bottom="2126" w:left="1531" w:header="851" w:footer="850" w:gutter="0"/>
          <w:cols w:space="720" w:num="1"/>
          <w:rtlGutter w:val="0"/>
          <w:docGrid w:linePitch="312" w:charSpace="0"/>
        </w:sectPr>
      </w:pPr>
    </w:p>
    <w:p w14:paraId="22003438">
      <w:pPr>
        <w:pStyle w:val="13"/>
        <w:adjustRightInd w:val="0"/>
        <w:snapToGrid w:val="0"/>
        <w:spacing w:before="0" w:beforeAutospacing="0" w:after="0" w:afterAutospacing="0" w:line="360" w:lineRule="auto"/>
        <w:outlineLvl w:val="0"/>
        <w:rPr>
          <w:rFonts w:ascii="黑体" w:hAnsi="黑体" w:eastAsia="黑体"/>
          <w:snapToGrid w:val="0"/>
          <w:sz w:val="32"/>
          <w:szCs w:val="32"/>
        </w:rPr>
      </w:pPr>
      <w:r>
        <w:rPr>
          <w:rFonts w:hint="eastAsia" w:ascii="黑体" w:hAnsi="黑体" w:eastAsia="黑体"/>
          <w:snapToGrid w:val="0"/>
          <w:sz w:val="32"/>
          <w:szCs w:val="32"/>
        </w:rPr>
        <w:t>附表</w:t>
      </w:r>
    </w:p>
    <w:p w14:paraId="51140174">
      <w:pPr>
        <w:pStyle w:val="13"/>
        <w:adjustRightInd w:val="0"/>
        <w:snapToGrid w:val="0"/>
        <w:spacing w:before="0" w:beforeAutospacing="0" w:after="0" w:afterAutospacing="0"/>
        <w:jc w:val="center"/>
        <w:outlineLvl w:val="0"/>
        <w:rPr>
          <w:rFonts w:hint="eastAsia" w:ascii="方正小标宋_GBK" w:hAnsi="黑体" w:eastAsia="方正小标宋_GBK"/>
          <w:snapToGrid w:val="0"/>
          <w:sz w:val="38"/>
          <w:szCs w:val="38"/>
        </w:rPr>
      </w:pPr>
      <w:r>
        <w:rPr>
          <w:rFonts w:hint="eastAsia" w:ascii="方正小标宋_GBK" w:hAnsi="黑体" w:eastAsia="方正小标宋_GBK"/>
          <w:snapToGrid w:val="0"/>
          <w:sz w:val="38"/>
          <w:szCs w:val="38"/>
        </w:rPr>
        <w:t>建设项目污染物排放量汇总表</w:t>
      </w:r>
    </w:p>
    <w:tbl>
      <w:tblPr>
        <w:tblStyle w:val="14"/>
        <w:tblW w:w="4998" w:type="pct"/>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1215"/>
        <w:gridCol w:w="1530"/>
        <w:gridCol w:w="1546"/>
        <w:gridCol w:w="1177"/>
        <w:gridCol w:w="1488"/>
        <w:gridCol w:w="1546"/>
        <w:gridCol w:w="1648"/>
        <w:gridCol w:w="1475"/>
        <w:gridCol w:w="1437"/>
      </w:tblGrid>
      <w:tr w14:paraId="4D862BC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470" w:type="pct"/>
            <w:tcBorders>
              <w:tl2br w:val="single" w:color="auto" w:sz="4" w:space="0"/>
            </w:tcBorders>
            <w:noWrap w:val="0"/>
            <w:tcMar>
              <w:left w:w="28" w:type="dxa"/>
              <w:right w:w="28" w:type="dxa"/>
            </w:tcMar>
            <w:vAlign w:val="center"/>
          </w:tcPr>
          <w:p w14:paraId="1ED43951">
            <w:pPr>
              <w:pStyle w:val="26"/>
              <w:spacing w:beforeLines="0" w:afterLines="0" w:line="240" w:lineRule="auto"/>
              <w:jc w:val="right"/>
              <w:rPr>
                <w:rFonts w:ascii="Times New Roman" w:eastAsia="黑体"/>
                <w:snapToGrid w:val="0"/>
                <w:color w:val="000000"/>
                <w:spacing w:val="-6"/>
                <w:kern w:val="21"/>
                <w:sz w:val="21"/>
                <w:szCs w:val="21"/>
              </w:rPr>
            </w:pPr>
            <w:r>
              <w:rPr>
                <w:rFonts w:ascii="Times New Roman" w:eastAsia="黑体"/>
                <w:snapToGrid w:val="0"/>
                <w:color w:val="000000"/>
                <w:spacing w:val="-6"/>
                <w:kern w:val="21"/>
                <w:sz w:val="21"/>
                <w:szCs w:val="21"/>
              </w:rPr>
              <w:t>项目</w:t>
            </w:r>
          </w:p>
          <w:p w14:paraId="7989FA0F">
            <w:pPr>
              <w:pStyle w:val="26"/>
              <w:spacing w:beforeLines="0" w:afterLines="0" w:line="240" w:lineRule="auto"/>
              <w:ind w:firstLine="0"/>
              <w:jc w:val="left"/>
              <w:rPr>
                <w:rFonts w:ascii="Times New Roman" w:eastAsia="黑体"/>
                <w:snapToGrid w:val="0"/>
                <w:color w:val="000000"/>
                <w:spacing w:val="-6"/>
                <w:kern w:val="21"/>
                <w:sz w:val="21"/>
                <w:szCs w:val="21"/>
              </w:rPr>
            </w:pPr>
            <w:r>
              <w:rPr>
                <w:rFonts w:ascii="Times New Roman" w:eastAsia="黑体"/>
                <w:snapToGrid w:val="0"/>
                <w:color w:val="000000"/>
                <w:spacing w:val="-6"/>
                <w:kern w:val="21"/>
                <w:sz w:val="21"/>
                <w:szCs w:val="21"/>
              </w:rPr>
              <w:t>分类</w:t>
            </w:r>
          </w:p>
        </w:tc>
        <w:tc>
          <w:tcPr>
            <w:tcW w:w="590" w:type="pct"/>
            <w:noWrap w:val="0"/>
            <w:tcMar>
              <w:left w:w="28" w:type="dxa"/>
              <w:right w:w="28" w:type="dxa"/>
            </w:tcMar>
            <w:vAlign w:val="center"/>
          </w:tcPr>
          <w:p w14:paraId="1579B660">
            <w:pPr>
              <w:pStyle w:val="26"/>
              <w:spacing w:beforeLines="0" w:afterLines="0" w:line="240" w:lineRule="auto"/>
              <w:ind w:firstLine="0"/>
              <w:jc w:val="center"/>
              <w:rPr>
                <w:rFonts w:ascii="Times New Roman" w:eastAsia="黑体"/>
                <w:snapToGrid w:val="0"/>
                <w:color w:val="000000"/>
                <w:spacing w:val="-6"/>
                <w:kern w:val="21"/>
                <w:sz w:val="21"/>
                <w:szCs w:val="21"/>
              </w:rPr>
            </w:pPr>
            <w:r>
              <w:rPr>
                <w:rFonts w:ascii="Times New Roman" w:eastAsia="黑体"/>
                <w:snapToGrid w:val="0"/>
                <w:color w:val="000000"/>
                <w:spacing w:val="-6"/>
                <w:kern w:val="21"/>
                <w:sz w:val="21"/>
                <w:szCs w:val="21"/>
              </w:rPr>
              <w:t>污染物名称</w:t>
            </w:r>
          </w:p>
        </w:tc>
        <w:tc>
          <w:tcPr>
            <w:tcW w:w="596" w:type="pct"/>
            <w:noWrap w:val="0"/>
            <w:tcMar>
              <w:left w:w="28" w:type="dxa"/>
              <w:right w:w="28" w:type="dxa"/>
            </w:tcMar>
            <w:vAlign w:val="center"/>
          </w:tcPr>
          <w:p w14:paraId="328D6A19">
            <w:pPr>
              <w:pStyle w:val="26"/>
              <w:spacing w:beforeLines="0" w:afterLines="0" w:line="240" w:lineRule="auto"/>
              <w:ind w:firstLine="0"/>
              <w:jc w:val="center"/>
              <w:rPr>
                <w:rFonts w:ascii="Times New Roman" w:eastAsia="黑体"/>
                <w:snapToGrid w:val="0"/>
                <w:color w:val="000000"/>
                <w:spacing w:val="-6"/>
                <w:kern w:val="21"/>
                <w:sz w:val="21"/>
                <w:szCs w:val="21"/>
              </w:rPr>
            </w:pPr>
            <w:r>
              <w:rPr>
                <w:rFonts w:ascii="Times New Roman" w:eastAsia="黑体"/>
                <w:snapToGrid w:val="0"/>
                <w:color w:val="000000"/>
                <w:spacing w:val="-6"/>
                <w:kern w:val="21"/>
                <w:sz w:val="21"/>
                <w:szCs w:val="21"/>
              </w:rPr>
              <w:t>现有工程排放量（固体废物产生量）</w:t>
            </w:r>
            <w:r>
              <w:rPr>
                <w:rFonts w:ascii="Times New Roman" w:eastAsia="黑体"/>
                <w:snapToGrid w:val="0"/>
                <w:color w:val="000000"/>
                <w:spacing w:val="-6"/>
                <w:kern w:val="21"/>
                <w:sz w:val="21"/>
                <w:szCs w:val="21"/>
              </w:rPr>
              <w:fldChar w:fldCharType="begin"/>
            </w:r>
            <w:r>
              <w:rPr>
                <w:rFonts w:ascii="Times New Roman" w:eastAsia="黑体"/>
                <w:snapToGrid w:val="0"/>
                <w:color w:val="000000"/>
                <w:spacing w:val="-6"/>
                <w:kern w:val="21"/>
                <w:sz w:val="21"/>
                <w:szCs w:val="21"/>
              </w:rPr>
              <w:instrText xml:space="preserve"> = 1 \* GB3 \* MERGEFORMAT </w:instrText>
            </w:r>
            <w:r>
              <w:rPr>
                <w:rFonts w:ascii="Times New Roman" w:eastAsia="黑体"/>
                <w:snapToGrid w:val="0"/>
                <w:color w:val="000000"/>
                <w:spacing w:val="-6"/>
                <w:kern w:val="21"/>
                <w:sz w:val="21"/>
                <w:szCs w:val="21"/>
              </w:rPr>
              <w:fldChar w:fldCharType="separate"/>
            </w:r>
            <w:r>
              <w:rPr>
                <w:rFonts w:ascii="Times New Roman" w:eastAsia="黑体"/>
                <w:kern w:val="2"/>
                <w:sz w:val="21"/>
                <w:szCs w:val="21"/>
              </w:rPr>
              <w:t>①</w:t>
            </w:r>
            <w:r>
              <w:rPr>
                <w:rFonts w:ascii="Times New Roman" w:eastAsia="黑体"/>
                <w:snapToGrid w:val="0"/>
                <w:color w:val="000000"/>
                <w:spacing w:val="-6"/>
                <w:kern w:val="21"/>
                <w:sz w:val="21"/>
                <w:szCs w:val="21"/>
              </w:rPr>
              <w:fldChar w:fldCharType="end"/>
            </w:r>
          </w:p>
        </w:tc>
        <w:tc>
          <w:tcPr>
            <w:tcW w:w="455" w:type="pct"/>
            <w:noWrap w:val="0"/>
            <w:tcMar>
              <w:left w:w="28" w:type="dxa"/>
              <w:right w:w="28" w:type="dxa"/>
            </w:tcMar>
            <w:vAlign w:val="center"/>
          </w:tcPr>
          <w:p w14:paraId="6BB73FE5">
            <w:pPr>
              <w:pStyle w:val="26"/>
              <w:spacing w:beforeLines="0" w:afterLines="0" w:line="240" w:lineRule="auto"/>
              <w:ind w:firstLine="0"/>
              <w:jc w:val="center"/>
              <w:rPr>
                <w:rFonts w:ascii="Times New Roman" w:eastAsia="黑体"/>
                <w:snapToGrid w:val="0"/>
                <w:color w:val="000000"/>
                <w:spacing w:val="-6"/>
                <w:kern w:val="21"/>
                <w:sz w:val="21"/>
                <w:szCs w:val="21"/>
              </w:rPr>
            </w:pPr>
            <w:r>
              <w:rPr>
                <w:rFonts w:ascii="Times New Roman" w:eastAsia="黑体"/>
                <w:snapToGrid w:val="0"/>
                <w:color w:val="000000"/>
                <w:spacing w:val="-6"/>
                <w:kern w:val="21"/>
                <w:sz w:val="21"/>
                <w:szCs w:val="21"/>
              </w:rPr>
              <w:t>现有工程</w:t>
            </w:r>
          </w:p>
          <w:p w14:paraId="7FFF11F6">
            <w:pPr>
              <w:pStyle w:val="26"/>
              <w:spacing w:beforeLines="0" w:afterLines="0" w:line="240" w:lineRule="auto"/>
              <w:ind w:firstLine="0"/>
              <w:jc w:val="center"/>
              <w:rPr>
                <w:rFonts w:ascii="Times New Roman" w:eastAsia="黑体"/>
                <w:snapToGrid w:val="0"/>
                <w:color w:val="000000"/>
                <w:spacing w:val="-6"/>
                <w:kern w:val="21"/>
                <w:sz w:val="21"/>
                <w:szCs w:val="21"/>
              </w:rPr>
            </w:pPr>
            <w:r>
              <w:rPr>
                <w:rFonts w:ascii="Times New Roman" w:eastAsia="黑体"/>
                <w:snapToGrid w:val="0"/>
                <w:color w:val="000000"/>
                <w:spacing w:val="-6"/>
                <w:kern w:val="21"/>
                <w:sz w:val="21"/>
                <w:szCs w:val="21"/>
              </w:rPr>
              <w:t>许可排放量</w:t>
            </w:r>
          </w:p>
          <w:p w14:paraId="63C79E0C">
            <w:pPr>
              <w:pStyle w:val="26"/>
              <w:spacing w:beforeLines="0" w:afterLines="0" w:line="240" w:lineRule="auto"/>
              <w:rPr>
                <w:rFonts w:ascii="Times New Roman" w:eastAsia="黑体"/>
                <w:snapToGrid w:val="0"/>
                <w:color w:val="000000"/>
                <w:spacing w:val="-6"/>
                <w:kern w:val="21"/>
                <w:sz w:val="21"/>
                <w:szCs w:val="21"/>
              </w:rPr>
            </w:pPr>
            <w:r>
              <w:rPr>
                <w:rFonts w:ascii="Times New Roman" w:eastAsia="黑体"/>
                <w:snapToGrid w:val="0"/>
                <w:color w:val="000000"/>
                <w:spacing w:val="-6"/>
                <w:kern w:val="21"/>
                <w:sz w:val="21"/>
                <w:szCs w:val="21"/>
              </w:rPr>
              <w:fldChar w:fldCharType="begin"/>
            </w:r>
            <w:r>
              <w:rPr>
                <w:rFonts w:ascii="Times New Roman" w:eastAsia="黑体"/>
                <w:snapToGrid w:val="0"/>
                <w:color w:val="000000"/>
                <w:spacing w:val="-6"/>
                <w:kern w:val="21"/>
                <w:sz w:val="21"/>
                <w:szCs w:val="21"/>
              </w:rPr>
              <w:instrText xml:space="preserve"> = 2 \* GB3 \* MERGEFORMAT </w:instrText>
            </w:r>
            <w:r>
              <w:rPr>
                <w:rFonts w:ascii="Times New Roman" w:eastAsia="黑体"/>
                <w:snapToGrid w:val="0"/>
                <w:color w:val="000000"/>
                <w:spacing w:val="-6"/>
                <w:kern w:val="21"/>
                <w:sz w:val="21"/>
                <w:szCs w:val="21"/>
              </w:rPr>
              <w:fldChar w:fldCharType="separate"/>
            </w:r>
            <w:r>
              <w:rPr>
                <w:rFonts w:ascii="Times New Roman" w:eastAsia="黑体"/>
                <w:snapToGrid w:val="0"/>
                <w:color w:val="000000"/>
                <w:spacing w:val="-6"/>
                <w:kern w:val="21"/>
                <w:sz w:val="21"/>
                <w:szCs w:val="21"/>
              </w:rPr>
              <w:t>②</w:t>
            </w:r>
            <w:r>
              <w:rPr>
                <w:rFonts w:ascii="Times New Roman" w:eastAsia="黑体"/>
                <w:snapToGrid w:val="0"/>
                <w:color w:val="000000"/>
                <w:spacing w:val="-6"/>
                <w:kern w:val="21"/>
                <w:sz w:val="21"/>
                <w:szCs w:val="21"/>
              </w:rPr>
              <w:fldChar w:fldCharType="end"/>
            </w:r>
          </w:p>
        </w:tc>
        <w:tc>
          <w:tcPr>
            <w:tcW w:w="574" w:type="pct"/>
            <w:noWrap w:val="0"/>
            <w:tcMar>
              <w:left w:w="28" w:type="dxa"/>
              <w:right w:w="28" w:type="dxa"/>
            </w:tcMar>
            <w:vAlign w:val="center"/>
          </w:tcPr>
          <w:p w14:paraId="0486C047">
            <w:pPr>
              <w:pStyle w:val="26"/>
              <w:spacing w:beforeLines="0" w:afterLines="0" w:line="240" w:lineRule="auto"/>
              <w:ind w:firstLine="0"/>
              <w:jc w:val="center"/>
              <w:rPr>
                <w:rFonts w:ascii="Times New Roman" w:eastAsia="黑体"/>
                <w:snapToGrid w:val="0"/>
                <w:color w:val="000000"/>
                <w:spacing w:val="-6"/>
                <w:kern w:val="21"/>
                <w:sz w:val="21"/>
                <w:szCs w:val="21"/>
              </w:rPr>
            </w:pPr>
            <w:r>
              <w:rPr>
                <w:rFonts w:ascii="Times New Roman" w:eastAsia="黑体"/>
                <w:snapToGrid w:val="0"/>
                <w:color w:val="000000"/>
                <w:spacing w:val="-6"/>
                <w:kern w:val="21"/>
                <w:sz w:val="21"/>
                <w:szCs w:val="21"/>
              </w:rPr>
              <w:t>在建工程</w:t>
            </w:r>
          </w:p>
          <w:p w14:paraId="20912709">
            <w:pPr>
              <w:pStyle w:val="26"/>
              <w:spacing w:beforeLines="0" w:afterLines="0" w:line="240" w:lineRule="auto"/>
              <w:ind w:firstLine="0"/>
              <w:jc w:val="center"/>
              <w:rPr>
                <w:rFonts w:ascii="Times New Roman" w:eastAsia="黑体"/>
                <w:snapToGrid w:val="0"/>
                <w:color w:val="000000"/>
                <w:spacing w:val="-6"/>
                <w:kern w:val="21"/>
                <w:sz w:val="21"/>
                <w:szCs w:val="21"/>
              </w:rPr>
            </w:pPr>
            <w:r>
              <w:rPr>
                <w:rFonts w:ascii="Times New Roman" w:eastAsia="黑体"/>
                <w:snapToGrid w:val="0"/>
                <w:color w:val="000000"/>
                <w:spacing w:val="-6"/>
                <w:kern w:val="21"/>
                <w:sz w:val="21"/>
                <w:szCs w:val="21"/>
              </w:rPr>
              <w:t>排放量（固体废物产生量）</w:t>
            </w:r>
            <w:r>
              <w:rPr>
                <w:rFonts w:ascii="Times New Roman" w:eastAsia="黑体"/>
                <w:snapToGrid w:val="0"/>
                <w:color w:val="000000"/>
                <w:spacing w:val="-6"/>
                <w:kern w:val="21"/>
                <w:sz w:val="21"/>
                <w:szCs w:val="21"/>
              </w:rPr>
              <w:fldChar w:fldCharType="begin"/>
            </w:r>
            <w:r>
              <w:rPr>
                <w:rFonts w:ascii="Times New Roman" w:eastAsia="黑体"/>
                <w:snapToGrid w:val="0"/>
                <w:color w:val="000000"/>
                <w:spacing w:val="-6"/>
                <w:kern w:val="21"/>
                <w:sz w:val="21"/>
                <w:szCs w:val="21"/>
              </w:rPr>
              <w:instrText xml:space="preserve"> = 3 \* GB3 \* MERGEFORMAT </w:instrText>
            </w:r>
            <w:r>
              <w:rPr>
                <w:rFonts w:ascii="Times New Roman" w:eastAsia="黑体"/>
                <w:snapToGrid w:val="0"/>
                <w:color w:val="000000"/>
                <w:spacing w:val="-6"/>
                <w:kern w:val="21"/>
                <w:sz w:val="21"/>
                <w:szCs w:val="21"/>
              </w:rPr>
              <w:fldChar w:fldCharType="separate"/>
            </w:r>
            <w:r>
              <w:rPr>
                <w:rFonts w:ascii="Times New Roman" w:eastAsia="黑体"/>
                <w:kern w:val="2"/>
                <w:sz w:val="21"/>
                <w:szCs w:val="21"/>
              </w:rPr>
              <w:t>③</w:t>
            </w:r>
            <w:r>
              <w:rPr>
                <w:rFonts w:ascii="Times New Roman" w:eastAsia="黑体"/>
                <w:snapToGrid w:val="0"/>
                <w:color w:val="000000"/>
                <w:spacing w:val="-6"/>
                <w:kern w:val="21"/>
                <w:sz w:val="21"/>
                <w:szCs w:val="21"/>
              </w:rPr>
              <w:fldChar w:fldCharType="end"/>
            </w:r>
          </w:p>
        </w:tc>
        <w:tc>
          <w:tcPr>
            <w:tcW w:w="596" w:type="pct"/>
            <w:noWrap w:val="0"/>
            <w:tcMar>
              <w:left w:w="28" w:type="dxa"/>
              <w:right w:w="28" w:type="dxa"/>
            </w:tcMar>
            <w:vAlign w:val="center"/>
          </w:tcPr>
          <w:p w14:paraId="7FE5DE4C">
            <w:pPr>
              <w:pStyle w:val="26"/>
              <w:spacing w:beforeLines="0" w:afterLines="0" w:line="240" w:lineRule="auto"/>
              <w:ind w:firstLine="0"/>
              <w:jc w:val="center"/>
              <w:rPr>
                <w:rFonts w:ascii="Times New Roman" w:eastAsia="黑体"/>
                <w:snapToGrid w:val="0"/>
                <w:color w:val="000000"/>
                <w:spacing w:val="-6"/>
                <w:kern w:val="21"/>
                <w:sz w:val="21"/>
                <w:szCs w:val="21"/>
              </w:rPr>
            </w:pPr>
            <w:r>
              <w:rPr>
                <w:rFonts w:ascii="Times New Roman" w:eastAsia="黑体"/>
                <w:snapToGrid w:val="0"/>
                <w:color w:val="000000"/>
                <w:spacing w:val="-6"/>
                <w:kern w:val="21"/>
                <w:sz w:val="21"/>
                <w:szCs w:val="21"/>
              </w:rPr>
              <w:t>本项目排放量（固体废物产生量）</w:t>
            </w:r>
            <w:r>
              <w:rPr>
                <w:rFonts w:ascii="Times New Roman" w:eastAsia="黑体"/>
                <w:snapToGrid w:val="0"/>
                <w:color w:val="000000"/>
                <w:spacing w:val="-6"/>
                <w:kern w:val="21"/>
                <w:sz w:val="21"/>
                <w:szCs w:val="21"/>
              </w:rPr>
              <w:fldChar w:fldCharType="begin"/>
            </w:r>
            <w:r>
              <w:rPr>
                <w:rFonts w:ascii="Times New Roman" w:eastAsia="黑体"/>
                <w:snapToGrid w:val="0"/>
                <w:color w:val="000000"/>
                <w:spacing w:val="-6"/>
                <w:kern w:val="21"/>
                <w:sz w:val="21"/>
                <w:szCs w:val="21"/>
              </w:rPr>
              <w:instrText xml:space="preserve"> = 4 \* GB3 \* MERGEFORMAT </w:instrText>
            </w:r>
            <w:r>
              <w:rPr>
                <w:rFonts w:ascii="Times New Roman" w:eastAsia="黑体"/>
                <w:snapToGrid w:val="0"/>
                <w:color w:val="000000"/>
                <w:spacing w:val="-6"/>
                <w:kern w:val="21"/>
                <w:sz w:val="21"/>
                <w:szCs w:val="21"/>
              </w:rPr>
              <w:fldChar w:fldCharType="separate"/>
            </w:r>
            <w:r>
              <w:rPr>
                <w:rFonts w:ascii="Times New Roman" w:eastAsia="黑体"/>
                <w:kern w:val="2"/>
                <w:sz w:val="21"/>
                <w:szCs w:val="21"/>
              </w:rPr>
              <w:t>④</w:t>
            </w:r>
            <w:r>
              <w:rPr>
                <w:rFonts w:ascii="Times New Roman" w:eastAsia="黑体"/>
                <w:snapToGrid w:val="0"/>
                <w:color w:val="000000"/>
                <w:spacing w:val="-6"/>
                <w:kern w:val="21"/>
                <w:sz w:val="21"/>
                <w:szCs w:val="21"/>
              </w:rPr>
              <w:fldChar w:fldCharType="end"/>
            </w:r>
          </w:p>
        </w:tc>
        <w:tc>
          <w:tcPr>
            <w:tcW w:w="635" w:type="pct"/>
            <w:noWrap w:val="0"/>
            <w:tcMar>
              <w:left w:w="28" w:type="dxa"/>
              <w:right w:w="28" w:type="dxa"/>
            </w:tcMar>
            <w:vAlign w:val="center"/>
          </w:tcPr>
          <w:p w14:paraId="7B5A29B0">
            <w:pPr>
              <w:pStyle w:val="26"/>
              <w:spacing w:beforeLines="0" w:afterLines="0" w:line="240" w:lineRule="auto"/>
              <w:ind w:firstLine="0"/>
              <w:jc w:val="center"/>
              <w:rPr>
                <w:rFonts w:ascii="Times New Roman" w:eastAsia="黑体"/>
                <w:snapToGrid w:val="0"/>
                <w:color w:val="000000"/>
                <w:spacing w:val="-16"/>
                <w:kern w:val="21"/>
                <w:sz w:val="21"/>
                <w:szCs w:val="21"/>
              </w:rPr>
            </w:pPr>
            <w:r>
              <w:rPr>
                <w:rFonts w:ascii="Times New Roman" w:eastAsia="黑体"/>
                <w:snapToGrid w:val="0"/>
                <w:color w:val="000000"/>
                <w:spacing w:val="-16"/>
                <w:kern w:val="21"/>
                <w:sz w:val="21"/>
                <w:szCs w:val="21"/>
              </w:rPr>
              <w:t>以新带老削减量</w:t>
            </w:r>
          </w:p>
          <w:p w14:paraId="7341B114">
            <w:pPr>
              <w:pStyle w:val="26"/>
              <w:spacing w:beforeLines="0" w:afterLines="0" w:line="240" w:lineRule="auto"/>
              <w:ind w:firstLine="0"/>
              <w:jc w:val="center"/>
              <w:rPr>
                <w:rFonts w:ascii="Times New Roman" w:eastAsia="黑体"/>
                <w:snapToGrid w:val="0"/>
                <w:color w:val="000000"/>
                <w:spacing w:val="-16"/>
                <w:kern w:val="21"/>
                <w:sz w:val="21"/>
                <w:szCs w:val="21"/>
              </w:rPr>
            </w:pPr>
            <w:r>
              <w:rPr>
                <w:rFonts w:ascii="Times New Roman" w:eastAsia="黑体"/>
                <w:snapToGrid w:val="0"/>
                <w:color w:val="000000"/>
                <w:spacing w:val="-16"/>
                <w:kern w:val="21"/>
                <w:sz w:val="21"/>
                <w:szCs w:val="21"/>
              </w:rPr>
              <w:t>（新建项目不填）</w:t>
            </w:r>
            <w:r>
              <w:rPr>
                <w:rFonts w:ascii="Times New Roman" w:eastAsia="黑体"/>
                <w:snapToGrid w:val="0"/>
                <w:color w:val="000000"/>
                <w:spacing w:val="-16"/>
                <w:kern w:val="21"/>
                <w:sz w:val="21"/>
                <w:szCs w:val="21"/>
              </w:rPr>
              <w:fldChar w:fldCharType="begin"/>
            </w:r>
            <w:r>
              <w:rPr>
                <w:rFonts w:ascii="Times New Roman" w:eastAsia="黑体"/>
                <w:snapToGrid w:val="0"/>
                <w:color w:val="000000"/>
                <w:spacing w:val="-16"/>
                <w:kern w:val="21"/>
                <w:sz w:val="21"/>
                <w:szCs w:val="21"/>
              </w:rPr>
              <w:instrText xml:space="preserve"> = 5 \* GB3 \* MERGEFORMAT </w:instrText>
            </w:r>
            <w:r>
              <w:rPr>
                <w:rFonts w:ascii="Times New Roman" w:eastAsia="黑体"/>
                <w:snapToGrid w:val="0"/>
                <w:color w:val="000000"/>
                <w:spacing w:val="-16"/>
                <w:kern w:val="21"/>
                <w:sz w:val="21"/>
                <w:szCs w:val="21"/>
              </w:rPr>
              <w:fldChar w:fldCharType="separate"/>
            </w:r>
            <w:r>
              <w:rPr>
                <w:rFonts w:ascii="Times New Roman" w:eastAsia="黑体"/>
                <w:kern w:val="2"/>
                <w:sz w:val="21"/>
                <w:szCs w:val="21"/>
              </w:rPr>
              <w:t>⑤</w:t>
            </w:r>
            <w:r>
              <w:rPr>
                <w:rFonts w:ascii="Times New Roman" w:eastAsia="黑体"/>
                <w:snapToGrid w:val="0"/>
                <w:color w:val="000000"/>
                <w:spacing w:val="-16"/>
                <w:kern w:val="21"/>
                <w:sz w:val="21"/>
                <w:szCs w:val="21"/>
              </w:rPr>
              <w:fldChar w:fldCharType="end"/>
            </w:r>
          </w:p>
        </w:tc>
        <w:tc>
          <w:tcPr>
            <w:tcW w:w="569" w:type="pct"/>
            <w:noWrap w:val="0"/>
            <w:tcMar>
              <w:left w:w="28" w:type="dxa"/>
              <w:right w:w="28" w:type="dxa"/>
            </w:tcMar>
            <w:vAlign w:val="center"/>
          </w:tcPr>
          <w:p w14:paraId="4EC056B8">
            <w:pPr>
              <w:pStyle w:val="26"/>
              <w:spacing w:beforeLines="0" w:afterLines="0" w:line="240" w:lineRule="auto"/>
              <w:ind w:firstLine="0"/>
              <w:jc w:val="center"/>
              <w:rPr>
                <w:rFonts w:ascii="Times New Roman" w:eastAsia="黑体"/>
                <w:snapToGrid w:val="0"/>
                <w:color w:val="000000"/>
                <w:spacing w:val="-16"/>
                <w:kern w:val="21"/>
                <w:sz w:val="21"/>
                <w:szCs w:val="21"/>
              </w:rPr>
            </w:pPr>
            <w:r>
              <w:rPr>
                <w:rFonts w:ascii="Times New Roman" w:eastAsia="黑体"/>
                <w:snapToGrid w:val="0"/>
                <w:color w:val="000000"/>
                <w:spacing w:val="-16"/>
                <w:kern w:val="21"/>
                <w:sz w:val="21"/>
                <w:szCs w:val="21"/>
              </w:rPr>
              <w:t>本项目建成后</w:t>
            </w:r>
          </w:p>
          <w:p w14:paraId="2BBB1F07">
            <w:pPr>
              <w:pStyle w:val="26"/>
              <w:spacing w:beforeLines="0" w:afterLines="0" w:line="240" w:lineRule="auto"/>
              <w:ind w:firstLine="0"/>
              <w:jc w:val="center"/>
              <w:rPr>
                <w:rFonts w:ascii="Times New Roman" w:eastAsia="黑体"/>
                <w:snapToGrid w:val="0"/>
                <w:color w:val="000000"/>
                <w:spacing w:val="-16"/>
                <w:kern w:val="21"/>
                <w:sz w:val="21"/>
                <w:szCs w:val="21"/>
              </w:rPr>
            </w:pPr>
            <w:r>
              <w:rPr>
                <w:rFonts w:ascii="Times New Roman" w:eastAsia="黑体"/>
                <w:snapToGrid w:val="0"/>
                <w:color w:val="000000"/>
                <w:spacing w:val="-16"/>
                <w:kern w:val="21"/>
                <w:sz w:val="21"/>
                <w:szCs w:val="21"/>
              </w:rPr>
              <w:t>全厂排放量（固体废物产生量）</w:t>
            </w:r>
            <w:r>
              <w:rPr>
                <w:rFonts w:ascii="Times New Roman" w:eastAsia="黑体"/>
                <w:snapToGrid w:val="0"/>
                <w:color w:val="000000"/>
                <w:spacing w:val="-16"/>
                <w:kern w:val="21"/>
                <w:sz w:val="21"/>
                <w:szCs w:val="21"/>
              </w:rPr>
              <w:fldChar w:fldCharType="begin"/>
            </w:r>
            <w:r>
              <w:rPr>
                <w:rFonts w:ascii="Times New Roman" w:eastAsia="黑体"/>
                <w:snapToGrid w:val="0"/>
                <w:color w:val="000000"/>
                <w:spacing w:val="-16"/>
                <w:kern w:val="21"/>
                <w:sz w:val="21"/>
                <w:szCs w:val="21"/>
              </w:rPr>
              <w:instrText xml:space="preserve"> = 6 \* GB3 \* MERGEFORMAT </w:instrText>
            </w:r>
            <w:r>
              <w:rPr>
                <w:rFonts w:ascii="Times New Roman" w:eastAsia="黑体"/>
                <w:snapToGrid w:val="0"/>
                <w:color w:val="000000"/>
                <w:spacing w:val="-16"/>
                <w:kern w:val="21"/>
                <w:sz w:val="21"/>
                <w:szCs w:val="21"/>
              </w:rPr>
              <w:fldChar w:fldCharType="separate"/>
            </w:r>
            <w:r>
              <w:rPr>
                <w:rFonts w:ascii="Times New Roman" w:eastAsia="黑体"/>
                <w:kern w:val="2"/>
                <w:sz w:val="21"/>
                <w:szCs w:val="21"/>
              </w:rPr>
              <w:t>⑥</w:t>
            </w:r>
            <w:r>
              <w:rPr>
                <w:rFonts w:ascii="Times New Roman" w:eastAsia="黑体"/>
                <w:snapToGrid w:val="0"/>
                <w:color w:val="000000"/>
                <w:spacing w:val="-16"/>
                <w:kern w:val="21"/>
                <w:sz w:val="21"/>
                <w:szCs w:val="21"/>
              </w:rPr>
              <w:fldChar w:fldCharType="end"/>
            </w:r>
          </w:p>
        </w:tc>
        <w:tc>
          <w:tcPr>
            <w:tcW w:w="509" w:type="pct"/>
            <w:noWrap w:val="0"/>
            <w:tcMar>
              <w:left w:w="28" w:type="dxa"/>
              <w:right w:w="28" w:type="dxa"/>
            </w:tcMar>
            <w:vAlign w:val="center"/>
          </w:tcPr>
          <w:p w14:paraId="1C5E00BF">
            <w:pPr>
              <w:pStyle w:val="26"/>
              <w:spacing w:beforeLines="0" w:afterLines="0" w:line="240" w:lineRule="auto"/>
              <w:ind w:firstLine="0"/>
              <w:jc w:val="center"/>
              <w:rPr>
                <w:rFonts w:ascii="Times New Roman" w:eastAsia="黑体"/>
                <w:snapToGrid w:val="0"/>
                <w:color w:val="000000"/>
                <w:spacing w:val="-6"/>
                <w:kern w:val="21"/>
                <w:sz w:val="21"/>
                <w:szCs w:val="21"/>
              </w:rPr>
            </w:pPr>
            <w:r>
              <w:rPr>
                <w:rFonts w:ascii="Times New Roman" w:eastAsia="黑体"/>
                <w:snapToGrid w:val="0"/>
                <w:color w:val="000000"/>
                <w:spacing w:val="-6"/>
                <w:kern w:val="21"/>
                <w:sz w:val="21"/>
                <w:szCs w:val="21"/>
              </w:rPr>
              <w:t>变化量</w:t>
            </w:r>
          </w:p>
          <w:p w14:paraId="4A7AA8F4">
            <w:pPr>
              <w:pStyle w:val="26"/>
              <w:spacing w:beforeLines="0" w:afterLines="0" w:line="240" w:lineRule="auto"/>
              <w:jc w:val="both"/>
              <w:rPr>
                <w:rFonts w:ascii="Times New Roman" w:eastAsia="黑体"/>
                <w:snapToGrid w:val="0"/>
                <w:color w:val="000000"/>
                <w:spacing w:val="-6"/>
                <w:kern w:val="21"/>
                <w:sz w:val="21"/>
                <w:szCs w:val="21"/>
              </w:rPr>
            </w:pPr>
            <w:r>
              <w:rPr>
                <w:rFonts w:ascii="Times New Roman" w:eastAsia="黑体"/>
                <w:snapToGrid w:val="0"/>
                <w:color w:val="000000"/>
                <w:spacing w:val="-6"/>
                <w:kern w:val="21"/>
                <w:sz w:val="21"/>
                <w:szCs w:val="21"/>
              </w:rPr>
              <w:fldChar w:fldCharType="begin"/>
            </w:r>
            <w:r>
              <w:rPr>
                <w:rFonts w:ascii="Times New Roman" w:eastAsia="黑体"/>
                <w:snapToGrid w:val="0"/>
                <w:color w:val="000000"/>
                <w:spacing w:val="-6"/>
                <w:kern w:val="21"/>
                <w:sz w:val="21"/>
                <w:szCs w:val="21"/>
              </w:rPr>
              <w:instrText xml:space="preserve"> = 7 \* GB3 \* MERGEFORMAT </w:instrText>
            </w:r>
            <w:r>
              <w:rPr>
                <w:rFonts w:ascii="Times New Roman" w:eastAsia="黑体"/>
                <w:snapToGrid w:val="0"/>
                <w:color w:val="000000"/>
                <w:spacing w:val="-6"/>
                <w:kern w:val="21"/>
                <w:sz w:val="21"/>
                <w:szCs w:val="21"/>
              </w:rPr>
              <w:fldChar w:fldCharType="separate"/>
            </w:r>
            <w:r>
              <w:rPr>
                <w:rFonts w:ascii="Times New Roman" w:eastAsia="黑体"/>
                <w:kern w:val="2"/>
                <w:sz w:val="21"/>
                <w:szCs w:val="21"/>
              </w:rPr>
              <w:t>⑦</w:t>
            </w:r>
            <w:r>
              <w:rPr>
                <w:rFonts w:ascii="Times New Roman" w:eastAsia="黑体"/>
                <w:snapToGrid w:val="0"/>
                <w:color w:val="000000"/>
                <w:spacing w:val="-6"/>
                <w:kern w:val="21"/>
                <w:sz w:val="21"/>
                <w:szCs w:val="21"/>
              </w:rPr>
              <w:fldChar w:fldCharType="end"/>
            </w:r>
          </w:p>
        </w:tc>
      </w:tr>
      <w:tr w14:paraId="331972F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70" w:type="pct"/>
            <w:vMerge w:val="restart"/>
            <w:noWrap w:val="0"/>
            <w:vAlign w:val="center"/>
          </w:tcPr>
          <w:p w14:paraId="126A05DE">
            <w:pPr>
              <w:pStyle w:val="26"/>
              <w:spacing w:beforeLines="0" w:afterLines="0" w:line="240" w:lineRule="auto"/>
              <w:ind w:firstLine="0"/>
              <w:jc w:val="center"/>
              <w:rPr>
                <w:rFonts w:ascii="Times New Roman"/>
                <w:snapToGrid w:val="0"/>
                <w:color w:val="000000"/>
                <w:kern w:val="21"/>
                <w:sz w:val="21"/>
                <w:szCs w:val="21"/>
              </w:rPr>
            </w:pPr>
            <w:r>
              <w:rPr>
                <w:rFonts w:ascii="Times New Roman"/>
                <w:snapToGrid w:val="0"/>
                <w:color w:val="000000"/>
                <w:kern w:val="21"/>
                <w:sz w:val="21"/>
                <w:szCs w:val="21"/>
              </w:rPr>
              <w:t>废气</w:t>
            </w:r>
          </w:p>
          <w:p w14:paraId="31CB2EDB">
            <w:pPr>
              <w:jc w:val="center"/>
              <w:rPr>
                <w:rFonts w:hint="eastAsia" w:eastAsia="宋体"/>
                <w:lang w:eastAsia="zh-CN"/>
              </w:rPr>
            </w:pPr>
            <w:r>
              <w:rPr>
                <w:rFonts w:hint="eastAsia" w:ascii="Times New Roman"/>
                <w:snapToGrid w:val="0"/>
                <w:color w:val="000000"/>
                <w:kern w:val="21"/>
                <w:sz w:val="21"/>
                <w:szCs w:val="21"/>
                <w:lang w:eastAsia="zh-CN"/>
              </w:rPr>
              <w:t>（有组织）</w:t>
            </w:r>
          </w:p>
        </w:tc>
        <w:tc>
          <w:tcPr>
            <w:tcW w:w="590" w:type="pct"/>
            <w:noWrap w:val="0"/>
            <w:vAlign w:val="center"/>
          </w:tcPr>
          <w:p w14:paraId="0CDF009A">
            <w:pPr>
              <w:pStyle w:val="26"/>
              <w:spacing w:beforeLines="0" w:afterLines="0" w:line="240" w:lineRule="auto"/>
              <w:ind w:firstLine="0"/>
              <w:jc w:val="center"/>
              <w:rPr>
                <w:rFonts w:ascii="Times New Roman"/>
                <w:snapToGrid w:val="0"/>
                <w:color w:val="000000"/>
                <w:kern w:val="21"/>
                <w:sz w:val="21"/>
                <w:szCs w:val="21"/>
              </w:rPr>
            </w:pPr>
            <w:r>
              <w:rPr>
                <w:rFonts w:hint="eastAsia" w:ascii="Times New Roman"/>
                <w:snapToGrid w:val="0"/>
                <w:color w:val="000000"/>
                <w:kern w:val="21"/>
                <w:sz w:val="21"/>
                <w:szCs w:val="21"/>
              </w:rPr>
              <w:t>NH</w:t>
            </w:r>
            <w:r>
              <w:rPr>
                <w:rFonts w:hint="eastAsia" w:ascii="Times New Roman"/>
                <w:snapToGrid w:val="0"/>
                <w:color w:val="000000"/>
                <w:kern w:val="21"/>
                <w:sz w:val="21"/>
                <w:szCs w:val="21"/>
                <w:vertAlign w:val="subscript"/>
              </w:rPr>
              <w:t>3</w:t>
            </w:r>
          </w:p>
        </w:tc>
        <w:tc>
          <w:tcPr>
            <w:tcW w:w="596" w:type="pct"/>
            <w:noWrap w:val="0"/>
            <w:vAlign w:val="center"/>
          </w:tcPr>
          <w:p w14:paraId="3ED6329C">
            <w:pPr>
              <w:widowControl/>
              <w:jc w:val="center"/>
              <w:textAlignment w:val="center"/>
              <w:rPr>
                <w:snapToGrid w:val="0"/>
                <w:color w:val="000000"/>
                <w:kern w:val="21"/>
                <w:szCs w:val="21"/>
              </w:rPr>
            </w:pPr>
            <w:r>
              <w:rPr>
                <w:rFonts w:hint="eastAsia"/>
                <w:color w:val="000000"/>
                <w:kern w:val="0"/>
                <w:szCs w:val="21"/>
                <w:lang w:bidi="ar"/>
              </w:rPr>
              <w:t>/</w:t>
            </w:r>
          </w:p>
        </w:tc>
        <w:tc>
          <w:tcPr>
            <w:tcW w:w="455" w:type="pct"/>
            <w:noWrap w:val="0"/>
            <w:vAlign w:val="center"/>
          </w:tcPr>
          <w:p w14:paraId="232585F9">
            <w:pPr>
              <w:jc w:val="center"/>
              <w:rPr>
                <w:snapToGrid w:val="0"/>
                <w:color w:val="000000"/>
                <w:kern w:val="21"/>
                <w:szCs w:val="21"/>
              </w:rPr>
            </w:pPr>
            <w:r>
              <w:rPr>
                <w:snapToGrid w:val="0"/>
                <w:color w:val="000000"/>
                <w:kern w:val="21"/>
                <w:szCs w:val="21"/>
              </w:rPr>
              <w:t>/</w:t>
            </w:r>
          </w:p>
        </w:tc>
        <w:tc>
          <w:tcPr>
            <w:tcW w:w="574" w:type="pct"/>
            <w:noWrap w:val="0"/>
            <w:vAlign w:val="center"/>
          </w:tcPr>
          <w:p w14:paraId="50F892B2">
            <w:pPr>
              <w:jc w:val="center"/>
              <w:rPr>
                <w:snapToGrid w:val="0"/>
                <w:color w:val="000000"/>
                <w:kern w:val="21"/>
                <w:szCs w:val="21"/>
              </w:rPr>
            </w:pPr>
            <w:r>
              <w:rPr>
                <w:snapToGrid w:val="0"/>
                <w:color w:val="000000"/>
                <w:kern w:val="21"/>
                <w:szCs w:val="21"/>
              </w:rPr>
              <w:t>/</w:t>
            </w:r>
          </w:p>
        </w:tc>
        <w:tc>
          <w:tcPr>
            <w:tcW w:w="1546" w:type="dxa"/>
            <w:noWrap w:val="0"/>
            <w:vAlign w:val="center"/>
          </w:tcPr>
          <w:p w14:paraId="1BDFEB4F">
            <w:pPr>
              <w:jc w:val="center"/>
              <w:rPr>
                <w:snapToGrid w:val="0"/>
                <w:color w:val="000000"/>
                <w:kern w:val="21"/>
                <w:szCs w:val="21"/>
              </w:rPr>
            </w:pPr>
            <w:r>
              <w:rPr>
                <w:rFonts w:hint="eastAsia"/>
                <w:szCs w:val="21"/>
                <w:lang w:val="en-US" w:eastAsia="zh-CN"/>
              </w:rPr>
              <w:t>0.3208</w:t>
            </w:r>
            <w:r>
              <w:rPr>
                <w:rFonts w:hint="eastAsia" w:ascii="Times New Roman" w:hAnsi="Times New Roman" w:cs="Times New Roman"/>
                <w:szCs w:val="21"/>
                <w:lang w:val="en-US" w:eastAsia="zh-CN"/>
              </w:rPr>
              <w:t>kg</w:t>
            </w:r>
            <w:r>
              <w:rPr>
                <w:rFonts w:hint="eastAsia" w:ascii="Times New Roman" w:hAnsi="Times New Roman" w:cs="Times New Roman"/>
                <w:szCs w:val="21"/>
              </w:rPr>
              <w:t>/a</w:t>
            </w:r>
          </w:p>
        </w:tc>
        <w:tc>
          <w:tcPr>
            <w:tcW w:w="635" w:type="pct"/>
            <w:noWrap w:val="0"/>
            <w:vAlign w:val="center"/>
          </w:tcPr>
          <w:p w14:paraId="66845BE0">
            <w:pPr>
              <w:jc w:val="center"/>
              <w:rPr>
                <w:rFonts w:hint="eastAsia"/>
                <w:snapToGrid w:val="0"/>
                <w:color w:val="000000"/>
                <w:kern w:val="21"/>
                <w:szCs w:val="21"/>
              </w:rPr>
            </w:pPr>
            <w:r>
              <w:rPr>
                <w:rFonts w:hint="eastAsia"/>
                <w:snapToGrid w:val="0"/>
                <w:color w:val="000000"/>
                <w:kern w:val="21"/>
                <w:szCs w:val="21"/>
              </w:rPr>
              <w:t>/</w:t>
            </w:r>
          </w:p>
        </w:tc>
        <w:tc>
          <w:tcPr>
            <w:tcW w:w="1488" w:type="dxa"/>
            <w:noWrap w:val="0"/>
            <w:vAlign w:val="center"/>
          </w:tcPr>
          <w:p w14:paraId="474CF03F">
            <w:pPr>
              <w:jc w:val="center"/>
              <w:rPr>
                <w:snapToGrid w:val="0"/>
                <w:color w:val="000000"/>
                <w:kern w:val="21"/>
                <w:szCs w:val="21"/>
              </w:rPr>
            </w:pPr>
            <w:r>
              <w:rPr>
                <w:rFonts w:hint="eastAsia"/>
                <w:szCs w:val="21"/>
                <w:lang w:val="en-US" w:eastAsia="zh-CN"/>
              </w:rPr>
              <w:t>0.3208</w:t>
            </w:r>
            <w:r>
              <w:rPr>
                <w:rFonts w:hint="eastAsia" w:ascii="Times New Roman" w:hAnsi="Times New Roman" w:cs="Times New Roman"/>
                <w:szCs w:val="21"/>
                <w:lang w:val="en-US" w:eastAsia="zh-CN"/>
              </w:rPr>
              <w:t>kg</w:t>
            </w:r>
            <w:r>
              <w:rPr>
                <w:rFonts w:hint="eastAsia" w:ascii="Times New Roman" w:hAnsi="Times New Roman" w:cs="Times New Roman"/>
                <w:szCs w:val="21"/>
              </w:rPr>
              <w:t>/a</w:t>
            </w:r>
          </w:p>
        </w:tc>
        <w:tc>
          <w:tcPr>
            <w:tcW w:w="1332" w:type="dxa"/>
            <w:noWrap w:val="0"/>
            <w:vAlign w:val="center"/>
          </w:tcPr>
          <w:p w14:paraId="04F79B9E">
            <w:pPr>
              <w:jc w:val="center"/>
              <w:rPr>
                <w:snapToGrid w:val="0"/>
                <w:color w:val="000000"/>
                <w:kern w:val="21"/>
                <w:szCs w:val="21"/>
              </w:rPr>
            </w:pPr>
            <w:r>
              <w:rPr>
                <w:rFonts w:hint="eastAsia"/>
                <w:szCs w:val="21"/>
                <w:lang w:val="en-US" w:eastAsia="zh-CN"/>
              </w:rPr>
              <w:t>+0.3208</w:t>
            </w:r>
            <w:r>
              <w:rPr>
                <w:rFonts w:hint="eastAsia" w:ascii="Times New Roman" w:hAnsi="Times New Roman" w:cs="Times New Roman"/>
                <w:szCs w:val="21"/>
                <w:lang w:val="en-US" w:eastAsia="zh-CN"/>
              </w:rPr>
              <w:t>kg</w:t>
            </w:r>
            <w:r>
              <w:rPr>
                <w:rFonts w:hint="eastAsia" w:ascii="Times New Roman" w:hAnsi="Times New Roman" w:cs="Times New Roman"/>
                <w:szCs w:val="21"/>
              </w:rPr>
              <w:t>/a</w:t>
            </w:r>
          </w:p>
        </w:tc>
      </w:tr>
      <w:tr w14:paraId="6AD482D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70" w:type="pct"/>
            <w:vMerge w:val="continue"/>
            <w:noWrap w:val="0"/>
            <w:vAlign w:val="center"/>
          </w:tcPr>
          <w:p w14:paraId="21785E18">
            <w:pPr>
              <w:jc w:val="center"/>
              <w:rPr>
                <w:rFonts w:hint="eastAsia" w:ascii="Times New Roman"/>
                <w:snapToGrid w:val="0"/>
                <w:color w:val="000000"/>
                <w:kern w:val="21"/>
                <w:sz w:val="21"/>
                <w:szCs w:val="21"/>
                <w:lang w:eastAsia="zh-CN"/>
              </w:rPr>
            </w:pPr>
          </w:p>
        </w:tc>
        <w:tc>
          <w:tcPr>
            <w:tcW w:w="590" w:type="pct"/>
            <w:noWrap w:val="0"/>
            <w:vAlign w:val="center"/>
          </w:tcPr>
          <w:p w14:paraId="78521982">
            <w:pPr>
              <w:pStyle w:val="26"/>
              <w:spacing w:beforeLines="0" w:afterLines="0" w:line="240" w:lineRule="auto"/>
              <w:ind w:firstLine="0"/>
              <w:jc w:val="center"/>
              <w:rPr>
                <w:rFonts w:hint="eastAsia" w:ascii="Times New Roman" w:eastAsia="宋体"/>
                <w:snapToGrid w:val="0"/>
                <w:color w:val="000000"/>
                <w:kern w:val="21"/>
                <w:sz w:val="21"/>
                <w:szCs w:val="21"/>
                <w:lang w:eastAsia="zh-CN"/>
              </w:rPr>
            </w:pPr>
            <w:r>
              <w:rPr>
                <w:rFonts w:hint="eastAsia" w:ascii="Times New Roman"/>
                <w:snapToGrid w:val="0"/>
                <w:color w:val="000000"/>
                <w:kern w:val="21"/>
                <w:sz w:val="21"/>
                <w:szCs w:val="21"/>
                <w:lang w:val="en-US" w:eastAsia="zh-CN"/>
              </w:rPr>
              <w:t>H</w:t>
            </w:r>
            <w:r>
              <w:rPr>
                <w:rFonts w:hint="eastAsia" w:ascii="Times New Roman"/>
                <w:snapToGrid w:val="0"/>
                <w:color w:val="000000"/>
                <w:kern w:val="21"/>
                <w:sz w:val="21"/>
                <w:szCs w:val="21"/>
                <w:vertAlign w:val="subscript"/>
                <w:lang w:val="en-US" w:eastAsia="zh-CN"/>
              </w:rPr>
              <w:t>2</w:t>
            </w:r>
            <w:r>
              <w:rPr>
                <w:rFonts w:hint="eastAsia" w:ascii="Times New Roman"/>
                <w:snapToGrid w:val="0"/>
                <w:color w:val="000000"/>
                <w:kern w:val="21"/>
                <w:sz w:val="21"/>
                <w:szCs w:val="21"/>
                <w:lang w:val="en-US" w:eastAsia="zh-CN"/>
              </w:rPr>
              <w:t>S</w:t>
            </w:r>
          </w:p>
        </w:tc>
        <w:tc>
          <w:tcPr>
            <w:tcW w:w="596" w:type="pct"/>
            <w:noWrap w:val="0"/>
            <w:vAlign w:val="center"/>
          </w:tcPr>
          <w:p w14:paraId="666CC4D6">
            <w:pPr>
              <w:widowControl/>
              <w:jc w:val="center"/>
              <w:textAlignment w:val="center"/>
              <w:rPr>
                <w:rFonts w:hint="eastAsia" w:eastAsia="宋体"/>
                <w:color w:val="000000"/>
                <w:kern w:val="0"/>
                <w:szCs w:val="21"/>
                <w:lang w:val="en-US" w:eastAsia="zh-CN" w:bidi="ar"/>
              </w:rPr>
            </w:pPr>
            <w:r>
              <w:rPr>
                <w:rFonts w:hint="eastAsia"/>
                <w:color w:val="000000"/>
                <w:kern w:val="0"/>
                <w:szCs w:val="21"/>
                <w:lang w:val="en-US" w:eastAsia="zh-CN" w:bidi="ar"/>
              </w:rPr>
              <w:t>/</w:t>
            </w:r>
          </w:p>
        </w:tc>
        <w:tc>
          <w:tcPr>
            <w:tcW w:w="455" w:type="pct"/>
            <w:noWrap w:val="0"/>
            <w:vAlign w:val="center"/>
          </w:tcPr>
          <w:p w14:paraId="04D37672">
            <w:pPr>
              <w:jc w:val="center"/>
              <w:rPr>
                <w:rFonts w:hint="eastAsia" w:eastAsia="宋体"/>
                <w:snapToGrid w:val="0"/>
                <w:color w:val="000000"/>
                <w:kern w:val="21"/>
                <w:szCs w:val="21"/>
                <w:lang w:val="en-US" w:eastAsia="zh-CN"/>
              </w:rPr>
            </w:pPr>
            <w:r>
              <w:rPr>
                <w:rFonts w:hint="eastAsia"/>
                <w:snapToGrid w:val="0"/>
                <w:color w:val="000000"/>
                <w:kern w:val="21"/>
                <w:szCs w:val="21"/>
                <w:lang w:val="en-US" w:eastAsia="zh-CN"/>
              </w:rPr>
              <w:t>/</w:t>
            </w:r>
          </w:p>
        </w:tc>
        <w:tc>
          <w:tcPr>
            <w:tcW w:w="574" w:type="pct"/>
            <w:noWrap w:val="0"/>
            <w:vAlign w:val="center"/>
          </w:tcPr>
          <w:p w14:paraId="4775BD3C">
            <w:pPr>
              <w:jc w:val="center"/>
              <w:rPr>
                <w:rFonts w:hint="eastAsia" w:eastAsia="宋体"/>
                <w:snapToGrid w:val="0"/>
                <w:color w:val="000000"/>
                <w:kern w:val="21"/>
                <w:szCs w:val="21"/>
                <w:lang w:val="en-US" w:eastAsia="zh-CN"/>
              </w:rPr>
            </w:pPr>
            <w:r>
              <w:rPr>
                <w:rFonts w:hint="eastAsia"/>
                <w:snapToGrid w:val="0"/>
                <w:color w:val="000000"/>
                <w:kern w:val="21"/>
                <w:szCs w:val="21"/>
                <w:lang w:val="en-US" w:eastAsia="zh-CN"/>
              </w:rPr>
              <w:t>/</w:t>
            </w:r>
          </w:p>
        </w:tc>
        <w:tc>
          <w:tcPr>
            <w:tcW w:w="1546" w:type="dxa"/>
            <w:noWrap w:val="0"/>
            <w:vAlign w:val="center"/>
          </w:tcPr>
          <w:p w14:paraId="770DD07B">
            <w:pPr>
              <w:jc w:val="center"/>
              <w:rPr>
                <w:rFonts w:hint="default" w:ascii="Times New Roman" w:hAnsi="Times New Roman" w:cs="Times New Roman"/>
                <w:szCs w:val="21"/>
                <w:lang w:val="en-US" w:eastAsia="zh-CN"/>
              </w:rPr>
            </w:pPr>
            <w:r>
              <w:rPr>
                <w:rFonts w:hint="eastAsia"/>
                <w:szCs w:val="21"/>
                <w:lang w:val="en-US" w:eastAsia="zh-CN"/>
              </w:rPr>
              <w:t>0.0124</w:t>
            </w:r>
            <w:r>
              <w:rPr>
                <w:rFonts w:hint="eastAsia" w:ascii="Times New Roman" w:hAnsi="Times New Roman" w:cs="Times New Roman"/>
                <w:szCs w:val="21"/>
                <w:lang w:val="en-US" w:eastAsia="zh-CN"/>
              </w:rPr>
              <w:t>kg</w:t>
            </w:r>
            <w:r>
              <w:rPr>
                <w:rFonts w:hint="eastAsia" w:ascii="Times New Roman" w:hAnsi="Times New Roman" w:cs="Times New Roman"/>
                <w:szCs w:val="21"/>
              </w:rPr>
              <w:t>/a</w:t>
            </w:r>
          </w:p>
        </w:tc>
        <w:tc>
          <w:tcPr>
            <w:tcW w:w="635" w:type="pct"/>
            <w:noWrap w:val="0"/>
            <w:vAlign w:val="center"/>
          </w:tcPr>
          <w:p w14:paraId="5AB593DD">
            <w:pPr>
              <w:jc w:val="center"/>
              <w:rPr>
                <w:rFonts w:hint="eastAsia" w:eastAsia="宋体"/>
                <w:snapToGrid w:val="0"/>
                <w:color w:val="000000"/>
                <w:kern w:val="21"/>
                <w:szCs w:val="21"/>
                <w:lang w:val="en-US" w:eastAsia="zh-CN"/>
              </w:rPr>
            </w:pPr>
            <w:r>
              <w:rPr>
                <w:rFonts w:hint="eastAsia"/>
                <w:snapToGrid w:val="0"/>
                <w:color w:val="000000"/>
                <w:kern w:val="21"/>
                <w:szCs w:val="21"/>
                <w:lang w:val="en-US" w:eastAsia="zh-CN"/>
              </w:rPr>
              <w:t>/</w:t>
            </w:r>
          </w:p>
        </w:tc>
        <w:tc>
          <w:tcPr>
            <w:tcW w:w="1488" w:type="dxa"/>
            <w:noWrap w:val="0"/>
            <w:vAlign w:val="center"/>
          </w:tcPr>
          <w:p w14:paraId="787C1145">
            <w:pPr>
              <w:jc w:val="center"/>
              <w:rPr>
                <w:rFonts w:hint="eastAsia" w:ascii="Times New Roman" w:hAnsi="Times New Roman" w:cs="Times New Roman"/>
                <w:szCs w:val="21"/>
                <w:lang w:val="en-US" w:eastAsia="zh-CN"/>
              </w:rPr>
            </w:pPr>
            <w:r>
              <w:rPr>
                <w:rFonts w:hint="eastAsia"/>
                <w:szCs w:val="21"/>
                <w:lang w:val="en-US" w:eastAsia="zh-CN"/>
              </w:rPr>
              <w:t>0.0124</w:t>
            </w:r>
            <w:r>
              <w:rPr>
                <w:rFonts w:hint="eastAsia" w:ascii="Times New Roman" w:hAnsi="Times New Roman" w:cs="Times New Roman"/>
                <w:szCs w:val="21"/>
                <w:lang w:val="en-US" w:eastAsia="zh-CN"/>
              </w:rPr>
              <w:t>kg</w:t>
            </w:r>
            <w:r>
              <w:rPr>
                <w:rFonts w:hint="eastAsia" w:ascii="Times New Roman" w:hAnsi="Times New Roman" w:cs="Times New Roman"/>
                <w:szCs w:val="21"/>
              </w:rPr>
              <w:t>/a</w:t>
            </w:r>
          </w:p>
        </w:tc>
        <w:tc>
          <w:tcPr>
            <w:tcW w:w="1332" w:type="dxa"/>
            <w:noWrap w:val="0"/>
            <w:vAlign w:val="center"/>
          </w:tcPr>
          <w:p w14:paraId="5CBF53A1">
            <w:pPr>
              <w:jc w:val="center"/>
              <w:rPr>
                <w:rFonts w:hint="eastAsia" w:ascii="Times New Roman" w:hAnsi="Times New Roman" w:cs="Times New Roman"/>
                <w:szCs w:val="21"/>
                <w:lang w:val="en-US" w:eastAsia="zh-CN"/>
              </w:rPr>
            </w:pPr>
            <w:r>
              <w:rPr>
                <w:rFonts w:hint="eastAsia"/>
                <w:szCs w:val="21"/>
                <w:lang w:val="en-US" w:eastAsia="zh-CN"/>
              </w:rPr>
              <w:t>+0.0124</w:t>
            </w:r>
            <w:r>
              <w:rPr>
                <w:rFonts w:hint="eastAsia" w:ascii="Times New Roman" w:hAnsi="Times New Roman" w:cs="Times New Roman"/>
                <w:szCs w:val="21"/>
                <w:lang w:val="en-US" w:eastAsia="zh-CN"/>
              </w:rPr>
              <w:t>kg</w:t>
            </w:r>
            <w:r>
              <w:rPr>
                <w:rFonts w:hint="eastAsia" w:ascii="Times New Roman" w:hAnsi="Times New Roman" w:cs="Times New Roman"/>
                <w:szCs w:val="21"/>
              </w:rPr>
              <w:t>/a</w:t>
            </w:r>
          </w:p>
        </w:tc>
      </w:tr>
      <w:tr w14:paraId="79A297E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7" w:hRule="atLeast"/>
        </w:trPr>
        <w:tc>
          <w:tcPr>
            <w:tcW w:w="470" w:type="pct"/>
            <w:vMerge w:val="restart"/>
            <w:noWrap w:val="0"/>
            <w:vAlign w:val="center"/>
          </w:tcPr>
          <w:p w14:paraId="287FF104">
            <w:pPr>
              <w:pStyle w:val="26"/>
              <w:spacing w:beforeLines="0" w:afterLines="0" w:line="240" w:lineRule="auto"/>
              <w:ind w:firstLine="0"/>
              <w:jc w:val="center"/>
              <w:rPr>
                <w:rFonts w:hint="eastAsia" w:ascii="Times New Roman"/>
                <w:snapToGrid w:val="0"/>
                <w:color w:val="000000"/>
                <w:kern w:val="21"/>
                <w:sz w:val="21"/>
                <w:szCs w:val="21"/>
              </w:rPr>
            </w:pPr>
            <w:r>
              <w:rPr>
                <w:rFonts w:hint="eastAsia" w:ascii="Times New Roman"/>
                <w:snapToGrid w:val="0"/>
                <w:color w:val="000000"/>
                <w:kern w:val="21"/>
                <w:sz w:val="21"/>
                <w:szCs w:val="21"/>
              </w:rPr>
              <w:t>废水</w:t>
            </w:r>
          </w:p>
        </w:tc>
        <w:tc>
          <w:tcPr>
            <w:tcW w:w="590" w:type="pct"/>
            <w:noWrap w:val="0"/>
            <w:vAlign w:val="center"/>
          </w:tcPr>
          <w:p w14:paraId="3DFCA8D1">
            <w:pPr>
              <w:pStyle w:val="26"/>
              <w:spacing w:beforeLines="0" w:afterLines="0" w:line="240" w:lineRule="auto"/>
              <w:ind w:firstLine="0"/>
              <w:jc w:val="center"/>
              <w:rPr>
                <w:rFonts w:hint="eastAsia" w:ascii="Times New Roman"/>
                <w:snapToGrid w:val="0"/>
                <w:color w:val="000000"/>
                <w:kern w:val="21"/>
                <w:sz w:val="21"/>
                <w:szCs w:val="21"/>
              </w:rPr>
            </w:pPr>
            <w:r>
              <w:rPr>
                <w:rFonts w:hint="eastAsia" w:ascii="Times New Roman"/>
                <w:snapToGrid w:val="0"/>
                <w:color w:val="000000"/>
                <w:kern w:val="21"/>
                <w:sz w:val="21"/>
                <w:szCs w:val="21"/>
              </w:rPr>
              <w:t>水量</w:t>
            </w:r>
          </w:p>
        </w:tc>
        <w:tc>
          <w:tcPr>
            <w:tcW w:w="596" w:type="pct"/>
            <w:noWrap w:val="0"/>
            <w:vAlign w:val="center"/>
          </w:tcPr>
          <w:p w14:paraId="4F958C5C">
            <w:pPr>
              <w:pStyle w:val="33"/>
              <w:jc w:val="center"/>
              <w:rPr>
                <w:snapToGrid w:val="0"/>
                <w:color w:val="000000"/>
                <w:kern w:val="21"/>
                <w:szCs w:val="21"/>
              </w:rPr>
            </w:pPr>
            <w:r>
              <w:rPr>
                <w:rFonts w:hint="eastAsia" w:ascii="Times New Roman" w:hAnsi="Times New Roman" w:cs="Times New Roman"/>
                <w:szCs w:val="21"/>
              </w:rPr>
              <w:t>/</w:t>
            </w:r>
          </w:p>
        </w:tc>
        <w:tc>
          <w:tcPr>
            <w:tcW w:w="455" w:type="pct"/>
            <w:noWrap w:val="0"/>
            <w:vAlign w:val="center"/>
          </w:tcPr>
          <w:p w14:paraId="7F63EBA6">
            <w:pPr>
              <w:tabs>
                <w:tab w:val="left" w:pos="313"/>
              </w:tabs>
              <w:jc w:val="left"/>
              <w:rPr>
                <w:snapToGrid w:val="0"/>
                <w:color w:val="000000"/>
                <w:kern w:val="21"/>
                <w:szCs w:val="21"/>
              </w:rPr>
            </w:pPr>
            <w:r>
              <w:rPr>
                <w:rFonts w:hint="eastAsia"/>
                <w:snapToGrid w:val="0"/>
                <w:color w:val="000000"/>
                <w:kern w:val="21"/>
                <w:szCs w:val="21"/>
              </w:rPr>
              <w:tab/>
            </w:r>
            <w:r>
              <w:rPr>
                <w:rFonts w:hint="eastAsia"/>
                <w:snapToGrid w:val="0"/>
                <w:color w:val="000000"/>
                <w:kern w:val="21"/>
                <w:szCs w:val="21"/>
              </w:rPr>
              <w:t>/</w:t>
            </w:r>
          </w:p>
        </w:tc>
        <w:tc>
          <w:tcPr>
            <w:tcW w:w="574" w:type="pct"/>
            <w:noWrap w:val="0"/>
            <w:vAlign w:val="center"/>
          </w:tcPr>
          <w:p w14:paraId="34C2A16A">
            <w:pPr>
              <w:jc w:val="center"/>
              <w:rPr>
                <w:rFonts w:hint="eastAsia"/>
                <w:snapToGrid w:val="0"/>
                <w:color w:val="000000"/>
                <w:kern w:val="21"/>
                <w:szCs w:val="21"/>
              </w:rPr>
            </w:pPr>
            <w:r>
              <w:rPr>
                <w:rFonts w:hint="eastAsia"/>
                <w:snapToGrid w:val="0"/>
                <w:color w:val="000000"/>
                <w:kern w:val="21"/>
                <w:szCs w:val="21"/>
              </w:rPr>
              <w:t>/</w:t>
            </w:r>
          </w:p>
        </w:tc>
        <w:tc>
          <w:tcPr>
            <w:tcW w:w="596" w:type="pct"/>
            <w:noWrap w:val="0"/>
            <w:vAlign w:val="center"/>
          </w:tcPr>
          <w:p w14:paraId="58555A1A">
            <w:pPr>
              <w:pStyle w:val="33"/>
              <w:jc w:val="center"/>
              <w:rPr>
                <w:rFonts w:hint="default"/>
                <w:szCs w:val="21"/>
                <w:lang w:val="en-US"/>
              </w:rPr>
            </w:pPr>
            <w:r>
              <w:rPr>
                <w:rFonts w:hint="eastAsia" w:ascii="Times New Roman" w:hAnsi="Times New Roman" w:cs="Times New Roman"/>
                <w:szCs w:val="21"/>
                <w:lang w:val="en-US" w:eastAsia="zh-CN"/>
              </w:rPr>
              <w:t>19901.009t/a</w:t>
            </w:r>
          </w:p>
        </w:tc>
        <w:tc>
          <w:tcPr>
            <w:tcW w:w="635" w:type="pct"/>
            <w:noWrap w:val="0"/>
            <w:vAlign w:val="center"/>
          </w:tcPr>
          <w:p w14:paraId="2FECEDFA">
            <w:pPr>
              <w:adjustRightInd w:val="0"/>
              <w:jc w:val="center"/>
              <w:rPr>
                <w:rFonts w:hint="eastAsia"/>
                <w:snapToGrid w:val="0"/>
                <w:color w:val="000000"/>
                <w:kern w:val="21"/>
                <w:szCs w:val="21"/>
              </w:rPr>
            </w:pPr>
            <w:r>
              <w:rPr>
                <w:rFonts w:hint="eastAsia"/>
                <w:snapToGrid w:val="0"/>
                <w:color w:val="000000"/>
                <w:kern w:val="21"/>
                <w:szCs w:val="21"/>
              </w:rPr>
              <w:t>/</w:t>
            </w:r>
          </w:p>
        </w:tc>
        <w:tc>
          <w:tcPr>
            <w:tcW w:w="1488" w:type="dxa"/>
            <w:noWrap w:val="0"/>
            <w:vAlign w:val="center"/>
          </w:tcPr>
          <w:p w14:paraId="66266987">
            <w:pPr>
              <w:pStyle w:val="33"/>
              <w:jc w:val="center"/>
              <w:rPr>
                <w:szCs w:val="21"/>
              </w:rPr>
            </w:pPr>
            <w:r>
              <w:rPr>
                <w:rFonts w:hint="eastAsia" w:ascii="Times New Roman" w:hAnsi="Times New Roman" w:cs="Times New Roman"/>
                <w:szCs w:val="21"/>
                <w:lang w:val="en-US" w:eastAsia="zh-CN"/>
              </w:rPr>
              <w:t>19901.009t/a</w:t>
            </w:r>
          </w:p>
        </w:tc>
        <w:tc>
          <w:tcPr>
            <w:tcW w:w="1332" w:type="dxa"/>
            <w:noWrap w:val="0"/>
            <w:vAlign w:val="center"/>
          </w:tcPr>
          <w:p w14:paraId="0814946B">
            <w:pPr>
              <w:pStyle w:val="33"/>
              <w:jc w:val="center"/>
              <w:rPr>
                <w:rFonts w:hint="eastAsia" w:eastAsia="宋体"/>
                <w:szCs w:val="21"/>
                <w:lang w:eastAsia="zh-CN"/>
              </w:rPr>
            </w:pPr>
            <w:r>
              <w:rPr>
                <w:rFonts w:hint="eastAsia" w:ascii="Times New Roman" w:hAnsi="Times New Roman" w:cs="Times New Roman"/>
                <w:szCs w:val="21"/>
                <w:lang w:val="en-US" w:eastAsia="zh-CN"/>
              </w:rPr>
              <w:t>+19901.009t/a</w:t>
            </w:r>
          </w:p>
        </w:tc>
      </w:tr>
      <w:tr w14:paraId="5C55C26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7" w:hRule="atLeast"/>
        </w:trPr>
        <w:tc>
          <w:tcPr>
            <w:tcW w:w="470" w:type="pct"/>
            <w:vMerge w:val="continue"/>
            <w:noWrap w:val="0"/>
            <w:vAlign w:val="center"/>
          </w:tcPr>
          <w:p w14:paraId="08248647">
            <w:pPr>
              <w:pStyle w:val="26"/>
              <w:spacing w:beforeLines="0" w:afterLines="0" w:line="240" w:lineRule="auto"/>
              <w:rPr>
                <w:rFonts w:hint="eastAsia" w:ascii="Times New Roman"/>
                <w:snapToGrid w:val="0"/>
                <w:color w:val="000000"/>
                <w:kern w:val="21"/>
                <w:sz w:val="21"/>
                <w:szCs w:val="21"/>
              </w:rPr>
            </w:pPr>
          </w:p>
        </w:tc>
        <w:tc>
          <w:tcPr>
            <w:tcW w:w="590" w:type="pct"/>
            <w:noWrap w:val="0"/>
            <w:vAlign w:val="center"/>
          </w:tcPr>
          <w:p w14:paraId="29B7F6D8">
            <w:pPr>
              <w:pStyle w:val="26"/>
              <w:spacing w:beforeLines="0" w:afterLines="0" w:line="240" w:lineRule="auto"/>
              <w:ind w:firstLine="0"/>
              <w:jc w:val="center"/>
              <w:rPr>
                <w:rFonts w:ascii="Times New Roman"/>
                <w:snapToGrid w:val="0"/>
                <w:color w:val="000000"/>
                <w:kern w:val="21"/>
                <w:sz w:val="21"/>
                <w:szCs w:val="21"/>
              </w:rPr>
            </w:pPr>
            <w:r>
              <w:rPr>
                <w:rFonts w:hint="eastAsia" w:ascii="Times New Roman"/>
                <w:snapToGrid w:val="0"/>
                <w:color w:val="000000"/>
                <w:kern w:val="21"/>
                <w:sz w:val="21"/>
                <w:szCs w:val="21"/>
              </w:rPr>
              <w:t>COD</w:t>
            </w:r>
          </w:p>
        </w:tc>
        <w:tc>
          <w:tcPr>
            <w:tcW w:w="596" w:type="pct"/>
            <w:noWrap w:val="0"/>
            <w:vAlign w:val="center"/>
          </w:tcPr>
          <w:p w14:paraId="631178CE">
            <w:pPr>
              <w:pStyle w:val="33"/>
              <w:jc w:val="center"/>
              <w:rPr>
                <w:rFonts w:hint="eastAsia"/>
                <w:snapToGrid w:val="0"/>
                <w:color w:val="000000"/>
                <w:kern w:val="21"/>
                <w:szCs w:val="21"/>
              </w:rPr>
            </w:pPr>
            <w:r>
              <w:rPr>
                <w:rFonts w:hint="eastAsia" w:ascii="Times New Roman" w:hAnsi="Times New Roman" w:cs="Times New Roman"/>
                <w:szCs w:val="21"/>
              </w:rPr>
              <w:t>/</w:t>
            </w:r>
          </w:p>
        </w:tc>
        <w:tc>
          <w:tcPr>
            <w:tcW w:w="455" w:type="pct"/>
            <w:noWrap w:val="0"/>
            <w:vAlign w:val="center"/>
          </w:tcPr>
          <w:p w14:paraId="56A81383">
            <w:pPr>
              <w:jc w:val="center"/>
              <w:rPr>
                <w:rFonts w:hint="eastAsia"/>
                <w:snapToGrid w:val="0"/>
                <w:color w:val="000000"/>
                <w:kern w:val="21"/>
                <w:szCs w:val="21"/>
              </w:rPr>
            </w:pPr>
            <w:r>
              <w:rPr>
                <w:rFonts w:hint="eastAsia"/>
                <w:snapToGrid w:val="0"/>
                <w:color w:val="000000"/>
                <w:kern w:val="21"/>
                <w:szCs w:val="21"/>
              </w:rPr>
              <w:t>/</w:t>
            </w:r>
          </w:p>
        </w:tc>
        <w:tc>
          <w:tcPr>
            <w:tcW w:w="574" w:type="pct"/>
            <w:noWrap w:val="0"/>
            <w:vAlign w:val="center"/>
          </w:tcPr>
          <w:p w14:paraId="4551A4FC">
            <w:pPr>
              <w:jc w:val="center"/>
              <w:rPr>
                <w:rFonts w:hint="eastAsia"/>
                <w:snapToGrid w:val="0"/>
                <w:color w:val="000000"/>
                <w:kern w:val="21"/>
                <w:szCs w:val="21"/>
              </w:rPr>
            </w:pPr>
            <w:r>
              <w:rPr>
                <w:rFonts w:hint="eastAsia"/>
                <w:snapToGrid w:val="0"/>
                <w:color w:val="000000"/>
                <w:kern w:val="21"/>
                <w:szCs w:val="21"/>
              </w:rPr>
              <w:t>/</w:t>
            </w:r>
          </w:p>
        </w:tc>
        <w:tc>
          <w:tcPr>
            <w:tcW w:w="596" w:type="pct"/>
            <w:noWrap w:val="0"/>
            <w:vAlign w:val="center"/>
          </w:tcPr>
          <w:p w14:paraId="30199752">
            <w:pPr>
              <w:pStyle w:val="33"/>
              <w:jc w:val="center"/>
              <w:rPr>
                <w:rFonts w:hint="default"/>
                <w:szCs w:val="21"/>
                <w:lang w:val="en-US"/>
              </w:rPr>
            </w:pPr>
            <w:r>
              <w:rPr>
                <w:rFonts w:hint="eastAsia" w:ascii="Times New Roman" w:hAnsi="Times New Roman" w:cs="Times New Roman"/>
                <w:szCs w:val="21"/>
                <w:lang w:val="en-US" w:eastAsia="zh-CN"/>
              </w:rPr>
              <w:t>2.8893t/a</w:t>
            </w:r>
          </w:p>
        </w:tc>
        <w:tc>
          <w:tcPr>
            <w:tcW w:w="635" w:type="pct"/>
            <w:noWrap w:val="0"/>
            <w:vAlign w:val="center"/>
          </w:tcPr>
          <w:p w14:paraId="47B1EDFE">
            <w:pPr>
              <w:adjustRightInd w:val="0"/>
              <w:jc w:val="center"/>
              <w:rPr>
                <w:rFonts w:hint="eastAsia"/>
                <w:snapToGrid w:val="0"/>
                <w:color w:val="000000"/>
                <w:kern w:val="21"/>
                <w:szCs w:val="21"/>
              </w:rPr>
            </w:pPr>
            <w:r>
              <w:rPr>
                <w:rFonts w:hint="eastAsia"/>
                <w:snapToGrid w:val="0"/>
                <w:color w:val="000000"/>
                <w:kern w:val="21"/>
                <w:szCs w:val="21"/>
              </w:rPr>
              <w:t>/</w:t>
            </w:r>
          </w:p>
        </w:tc>
        <w:tc>
          <w:tcPr>
            <w:tcW w:w="1488" w:type="dxa"/>
            <w:noWrap w:val="0"/>
            <w:vAlign w:val="center"/>
          </w:tcPr>
          <w:p w14:paraId="6727E9BB">
            <w:pPr>
              <w:pStyle w:val="33"/>
              <w:jc w:val="center"/>
              <w:rPr>
                <w:rFonts w:hint="eastAsia"/>
                <w:szCs w:val="21"/>
              </w:rPr>
            </w:pPr>
            <w:r>
              <w:rPr>
                <w:rFonts w:hint="eastAsia" w:ascii="Times New Roman" w:hAnsi="Times New Roman" w:cs="Times New Roman"/>
                <w:szCs w:val="21"/>
                <w:lang w:val="en-US" w:eastAsia="zh-CN"/>
              </w:rPr>
              <w:t>2.8893t/a</w:t>
            </w:r>
          </w:p>
        </w:tc>
        <w:tc>
          <w:tcPr>
            <w:tcW w:w="1332" w:type="dxa"/>
            <w:noWrap w:val="0"/>
            <w:vAlign w:val="center"/>
          </w:tcPr>
          <w:p w14:paraId="5E47EC43">
            <w:pPr>
              <w:pStyle w:val="33"/>
              <w:jc w:val="center"/>
              <w:rPr>
                <w:rFonts w:hint="eastAsia"/>
                <w:szCs w:val="21"/>
              </w:rPr>
            </w:pPr>
            <w:r>
              <w:rPr>
                <w:rFonts w:hint="eastAsia" w:ascii="Times New Roman" w:hAnsi="Times New Roman" w:cs="Times New Roman"/>
                <w:szCs w:val="21"/>
                <w:lang w:val="en-US" w:eastAsia="zh-CN"/>
              </w:rPr>
              <w:t>+2.8893t/a</w:t>
            </w:r>
          </w:p>
        </w:tc>
      </w:tr>
      <w:tr w14:paraId="09F0C8A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70" w:type="pct"/>
            <w:vMerge w:val="continue"/>
            <w:noWrap w:val="0"/>
            <w:vAlign w:val="center"/>
          </w:tcPr>
          <w:p w14:paraId="00593669">
            <w:pPr>
              <w:pStyle w:val="26"/>
              <w:spacing w:beforeLines="0" w:afterLines="0" w:line="240" w:lineRule="auto"/>
              <w:rPr>
                <w:rFonts w:ascii="Times New Roman"/>
                <w:snapToGrid w:val="0"/>
                <w:color w:val="000000"/>
                <w:kern w:val="21"/>
                <w:sz w:val="21"/>
                <w:szCs w:val="21"/>
              </w:rPr>
            </w:pPr>
          </w:p>
        </w:tc>
        <w:tc>
          <w:tcPr>
            <w:tcW w:w="590" w:type="pct"/>
            <w:noWrap w:val="0"/>
            <w:vAlign w:val="center"/>
          </w:tcPr>
          <w:p w14:paraId="031603C4">
            <w:pPr>
              <w:pStyle w:val="26"/>
              <w:spacing w:beforeLines="0" w:afterLines="0" w:line="240" w:lineRule="auto"/>
              <w:ind w:firstLine="0"/>
              <w:jc w:val="center"/>
              <w:rPr>
                <w:rFonts w:ascii="Times New Roman"/>
                <w:snapToGrid w:val="0"/>
                <w:color w:val="000000"/>
                <w:kern w:val="21"/>
                <w:sz w:val="21"/>
                <w:szCs w:val="21"/>
              </w:rPr>
            </w:pPr>
            <w:r>
              <w:rPr>
                <w:rFonts w:hint="eastAsia" w:ascii="Times New Roman"/>
                <w:snapToGrid w:val="0"/>
                <w:color w:val="000000"/>
                <w:kern w:val="21"/>
                <w:sz w:val="21"/>
                <w:szCs w:val="21"/>
              </w:rPr>
              <w:t>氨氮</w:t>
            </w:r>
          </w:p>
        </w:tc>
        <w:tc>
          <w:tcPr>
            <w:tcW w:w="596" w:type="pct"/>
            <w:noWrap w:val="0"/>
            <w:vAlign w:val="center"/>
          </w:tcPr>
          <w:p w14:paraId="684CE923">
            <w:pPr>
              <w:pStyle w:val="33"/>
              <w:jc w:val="center"/>
              <w:rPr>
                <w:rFonts w:hint="eastAsia"/>
                <w:snapToGrid w:val="0"/>
                <w:color w:val="000000"/>
                <w:kern w:val="21"/>
                <w:szCs w:val="21"/>
              </w:rPr>
            </w:pPr>
            <w:r>
              <w:rPr>
                <w:rFonts w:hint="eastAsia" w:ascii="Times New Roman" w:hAnsi="Times New Roman" w:cs="Times New Roman"/>
                <w:szCs w:val="21"/>
              </w:rPr>
              <w:t>/</w:t>
            </w:r>
          </w:p>
        </w:tc>
        <w:tc>
          <w:tcPr>
            <w:tcW w:w="455" w:type="pct"/>
            <w:noWrap w:val="0"/>
            <w:vAlign w:val="center"/>
          </w:tcPr>
          <w:p w14:paraId="1A87E6C4">
            <w:pPr>
              <w:jc w:val="center"/>
              <w:rPr>
                <w:rFonts w:hint="eastAsia"/>
                <w:snapToGrid w:val="0"/>
                <w:color w:val="000000"/>
                <w:kern w:val="21"/>
                <w:szCs w:val="21"/>
              </w:rPr>
            </w:pPr>
            <w:r>
              <w:rPr>
                <w:rFonts w:hint="eastAsia"/>
                <w:snapToGrid w:val="0"/>
                <w:color w:val="000000"/>
                <w:kern w:val="21"/>
                <w:szCs w:val="21"/>
              </w:rPr>
              <w:t>/</w:t>
            </w:r>
          </w:p>
        </w:tc>
        <w:tc>
          <w:tcPr>
            <w:tcW w:w="574" w:type="pct"/>
            <w:noWrap w:val="0"/>
            <w:vAlign w:val="center"/>
          </w:tcPr>
          <w:p w14:paraId="61915BF2">
            <w:pPr>
              <w:jc w:val="center"/>
              <w:rPr>
                <w:rFonts w:hint="eastAsia"/>
                <w:snapToGrid w:val="0"/>
                <w:color w:val="000000"/>
                <w:kern w:val="21"/>
                <w:szCs w:val="21"/>
              </w:rPr>
            </w:pPr>
            <w:r>
              <w:rPr>
                <w:rFonts w:hint="eastAsia"/>
                <w:snapToGrid w:val="0"/>
                <w:color w:val="000000"/>
                <w:kern w:val="21"/>
                <w:szCs w:val="21"/>
              </w:rPr>
              <w:t>/</w:t>
            </w:r>
          </w:p>
        </w:tc>
        <w:tc>
          <w:tcPr>
            <w:tcW w:w="596" w:type="pct"/>
            <w:noWrap w:val="0"/>
            <w:vAlign w:val="center"/>
          </w:tcPr>
          <w:p w14:paraId="66CB9899">
            <w:pPr>
              <w:pStyle w:val="33"/>
              <w:tabs>
                <w:tab w:val="left" w:pos="357"/>
              </w:tabs>
              <w:jc w:val="center"/>
              <w:rPr>
                <w:rFonts w:hint="default"/>
                <w:szCs w:val="21"/>
                <w:lang w:val="en-US"/>
              </w:rPr>
            </w:pPr>
            <w:r>
              <w:rPr>
                <w:rFonts w:hint="eastAsia" w:ascii="Times New Roman" w:hAnsi="Times New Roman" w:cs="Times New Roman"/>
                <w:szCs w:val="21"/>
                <w:lang w:val="en-US" w:eastAsia="zh-CN"/>
              </w:rPr>
              <w:t>0.5853t/a</w:t>
            </w:r>
          </w:p>
        </w:tc>
        <w:tc>
          <w:tcPr>
            <w:tcW w:w="635" w:type="pct"/>
            <w:noWrap w:val="0"/>
            <w:vAlign w:val="center"/>
          </w:tcPr>
          <w:p w14:paraId="328FE755">
            <w:pPr>
              <w:adjustRightInd w:val="0"/>
              <w:jc w:val="center"/>
              <w:rPr>
                <w:rFonts w:hint="eastAsia"/>
                <w:snapToGrid w:val="0"/>
                <w:color w:val="000000"/>
                <w:kern w:val="21"/>
                <w:szCs w:val="21"/>
              </w:rPr>
            </w:pPr>
            <w:r>
              <w:rPr>
                <w:rFonts w:hint="eastAsia"/>
                <w:snapToGrid w:val="0"/>
                <w:color w:val="000000"/>
                <w:kern w:val="21"/>
                <w:szCs w:val="21"/>
              </w:rPr>
              <w:t>/</w:t>
            </w:r>
          </w:p>
        </w:tc>
        <w:tc>
          <w:tcPr>
            <w:tcW w:w="1488" w:type="dxa"/>
            <w:noWrap w:val="0"/>
            <w:vAlign w:val="center"/>
          </w:tcPr>
          <w:p w14:paraId="113E091D">
            <w:pPr>
              <w:pStyle w:val="33"/>
              <w:tabs>
                <w:tab w:val="left" w:pos="357"/>
              </w:tabs>
              <w:jc w:val="center"/>
              <w:rPr>
                <w:rFonts w:hint="eastAsia"/>
                <w:szCs w:val="21"/>
              </w:rPr>
            </w:pPr>
            <w:r>
              <w:rPr>
                <w:rFonts w:hint="eastAsia" w:ascii="Times New Roman" w:hAnsi="Times New Roman" w:cs="Times New Roman"/>
                <w:szCs w:val="21"/>
                <w:lang w:val="en-US" w:eastAsia="zh-CN"/>
              </w:rPr>
              <w:t>0.5853t/a</w:t>
            </w:r>
          </w:p>
        </w:tc>
        <w:tc>
          <w:tcPr>
            <w:tcW w:w="1332" w:type="dxa"/>
            <w:noWrap w:val="0"/>
            <w:vAlign w:val="center"/>
          </w:tcPr>
          <w:p w14:paraId="761200D7">
            <w:pPr>
              <w:pStyle w:val="33"/>
              <w:tabs>
                <w:tab w:val="left" w:pos="357"/>
              </w:tabs>
              <w:jc w:val="center"/>
              <w:rPr>
                <w:rFonts w:hint="eastAsia"/>
                <w:szCs w:val="21"/>
              </w:rPr>
            </w:pPr>
            <w:r>
              <w:rPr>
                <w:rFonts w:hint="eastAsia" w:ascii="Times New Roman" w:hAnsi="Times New Roman" w:cs="Times New Roman"/>
                <w:szCs w:val="21"/>
                <w:lang w:val="en-US" w:eastAsia="zh-CN"/>
              </w:rPr>
              <w:t>+0.5853t/a</w:t>
            </w:r>
          </w:p>
        </w:tc>
      </w:tr>
      <w:tr w14:paraId="7515D81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7" w:hRule="atLeast"/>
        </w:trPr>
        <w:tc>
          <w:tcPr>
            <w:tcW w:w="470" w:type="pct"/>
            <w:vMerge w:val="restart"/>
            <w:noWrap w:val="0"/>
            <w:vAlign w:val="center"/>
          </w:tcPr>
          <w:p w14:paraId="643DC4B5">
            <w:pPr>
              <w:pStyle w:val="26"/>
              <w:spacing w:beforeLines="0" w:afterLines="0" w:line="240" w:lineRule="auto"/>
              <w:ind w:firstLine="0"/>
              <w:jc w:val="center"/>
              <w:rPr>
                <w:rFonts w:ascii="Times New Roman"/>
                <w:snapToGrid w:val="0"/>
                <w:color w:val="000000"/>
                <w:kern w:val="21"/>
                <w:sz w:val="21"/>
                <w:szCs w:val="21"/>
              </w:rPr>
            </w:pPr>
            <w:r>
              <w:rPr>
                <w:rFonts w:ascii="Times New Roman"/>
                <w:snapToGrid w:val="0"/>
                <w:color w:val="000000"/>
                <w:kern w:val="21"/>
                <w:sz w:val="21"/>
                <w:szCs w:val="21"/>
              </w:rPr>
              <w:t>工业固体废物</w:t>
            </w:r>
          </w:p>
        </w:tc>
        <w:tc>
          <w:tcPr>
            <w:tcW w:w="590" w:type="pct"/>
            <w:noWrap w:val="0"/>
            <w:vAlign w:val="center"/>
          </w:tcPr>
          <w:p w14:paraId="5C362998">
            <w:pPr>
              <w:pStyle w:val="26"/>
              <w:spacing w:beforeLines="0" w:afterLines="0" w:line="240" w:lineRule="auto"/>
              <w:ind w:firstLine="0"/>
              <w:jc w:val="center"/>
              <w:rPr>
                <w:rFonts w:ascii="Times New Roman"/>
                <w:snapToGrid w:val="0"/>
                <w:color w:val="000000"/>
                <w:kern w:val="21"/>
                <w:sz w:val="21"/>
                <w:szCs w:val="21"/>
              </w:rPr>
            </w:pPr>
            <w:r>
              <w:rPr>
                <w:rFonts w:hint="eastAsia" w:ascii="Times New Roman"/>
                <w:sz w:val="21"/>
                <w:szCs w:val="21"/>
              </w:rPr>
              <w:t>生活垃圾</w:t>
            </w:r>
          </w:p>
        </w:tc>
        <w:tc>
          <w:tcPr>
            <w:tcW w:w="596" w:type="pct"/>
            <w:noWrap w:val="0"/>
            <w:vAlign w:val="center"/>
          </w:tcPr>
          <w:p w14:paraId="72F6BDA4">
            <w:pPr>
              <w:pStyle w:val="33"/>
              <w:jc w:val="center"/>
              <w:rPr>
                <w:rFonts w:hint="eastAsia"/>
                <w:snapToGrid w:val="0"/>
                <w:color w:val="000000"/>
                <w:kern w:val="21"/>
                <w:szCs w:val="21"/>
              </w:rPr>
            </w:pPr>
            <w:r>
              <w:rPr>
                <w:rFonts w:hint="eastAsia" w:ascii="Times New Roman" w:hAnsi="Times New Roman" w:cs="Times New Roman"/>
                <w:szCs w:val="21"/>
              </w:rPr>
              <w:t>/</w:t>
            </w:r>
          </w:p>
        </w:tc>
        <w:tc>
          <w:tcPr>
            <w:tcW w:w="455" w:type="pct"/>
            <w:noWrap w:val="0"/>
            <w:vAlign w:val="center"/>
          </w:tcPr>
          <w:p w14:paraId="3A173022">
            <w:pPr>
              <w:jc w:val="center"/>
              <w:rPr>
                <w:snapToGrid w:val="0"/>
                <w:color w:val="000000"/>
                <w:kern w:val="21"/>
                <w:szCs w:val="21"/>
              </w:rPr>
            </w:pPr>
            <w:r>
              <w:rPr>
                <w:snapToGrid w:val="0"/>
                <w:color w:val="000000"/>
                <w:kern w:val="21"/>
                <w:szCs w:val="21"/>
              </w:rPr>
              <w:t>/</w:t>
            </w:r>
          </w:p>
        </w:tc>
        <w:tc>
          <w:tcPr>
            <w:tcW w:w="574" w:type="pct"/>
            <w:noWrap w:val="0"/>
            <w:vAlign w:val="center"/>
          </w:tcPr>
          <w:p w14:paraId="74CCB2B6">
            <w:pPr>
              <w:jc w:val="center"/>
              <w:rPr>
                <w:snapToGrid w:val="0"/>
                <w:color w:val="000000"/>
                <w:kern w:val="21"/>
                <w:szCs w:val="21"/>
              </w:rPr>
            </w:pPr>
            <w:r>
              <w:rPr>
                <w:snapToGrid w:val="0"/>
                <w:color w:val="000000"/>
                <w:kern w:val="21"/>
                <w:szCs w:val="21"/>
              </w:rPr>
              <w:t>/</w:t>
            </w:r>
          </w:p>
        </w:tc>
        <w:tc>
          <w:tcPr>
            <w:tcW w:w="596" w:type="pct"/>
            <w:noWrap w:val="0"/>
            <w:vAlign w:val="center"/>
          </w:tcPr>
          <w:p w14:paraId="1CEDDE78">
            <w:pPr>
              <w:pStyle w:val="33"/>
              <w:jc w:val="center"/>
              <w:rPr>
                <w:snapToGrid w:val="0"/>
                <w:kern w:val="21"/>
                <w:szCs w:val="21"/>
              </w:rPr>
            </w:pPr>
            <w:r>
              <w:rPr>
                <w:rFonts w:hint="eastAsia" w:ascii="Times New Roman" w:hAnsi="Times New Roman" w:cs="Times New Roman"/>
                <w:szCs w:val="21"/>
                <w:lang w:val="en-US" w:eastAsia="zh-CN"/>
              </w:rPr>
              <w:t>106.945</w:t>
            </w:r>
            <w:r>
              <w:rPr>
                <w:rFonts w:hint="eastAsia" w:ascii="Times New Roman" w:hAnsi="Times New Roman" w:cs="Times New Roman"/>
                <w:szCs w:val="21"/>
              </w:rPr>
              <w:t>t/a</w:t>
            </w:r>
          </w:p>
        </w:tc>
        <w:tc>
          <w:tcPr>
            <w:tcW w:w="635" w:type="pct"/>
            <w:noWrap w:val="0"/>
            <w:vAlign w:val="center"/>
          </w:tcPr>
          <w:p w14:paraId="2AE0631C">
            <w:pPr>
              <w:adjustRightInd w:val="0"/>
              <w:jc w:val="center"/>
              <w:rPr>
                <w:rFonts w:hint="eastAsia"/>
                <w:snapToGrid w:val="0"/>
                <w:color w:val="000000"/>
                <w:kern w:val="21"/>
                <w:szCs w:val="21"/>
              </w:rPr>
            </w:pPr>
            <w:r>
              <w:rPr>
                <w:rFonts w:hint="eastAsia"/>
                <w:snapToGrid w:val="0"/>
                <w:color w:val="000000"/>
                <w:kern w:val="21"/>
                <w:szCs w:val="21"/>
              </w:rPr>
              <w:t>/</w:t>
            </w:r>
          </w:p>
        </w:tc>
        <w:tc>
          <w:tcPr>
            <w:tcW w:w="1475" w:type="dxa"/>
            <w:noWrap w:val="0"/>
            <w:vAlign w:val="center"/>
          </w:tcPr>
          <w:p w14:paraId="54040370">
            <w:pPr>
              <w:pStyle w:val="33"/>
              <w:jc w:val="center"/>
              <w:rPr>
                <w:snapToGrid w:val="0"/>
                <w:color w:val="000000"/>
                <w:kern w:val="21"/>
                <w:szCs w:val="21"/>
              </w:rPr>
            </w:pPr>
            <w:r>
              <w:rPr>
                <w:rFonts w:hint="eastAsia" w:ascii="Times New Roman" w:hAnsi="Times New Roman" w:cs="Times New Roman"/>
                <w:szCs w:val="21"/>
                <w:lang w:val="en-US" w:eastAsia="zh-CN"/>
              </w:rPr>
              <w:t>106.945</w:t>
            </w:r>
            <w:r>
              <w:rPr>
                <w:rFonts w:hint="eastAsia" w:ascii="Times New Roman" w:hAnsi="Times New Roman" w:cs="Times New Roman"/>
                <w:szCs w:val="21"/>
              </w:rPr>
              <w:t>t/a</w:t>
            </w:r>
          </w:p>
        </w:tc>
        <w:tc>
          <w:tcPr>
            <w:tcW w:w="1437" w:type="dxa"/>
            <w:noWrap w:val="0"/>
            <w:vAlign w:val="center"/>
          </w:tcPr>
          <w:p w14:paraId="1C887A57">
            <w:pPr>
              <w:pStyle w:val="33"/>
              <w:jc w:val="center"/>
              <w:rPr>
                <w:snapToGrid w:val="0"/>
                <w:color w:val="000000"/>
                <w:kern w:val="21"/>
                <w:szCs w:val="21"/>
              </w:rPr>
            </w:pPr>
            <w:r>
              <w:rPr>
                <w:rFonts w:hint="eastAsia" w:ascii="Times New Roman" w:hAnsi="Times New Roman" w:cs="Times New Roman"/>
                <w:szCs w:val="21"/>
                <w:lang w:val="en-US" w:eastAsia="zh-CN"/>
              </w:rPr>
              <w:t>+106.945</w:t>
            </w:r>
            <w:r>
              <w:rPr>
                <w:rFonts w:hint="eastAsia" w:ascii="Times New Roman" w:hAnsi="Times New Roman" w:cs="Times New Roman"/>
                <w:szCs w:val="21"/>
              </w:rPr>
              <w:t>t/a</w:t>
            </w:r>
          </w:p>
        </w:tc>
      </w:tr>
      <w:tr w14:paraId="6ECF045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67" w:hRule="atLeast"/>
        </w:trPr>
        <w:tc>
          <w:tcPr>
            <w:tcW w:w="470" w:type="pct"/>
            <w:vMerge w:val="continue"/>
            <w:noWrap w:val="0"/>
            <w:vAlign w:val="center"/>
          </w:tcPr>
          <w:p w14:paraId="34305003">
            <w:pPr>
              <w:pStyle w:val="26"/>
              <w:spacing w:beforeLines="0" w:afterLines="0" w:line="240" w:lineRule="auto"/>
              <w:ind w:firstLine="0"/>
              <w:jc w:val="center"/>
              <w:rPr>
                <w:rFonts w:ascii="Times New Roman"/>
                <w:snapToGrid w:val="0"/>
                <w:color w:val="000000"/>
                <w:kern w:val="21"/>
                <w:sz w:val="21"/>
                <w:szCs w:val="21"/>
              </w:rPr>
            </w:pPr>
          </w:p>
        </w:tc>
        <w:tc>
          <w:tcPr>
            <w:tcW w:w="590" w:type="pct"/>
            <w:noWrap w:val="0"/>
            <w:vAlign w:val="center"/>
          </w:tcPr>
          <w:p w14:paraId="1E09BBDE">
            <w:pPr>
              <w:pStyle w:val="26"/>
              <w:spacing w:beforeLines="0" w:afterLines="0" w:line="240" w:lineRule="auto"/>
              <w:ind w:firstLine="0"/>
              <w:jc w:val="center"/>
              <w:rPr>
                <w:rFonts w:hint="eastAsia" w:ascii="Times New Roman"/>
                <w:sz w:val="21"/>
                <w:szCs w:val="21"/>
              </w:rPr>
            </w:pPr>
            <w:r>
              <w:rPr>
                <w:rFonts w:hint="eastAsia"/>
                <w:sz w:val="21"/>
                <w:szCs w:val="21"/>
                <w:lang w:eastAsia="zh-CN"/>
              </w:rPr>
              <w:t>化粪池污泥污水处理污泥</w:t>
            </w:r>
          </w:p>
        </w:tc>
        <w:tc>
          <w:tcPr>
            <w:tcW w:w="596" w:type="pct"/>
            <w:noWrap w:val="0"/>
            <w:vAlign w:val="center"/>
          </w:tcPr>
          <w:p w14:paraId="39F7C42A">
            <w:pPr>
              <w:pStyle w:val="33"/>
              <w:jc w:val="center"/>
              <w:rPr>
                <w:rFonts w:hint="eastAsia" w:ascii="Times New Roman" w:hAnsi="Times New Roman" w:eastAsia="宋体" w:cs="Times New Roman"/>
                <w:sz w:val="21"/>
                <w:szCs w:val="21"/>
                <w:lang w:val="en-US" w:eastAsia="zh-CN"/>
              </w:rPr>
            </w:pPr>
            <w:r>
              <w:rPr>
                <w:rFonts w:hint="eastAsia" w:ascii="Times New Roman" w:hAnsi="Times New Roman" w:cs="Times New Roman"/>
                <w:sz w:val="21"/>
                <w:szCs w:val="21"/>
                <w:lang w:val="en-US" w:eastAsia="zh-CN"/>
              </w:rPr>
              <w:t>/</w:t>
            </w:r>
          </w:p>
        </w:tc>
        <w:tc>
          <w:tcPr>
            <w:tcW w:w="455" w:type="pct"/>
            <w:noWrap w:val="0"/>
            <w:vAlign w:val="center"/>
          </w:tcPr>
          <w:p w14:paraId="303EF9E9">
            <w:pPr>
              <w:jc w:val="center"/>
              <w:rPr>
                <w:rFonts w:hint="eastAsia" w:eastAsia="宋体"/>
                <w:snapToGrid w:val="0"/>
                <w:color w:val="000000"/>
                <w:kern w:val="21"/>
                <w:szCs w:val="21"/>
                <w:lang w:val="en-US" w:eastAsia="zh-CN"/>
              </w:rPr>
            </w:pPr>
            <w:r>
              <w:rPr>
                <w:rFonts w:hint="eastAsia"/>
                <w:snapToGrid w:val="0"/>
                <w:color w:val="000000"/>
                <w:kern w:val="21"/>
                <w:szCs w:val="21"/>
                <w:lang w:val="en-US" w:eastAsia="zh-CN"/>
              </w:rPr>
              <w:t>/</w:t>
            </w:r>
          </w:p>
        </w:tc>
        <w:tc>
          <w:tcPr>
            <w:tcW w:w="574" w:type="pct"/>
            <w:noWrap w:val="0"/>
            <w:vAlign w:val="center"/>
          </w:tcPr>
          <w:p w14:paraId="65F704CF">
            <w:pPr>
              <w:jc w:val="center"/>
              <w:rPr>
                <w:rFonts w:hint="eastAsia" w:eastAsia="宋体"/>
                <w:snapToGrid w:val="0"/>
                <w:color w:val="000000"/>
                <w:kern w:val="21"/>
                <w:szCs w:val="21"/>
                <w:lang w:val="en-US" w:eastAsia="zh-CN"/>
              </w:rPr>
            </w:pPr>
            <w:r>
              <w:rPr>
                <w:rFonts w:hint="eastAsia"/>
                <w:snapToGrid w:val="0"/>
                <w:color w:val="000000"/>
                <w:kern w:val="21"/>
                <w:szCs w:val="21"/>
                <w:lang w:val="en-US" w:eastAsia="zh-CN"/>
              </w:rPr>
              <w:t>/</w:t>
            </w:r>
          </w:p>
        </w:tc>
        <w:tc>
          <w:tcPr>
            <w:tcW w:w="596" w:type="pct"/>
            <w:noWrap w:val="0"/>
            <w:vAlign w:val="center"/>
          </w:tcPr>
          <w:p w14:paraId="57BA8F5E">
            <w:pPr>
              <w:pStyle w:val="33"/>
              <w:jc w:val="center"/>
              <w:rPr>
                <w:rFonts w:hint="default" w:ascii="Times New Roman" w:hAnsi="Times New Roman" w:cs="Times New Roman"/>
                <w:szCs w:val="21"/>
                <w:lang w:val="en-US" w:eastAsia="zh-CN"/>
              </w:rPr>
            </w:pPr>
            <w:r>
              <w:rPr>
                <w:rFonts w:hint="eastAsia" w:ascii="Times New Roman" w:hAnsi="Times New Roman" w:cs="Times New Roman"/>
                <w:szCs w:val="21"/>
                <w:lang w:val="en-US" w:eastAsia="zh-CN"/>
              </w:rPr>
              <w:t>37.708</w:t>
            </w:r>
            <w:r>
              <w:rPr>
                <w:rFonts w:hint="eastAsia" w:ascii="Times New Roman" w:hAnsi="Times New Roman" w:cs="Times New Roman"/>
                <w:szCs w:val="21"/>
              </w:rPr>
              <w:t>t/a</w:t>
            </w:r>
          </w:p>
        </w:tc>
        <w:tc>
          <w:tcPr>
            <w:tcW w:w="635" w:type="pct"/>
            <w:noWrap w:val="0"/>
            <w:vAlign w:val="center"/>
          </w:tcPr>
          <w:p w14:paraId="4333B180">
            <w:pPr>
              <w:adjustRightInd w:val="0"/>
              <w:jc w:val="center"/>
              <w:rPr>
                <w:rFonts w:hint="eastAsia" w:eastAsia="宋体"/>
                <w:snapToGrid w:val="0"/>
                <w:color w:val="000000"/>
                <w:kern w:val="21"/>
                <w:szCs w:val="21"/>
                <w:lang w:val="en-US" w:eastAsia="zh-CN"/>
              </w:rPr>
            </w:pPr>
            <w:r>
              <w:rPr>
                <w:rFonts w:hint="eastAsia"/>
                <w:snapToGrid w:val="0"/>
                <w:color w:val="000000"/>
                <w:kern w:val="21"/>
                <w:szCs w:val="21"/>
                <w:lang w:val="en-US" w:eastAsia="zh-CN"/>
              </w:rPr>
              <w:t>/</w:t>
            </w:r>
          </w:p>
        </w:tc>
        <w:tc>
          <w:tcPr>
            <w:tcW w:w="1475" w:type="dxa"/>
            <w:noWrap w:val="0"/>
            <w:vAlign w:val="center"/>
          </w:tcPr>
          <w:p w14:paraId="510D8E7B">
            <w:pPr>
              <w:pStyle w:val="33"/>
              <w:jc w:val="center"/>
              <w:rPr>
                <w:rFonts w:hint="eastAsia" w:ascii="Times New Roman" w:hAnsi="Times New Roman" w:cs="Times New Roman"/>
                <w:szCs w:val="21"/>
                <w:lang w:val="en-US" w:eastAsia="zh-CN"/>
              </w:rPr>
            </w:pPr>
            <w:r>
              <w:rPr>
                <w:rFonts w:hint="eastAsia" w:ascii="Times New Roman" w:hAnsi="Times New Roman" w:cs="Times New Roman"/>
                <w:szCs w:val="21"/>
                <w:lang w:val="en-US" w:eastAsia="zh-CN"/>
              </w:rPr>
              <w:t>37.708</w:t>
            </w:r>
            <w:r>
              <w:rPr>
                <w:rFonts w:hint="eastAsia" w:ascii="Times New Roman" w:hAnsi="Times New Roman" w:cs="Times New Roman"/>
                <w:szCs w:val="21"/>
              </w:rPr>
              <w:t>t/a</w:t>
            </w:r>
          </w:p>
        </w:tc>
        <w:tc>
          <w:tcPr>
            <w:tcW w:w="1437" w:type="dxa"/>
            <w:noWrap w:val="0"/>
            <w:vAlign w:val="center"/>
          </w:tcPr>
          <w:p w14:paraId="730F7583">
            <w:pPr>
              <w:pStyle w:val="33"/>
              <w:jc w:val="center"/>
              <w:rPr>
                <w:rFonts w:hint="eastAsia" w:ascii="Times New Roman" w:hAnsi="Times New Roman" w:cs="Times New Roman"/>
                <w:szCs w:val="21"/>
                <w:lang w:val="en-US" w:eastAsia="zh-CN"/>
              </w:rPr>
            </w:pPr>
            <w:r>
              <w:rPr>
                <w:rFonts w:hint="eastAsia" w:ascii="Times New Roman" w:hAnsi="Times New Roman" w:cs="Times New Roman"/>
                <w:szCs w:val="21"/>
                <w:lang w:val="en-US" w:eastAsia="zh-CN"/>
              </w:rPr>
              <w:t>+37.708</w:t>
            </w:r>
            <w:r>
              <w:rPr>
                <w:rFonts w:hint="eastAsia" w:ascii="Times New Roman" w:hAnsi="Times New Roman" w:cs="Times New Roman"/>
                <w:szCs w:val="21"/>
              </w:rPr>
              <w:t>t/a</w:t>
            </w:r>
          </w:p>
        </w:tc>
      </w:tr>
      <w:tr w14:paraId="06D18E2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470" w:type="pct"/>
            <w:vMerge w:val="continue"/>
            <w:noWrap w:val="0"/>
            <w:vAlign w:val="center"/>
          </w:tcPr>
          <w:p w14:paraId="54812B82">
            <w:pPr>
              <w:pStyle w:val="26"/>
              <w:spacing w:beforeLines="0" w:afterLines="0" w:line="240" w:lineRule="auto"/>
              <w:rPr>
                <w:rFonts w:ascii="Times New Roman"/>
                <w:snapToGrid w:val="0"/>
                <w:color w:val="000000"/>
                <w:kern w:val="21"/>
                <w:sz w:val="21"/>
                <w:szCs w:val="21"/>
              </w:rPr>
            </w:pPr>
          </w:p>
        </w:tc>
        <w:tc>
          <w:tcPr>
            <w:tcW w:w="590" w:type="pct"/>
            <w:noWrap w:val="0"/>
            <w:vAlign w:val="center"/>
          </w:tcPr>
          <w:p w14:paraId="7DADFB88">
            <w:pPr>
              <w:pStyle w:val="34"/>
              <w:tabs>
                <w:tab w:val="left" w:pos="636"/>
              </w:tabs>
              <w:spacing w:line="240" w:lineRule="auto"/>
              <w:ind w:firstLine="0"/>
              <w:jc w:val="center"/>
              <w:rPr>
                <w:rFonts w:hint="default"/>
                <w:snapToGrid w:val="0"/>
                <w:color w:val="000000"/>
                <w:kern w:val="21"/>
                <w:szCs w:val="21"/>
                <w:lang w:val="en-US"/>
              </w:rPr>
            </w:pPr>
            <w:r>
              <w:rPr>
                <w:rFonts w:hint="eastAsia" w:ascii="Times New Roman"/>
                <w:sz w:val="21"/>
                <w:szCs w:val="21"/>
                <w:lang w:val="en-US" w:eastAsia="zh-CN"/>
              </w:rPr>
              <w:t>废包装材料</w:t>
            </w:r>
          </w:p>
        </w:tc>
        <w:tc>
          <w:tcPr>
            <w:tcW w:w="596" w:type="pct"/>
            <w:noWrap w:val="0"/>
            <w:vAlign w:val="center"/>
          </w:tcPr>
          <w:p w14:paraId="67D61E54">
            <w:pPr>
              <w:pStyle w:val="34"/>
              <w:spacing w:line="240" w:lineRule="auto"/>
              <w:ind w:firstLine="0"/>
              <w:jc w:val="center"/>
              <w:rPr>
                <w:rFonts w:hint="eastAsia"/>
                <w:snapToGrid w:val="0"/>
                <w:color w:val="000000"/>
                <w:kern w:val="21"/>
                <w:szCs w:val="21"/>
              </w:rPr>
            </w:pPr>
            <w:r>
              <w:rPr>
                <w:rFonts w:hint="eastAsia"/>
                <w:szCs w:val="21"/>
                <w:lang w:val="en-US"/>
              </w:rPr>
              <w:t>/</w:t>
            </w:r>
          </w:p>
        </w:tc>
        <w:tc>
          <w:tcPr>
            <w:tcW w:w="455" w:type="pct"/>
            <w:noWrap w:val="0"/>
            <w:vAlign w:val="center"/>
          </w:tcPr>
          <w:p w14:paraId="2FFDF40C">
            <w:pPr>
              <w:jc w:val="center"/>
              <w:rPr>
                <w:snapToGrid w:val="0"/>
                <w:color w:val="000000"/>
                <w:kern w:val="21"/>
                <w:szCs w:val="21"/>
              </w:rPr>
            </w:pPr>
            <w:r>
              <w:rPr>
                <w:snapToGrid w:val="0"/>
                <w:color w:val="000000"/>
                <w:kern w:val="21"/>
                <w:szCs w:val="21"/>
              </w:rPr>
              <w:t>/</w:t>
            </w:r>
          </w:p>
        </w:tc>
        <w:tc>
          <w:tcPr>
            <w:tcW w:w="574" w:type="pct"/>
            <w:noWrap w:val="0"/>
            <w:vAlign w:val="center"/>
          </w:tcPr>
          <w:p w14:paraId="312F3FED">
            <w:pPr>
              <w:jc w:val="center"/>
              <w:rPr>
                <w:snapToGrid w:val="0"/>
                <w:color w:val="000000"/>
                <w:kern w:val="21"/>
                <w:szCs w:val="21"/>
              </w:rPr>
            </w:pPr>
            <w:r>
              <w:rPr>
                <w:snapToGrid w:val="0"/>
                <w:color w:val="000000"/>
                <w:kern w:val="21"/>
                <w:szCs w:val="21"/>
              </w:rPr>
              <w:t>/</w:t>
            </w:r>
          </w:p>
        </w:tc>
        <w:tc>
          <w:tcPr>
            <w:tcW w:w="596" w:type="pct"/>
            <w:noWrap w:val="0"/>
            <w:vAlign w:val="center"/>
          </w:tcPr>
          <w:p w14:paraId="38A6624B">
            <w:pPr>
              <w:pStyle w:val="33"/>
              <w:jc w:val="center"/>
              <w:rPr>
                <w:snapToGrid w:val="0"/>
                <w:kern w:val="21"/>
                <w:szCs w:val="21"/>
              </w:rPr>
            </w:pPr>
            <w:r>
              <w:rPr>
                <w:rFonts w:hint="eastAsia" w:ascii="Times New Roman" w:hAnsi="Times New Roman" w:cs="Times New Roman"/>
                <w:szCs w:val="21"/>
                <w:lang w:val="en-US" w:eastAsia="zh-CN"/>
              </w:rPr>
              <w:t>1.2</w:t>
            </w:r>
            <w:r>
              <w:rPr>
                <w:rFonts w:hint="eastAsia" w:ascii="Times New Roman" w:hAnsi="Times New Roman" w:cs="Times New Roman"/>
                <w:szCs w:val="21"/>
              </w:rPr>
              <w:t>t/a</w:t>
            </w:r>
          </w:p>
        </w:tc>
        <w:tc>
          <w:tcPr>
            <w:tcW w:w="635" w:type="pct"/>
            <w:noWrap w:val="0"/>
            <w:vAlign w:val="center"/>
          </w:tcPr>
          <w:p w14:paraId="4EDF3DF5">
            <w:pPr>
              <w:adjustRightInd w:val="0"/>
              <w:jc w:val="center"/>
              <w:rPr>
                <w:rFonts w:hint="eastAsia"/>
                <w:snapToGrid w:val="0"/>
                <w:kern w:val="21"/>
                <w:szCs w:val="21"/>
              </w:rPr>
            </w:pPr>
            <w:r>
              <w:rPr>
                <w:rFonts w:hint="eastAsia"/>
                <w:snapToGrid w:val="0"/>
                <w:kern w:val="21"/>
                <w:szCs w:val="21"/>
              </w:rPr>
              <w:t>/</w:t>
            </w:r>
          </w:p>
        </w:tc>
        <w:tc>
          <w:tcPr>
            <w:tcW w:w="1475" w:type="dxa"/>
            <w:noWrap w:val="0"/>
            <w:vAlign w:val="center"/>
          </w:tcPr>
          <w:p w14:paraId="6E9CE9E6">
            <w:pPr>
              <w:pStyle w:val="33"/>
              <w:jc w:val="center"/>
              <w:rPr>
                <w:snapToGrid w:val="0"/>
                <w:color w:val="FF0000"/>
                <w:kern w:val="21"/>
                <w:szCs w:val="21"/>
              </w:rPr>
            </w:pPr>
            <w:r>
              <w:rPr>
                <w:rFonts w:hint="eastAsia" w:ascii="Times New Roman" w:hAnsi="Times New Roman" w:cs="Times New Roman"/>
                <w:szCs w:val="21"/>
                <w:lang w:val="en-US" w:eastAsia="zh-CN"/>
              </w:rPr>
              <w:t>1.2</w:t>
            </w:r>
            <w:r>
              <w:rPr>
                <w:rFonts w:hint="eastAsia" w:ascii="Times New Roman" w:hAnsi="Times New Roman" w:cs="Times New Roman"/>
                <w:szCs w:val="21"/>
              </w:rPr>
              <w:t>t/a</w:t>
            </w:r>
          </w:p>
        </w:tc>
        <w:tc>
          <w:tcPr>
            <w:tcW w:w="1437" w:type="dxa"/>
            <w:noWrap w:val="0"/>
            <w:vAlign w:val="center"/>
          </w:tcPr>
          <w:p w14:paraId="2ADC383E">
            <w:pPr>
              <w:pStyle w:val="33"/>
              <w:jc w:val="center"/>
              <w:rPr>
                <w:snapToGrid w:val="0"/>
                <w:color w:val="FF0000"/>
                <w:kern w:val="21"/>
                <w:szCs w:val="21"/>
              </w:rPr>
            </w:pPr>
            <w:r>
              <w:rPr>
                <w:rFonts w:hint="eastAsia" w:ascii="Times New Roman" w:hAnsi="Times New Roman" w:cs="Times New Roman"/>
                <w:szCs w:val="21"/>
                <w:lang w:val="en-US" w:eastAsia="zh-CN"/>
              </w:rPr>
              <w:t>+1.2</w:t>
            </w:r>
            <w:r>
              <w:rPr>
                <w:rFonts w:hint="eastAsia" w:ascii="Times New Roman" w:hAnsi="Times New Roman" w:cs="Times New Roman"/>
                <w:szCs w:val="21"/>
              </w:rPr>
              <w:t>t/a</w:t>
            </w:r>
          </w:p>
        </w:tc>
      </w:tr>
      <w:tr w14:paraId="5D16207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470" w:type="pct"/>
            <w:vMerge w:val="continue"/>
            <w:noWrap w:val="0"/>
            <w:vAlign w:val="center"/>
          </w:tcPr>
          <w:p w14:paraId="7816B019">
            <w:pPr>
              <w:pStyle w:val="26"/>
              <w:spacing w:beforeLines="0" w:afterLines="0" w:line="240" w:lineRule="auto"/>
              <w:rPr>
                <w:rFonts w:ascii="Times New Roman"/>
                <w:snapToGrid w:val="0"/>
                <w:color w:val="000000"/>
                <w:kern w:val="21"/>
                <w:sz w:val="21"/>
                <w:szCs w:val="21"/>
              </w:rPr>
            </w:pPr>
          </w:p>
        </w:tc>
        <w:tc>
          <w:tcPr>
            <w:tcW w:w="590" w:type="pct"/>
            <w:noWrap w:val="0"/>
            <w:vAlign w:val="center"/>
          </w:tcPr>
          <w:p w14:paraId="44D68985">
            <w:pPr>
              <w:pStyle w:val="34"/>
              <w:spacing w:line="240" w:lineRule="auto"/>
              <w:ind w:firstLine="0"/>
              <w:jc w:val="center"/>
              <w:rPr>
                <w:snapToGrid w:val="0"/>
                <w:color w:val="000000"/>
                <w:kern w:val="21"/>
                <w:szCs w:val="21"/>
                <w:lang w:val="en-US"/>
              </w:rPr>
            </w:pPr>
            <w:r>
              <w:rPr>
                <w:rFonts w:hint="eastAsia" w:ascii="Times New Roman"/>
                <w:sz w:val="21"/>
                <w:szCs w:val="21"/>
                <w:lang w:eastAsia="zh-CN"/>
              </w:rPr>
              <w:t>废药品</w:t>
            </w:r>
          </w:p>
        </w:tc>
        <w:tc>
          <w:tcPr>
            <w:tcW w:w="596" w:type="pct"/>
            <w:noWrap w:val="0"/>
            <w:vAlign w:val="center"/>
          </w:tcPr>
          <w:p w14:paraId="0EB281A1">
            <w:pPr>
              <w:pStyle w:val="34"/>
              <w:spacing w:line="240" w:lineRule="auto"/>
              <w:ind w:firstLine="0"/>
              <w:jc w:val="center"/>
              <w:rPr>
                <w:rFonts w:hint="eastAsia"/>
                <w:snapToGrid w:val="0"/>
                <w:color w:val="000000"/>
                <w:kern w:val="21"/>
                <w:szCs w:val="21"/>
              </w:rPr>
            </w:pPr>
            <w:r>
              <w:rPr>
                <w:rFonts w:hint="eastAsia"/>
                <w:szCs w:val="21"/>
                <w:lang w:val="en-US"/>
              </w:rPr>
              <w:t>/</w:t>
            </w:r>
          </w:p>
        </w:tc>
        <w:tc>
          <w:tcPr>
            <w:tcW w:w="455" w:type="pct"/>
            <w:noWrap w:val="0"/>
            <w:vAlign w:val="center"/>
          </w:tcPr>
          <w:p w14:paraId="0C4B0E5F">
            <w:pPr>
              <w:jc w:val="center"/>
              <w:rPr>
                <w:snapToGrid w:val="0"/>
                <w:color w:val="000000"/>
                <w:kern w:val="21"/>
                <w:szCs w:val="21"/>
              </w:rPr>
            </w:pPr>
            <w:r>
              <w:rPr>
                <w:snapToGrid w:val="0"/>
                <w:color w:val="000000"/>
                <w:kern w:val="21"/>
                <w:szCs w:val="21"/>
              </w:rPr>
              <w:t>/</w:t>
            </w:r>
          </w:p>
        </w:tc>
        <w:tc>
          <w:tcPr>
            <w:tcW w:w="574" w:type="pct"/>
            <w:noWrap w:val="0"/>
            <w:vAlign w:val="center"/>
          </w:tcPr>
          <w:p w14:paraId="7DE49D0A">
            <w:pPr>
              <w:jc w:val="center"/>
              <w:rPr>
                <w:snapToGrid w:val="0"/>
                <w:color w:val="000000"/>
                <w:kern w:val="21"/>
                <w:szCs w:val="21"/>
              </w:rPr>
            </w:pPr>
            <w:r>
              <w:rPr>
                <w:snapToGrid w:val="0"/>
                <w:color w:val="000000"/>
                <w:kern w:val="21"/>
                <w:szCs w:val="21"/>
              </w:rPr>
              <w:t>/</w:t>
            </w:r>
          </w:p>
        </w:tc>
        <w:tc>
          <w:tcPr>
            <w:tcW w:w="596" w:type="pct"/>
            <w:noWrap w:val="0"/>
            <w:vAlign w:val="center"/>
          </w:tcPr>
          <w:p w14:paraId="0FA453EB">
            <w:pPr>
              <w:pStyle w:val="33"/>
              <w:jc w:val="center"/>
              <w:rPr>
                <w:rFonts w:hint="eastAsia"/>
                <w:szCs w:val="21"/>
              </w:rPr>
            </w:pPr>
            <w:r>
              <w:rPr>
                <w:rFonts w:hint="eastAsia" w:ascii="Times New Roman" w:hAnsi="Times New Roman" w:cs="Times New Roman"/>
                <w:szCs w:val="21"/>
                <w:lang w:val="en-US" w:eastAsia="zh-CN"/>
              </w:rPr>
              <w:t>0.3</w:t>
            </w:r>
            <w:r>
              <w:rPr>
                <w:rFonts w:hint="eastAsia" w:ascii="Times New Roman" w:hAnsi="Times New Roman" w:cs="Times New Roman"/>
                <w:szCs w:val="21"/>
              </w:rPr>
              <w:t>t/a</w:t>
            </w:r>
          </w:p>
        </w:tc>
        <w:tc>
          <w:tcPr>
            <w:tcW w:w="635" w:type="pct"/>
            <w:noWrap w:val="0"/>
            <w:vAlign w:val="center"/>
          </w:tcPr>
          <w:p w14:paraId="74E28454">
            <w:pPr>
              <w:adjustRightInd w:val="0"/>
              <w:jc w:val="center"/>
              <w:rPr>
                <w:rFonts w:hint="eastAsia"/>
                <w:snapToGrid w:val="0"/>
                <w:kern w:val="21"/>
                <w:szCs w:val="21"/>
              </w:rPr>
            </w:pPr>
            <w:r>
              <w:rPr>
                <w:rFonts w:hint="eastAsia"/>
                <w:snapToGrid w:val="0"/>
                <w:kern w:val="21"/>
                <w:szCs w:val="21"/>
              </w:rPr>
              <w:t>/</w:t>
            </w:r>
          </w:p>
        </w:tc>
        <w:tc>
          <w:tcPr>
            <w:tcW w:w="1475" w:type="dxa"/>
            <w:noWrap w:val="0"/>
            <w:vAlign w:val="center"/>
          </w:tcPr>
          <w:p w14:paraId="5E0F89BE">
            <w:pPr>
              <w:pStyle w:val="33"/>
              <w:jc w:val="center"/>
              <w:rPr>
                <w:rFonts w:hint="eastAsia"/>
                <w:color w:val="FF0000"/>
                <w:szCs w:val="21"/>
              </w:rPr>
            </w:pPr>
            <w:r>
              <w:rPr>
                <w:rFonts w:hint="eastAsia" w:ascii="Times New Roman" w:hAnsi="Times New Roman" w:cs="Times New Roman"/>
                <w:szCs w:val="21"/>
                <w:lang w:val="en-US" w:eastAsia="zh-CN"/>
              </w:rPr>
              <w:t>0.3</w:t>
            </w:r>
            <w:r>
              <w:rPr>
                <w:rFonts w:hint="eastAsia" w:ascii="Times New Roman" w:hAnsi="Times New Roman" w:cs="Times New Roman"/>
                <w:szCs w:val="21"/>
              </w:rPr>
              <w:t>t/a</w:t>
            </w:r>
          </w:p>
        </w:tc>
        <w:tc>
          <w:tcPr>
            <w:tcW w:w="1437" w:type="dxa"/>
            <w:noWrap w:val="0"/>
            <w:vAlign w:val="center"/>
          </w:tcPr>
          <w:p w14:paraId="701E674A">
            <w:pPr>
              <w:pStyle w:val="33"/>
              <w:jc w:val="center"/>
              <w:rPr>
                <w:rFonts w:hint="eastAsia"/>
                <w:color w:val="FF0000"/>
                <w:szCs w:val="21"/>
              </w:rPr>
            </w:pPr>
            <w:r>
              <w:rPr>
                <w:rFonts w:hint="eastAsia" w:ascii="Times New Roman" w:hAnsi="Times New Roman" w:cs="Times New Roman"/>
                <w:szCs w:val="21"/>
                <w:lang w:val="en-US" w:eastAsia="zh-CN"/>
              </w:rPr>
              <w:t>+0.3</w:t>
            </w:r>
            <w:r>
              <w:rPr>
                <w:rFonts w:hint="eastAsia" w:ascii="Times New Roman" w:hAnsi="Times New Roman" w:cs="Times New Roman"/>
                <w:szCs w:val="21"/>
              </w:rPr>
              <w:t>t/a</w:t>
            </w:r>
          </w:p>
        </w:tc>
      </w:tr>
      <w:tr w14:paraId="703F33F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470" w:type="pct"/>
            <w:vMerge w:val="continue"/>
            <w:noWrap w:val="0"/>
            <w:vAlign w:val="center"/>
          </w:tcPr>
          <w:p w14:paraId="72638EAE">
            <w:pPr>
              <w:pStyle w:val="26"/>
              <w:spacing w:beforeLines="0" w:afterLines="0" w:line="240" w:lineRule="auto"/>
              <w:rPr>
                <w:rFonts w:ascii="Times New Roman"/>
                <w:snapToGrid w:val="0"/>
                <w:color w:val="000000"/>
                <w:kern w:val="21"/>
                <w:sz w:val="21"/>
                <w:szCs w:val="21"/>
              </w:rPr>
            </w:pPr>
          </w:p>
        </w:tc>
        <w:tc>
          <w:tcPr>
            <w:tcW w:w="590" w:type="pct"/>
            <w:noWrap w:val="0"/>
            <w:vAlign w:val="center"/>
          </w:tcPr>
          <w:p w14:paraId="5B36BE11">
            <w:pPr>
              <w:pStyle w:val="34"/>
              <w:spacing w:line="240" w:lineRule="auto"/>
              <w:ind w:firstLine="0"/>
              <w:jc w:val="center"/>
              <w:rPr>
                <w:rFonts w:hint="eastAsia" w:eastAsia="宋体"/>
                <w:snapToGrid w:val="0"/>
                <w:color w:val="000000"/>
                <w:kern w:val="21"/>
                <w:szCs w:val="21"/>
                <w:lang w:eastAsia="zh-CN"/>
              </w:rPr>
            </w:pPr>
            <w:r>
              <w:rPr>
                <w:rFonts w:hint="eastAsia"/>
                <w:szCs w:val="21"/>
                <w:lang w:val="en-US" w:eastAsia="zh-CN" w:bidi="ar"/>
              </w:rPr>
              <w:t>医疗废物</w:t>
            </w:r>
          </w:p>
        </w:tc>
        <w:tc>
          <w:tcPr>
            <w:tcW w:w="596" w:type="pct"/>
            <w:noWrap w:val="0"/>
            <w:vAlign w:val="center"/>
          </w:tcPr>
          <w:p w14:paraId="130DD654">
            <w:pPr>
              <w:pStyle w:val="34"/>
              <w:spacing w:line="240" w:lineRule="auto"/>
              <w:ind w:firstLine="0"/>
              <w:jc w:val="center"/>
              <w:rPr>
                <w:rFonts w:hint="eastAsia"/>
                <w:snapToGrid w:val="0"/>
                <w:color w:val="000000"/>
                <w:kern w:val="21"/>
                <w:szCs w:val="21"/>
              </w:rPr>
            </w:pPr>
            <w:r>
              <w:rPr>
                <w:rFonts w:hint="eastAsia"/>
                <w:szCs w:val="21"/>
                <w:lang w:val="en-US"/>
              </w:rPr>
              <w:t>/</w:t>
            </w:r>
          </w:p>
        </w:tc>
        <w:tc>
          <w:tcPr>
            <w:tcW w:w="455" w:type="pct"/>
            <w:noWrap w:val="0"/>
            <w:vAlign w:val="center"/>
          </w:tcPr>
          <w:p w14:paraId="1A75BE68">
            <w:pPr>
              <w:jc w:val="center"/>
              <w:rPr>
                <w:snapToGrid w:val="0"/>
                <w:color w:val="000000"/>
                <w:kern w:val="21"/>
                <w:szCs w:val="21"/>
              </w:rPr>
            </w:pPr>
            <w:r>
              <w:rPr>
                <w:snapToGrid w:val="0"/>
                <w:color w:val="000000"/>
                <w:kern w:val="21"/>
                <w:szCs w:val="21"/>
              </w:rPr>
              <w:t>/</w:t>
            </w:r>
          </w:p>
        </w:tc>
        <w:tc>
          <w:tcPr>
            <w:tcW w:w="574" w:type="pct"/>
            <w:noWrap w:val="0"/>
            <w:vAlign w:val="center"/>
          </w:tcPr>
          <w:p w14:paraId="2FE0B3E8">
            <w:pPr>
              <w:jc w:val="center"/>
              <w:rPr>
                <w:snapToGrid w:val="0"/>
                <w:color w:val="000000"/>
                <w:kern w:val="21"/>
                <w:szCs w:val="21"/>
              </w:rPr>
            </w:pPr>
            <w:r>
              <w:rPr>
                <w:snapToGrid w:val="0"/>
                <w:color w:val="000000"/>
                <w:kern w:val="21"/>
                <w:szCs w:val="21"/>
              </w:rPr>
              <w:t>/</w:t>
            </w:r>
          </w:p>
        </w:tc>
        <w:tc>
          <w:tcPr>
            <w:tcW w:w="596" w:type="pct"/>
            <w:noWrap w:val="0"/>
            <w:vAlign w:val="center"/>
          </w:tcPr>
          <w:p w14:paraId="7839A694">
            <w:pPr>
              <w:pStyle w:val="33"/>
              <w:jc w:val="center"/>
              <w:rPr>
                <w:rFonts w:hint="eastAsia"/>
                <w:szCs w:val="21"/>
              </w:rPr>
            </w:pPr>
            <w:r>
              <w:rPr>
                <w:rFonts w:hint="eastAsia" w:ascii="Times New Roman" w:hAnsi="Times New Roman" w:cs="Times New Roman"/>
                <w:szCs w:val="21"/>
                <w:lang w:val="en-US" w:eastAsia="zh-CN"/>
              </w:rPr>
              <w:t>45.625</w:t>
            </w:r>
            <w:r>
              <w:rPr>
                <w:rFonts w:hint="eastAsia" w:ascii="Times New Roman" w:hAnsi="Times New Roman" w:cs="Times New Roman"/>
                <w:szCs w:val="21"/>
              </w:rPr>
              <w:t>t/a</w:t>
            </w:r>
          </w:p>
        </w:tc>
        <w:tc>
          <w:tcPr>
            <w:tcW w:w="635" w:type="pct"/>
            <w:noWrap w:val="0"/>
            <w:vAlign w:val="center"/>
          </w:tcPr>
          <w:p w14:paraId="6C5C6358">
            <w:pPr>
              <w:adjustRightInd w:val="0"/>
              <w:jc w:val="center"/>
              <w:rPr>
                <w:rFonts w:hint="eastAsia"/>
                <w:snapToGrid w:val="0"/>
                <w:kern w:val="21"/>
                <w:szCs w:val="21"/>
              </w:rPr>
            </w:pPr>
            <w:r>
              <w:rPr>
                <w:rFonts w:hint="eastAsia"/>
                <w:snapToGrid w:val="0"/>
                <w:kern w:val="21"/>
                <w:szCs w:val="21"/>
              </w:rPr>
              <w:t>/</w:t>
            </w:r>
          </w:p>
        </w:tc>
        <w:tc>
          <w:tcPr>
            <w:tcW w:w="1475" w:type="dxa"/>
            <w:noWrap w:val="0"/>
            <w:vAlign w:val="center"/>
          </w:tcPr>
          <w:p w14:paraId="17F947EE">
            <w:pPr>
              <w:pStyle w:val="33"/>
              <w:jc w:val="center"/>
              <w:rPr>
                <w:rFonts w:hint="eastAsia"/>
                <w:color w:val="FF0000"/>
                <w:szCs w:val="21"/>
              </w:rPr>
            </w:pPr>
            <w:r>
              <w:rPr>
                <w:rFonts w:hint="eastAsia" w:ascii="Times New Roman" w:hAnsi="Times New Roman" w:cs="Times New Roman"/>
                <w:szCs w:val="21"/>
                <w:lang w:val="en-US" w:eastAsia="zh-CN"/>
              </w:rPr>
              <w:t>45.625</w:t>
            </w:r>
            <w:r>
              <w:rPr>
                <w:rFonts w:hint="eastAsia" w:ascii="Times New Roman" w:hAnsi="Times New Roman" w:cs="Times New Roman"/>
                <w:szCs w:val="21"/>
              </w:rPr>
              <w:t>t/a</w:t>
            </w:r>
          </w:p>
        </w:tc>
        <w:tc>
          <w:tcPr>
            <w:tcW w:w="1437" w:type="dxa"/>
            <w:noWrap w:val="0"/>
            <w:vAlign w:val="center"/>
          </w:tcPr>
          <w:p w14:paraId="2C1C8120">
            <w:pPr>
              <w:pStyle w:val="33"/>
              <w:jc w:val="center"/>
              <w:rPr>
                <w:rFonts w:hint="eastAsia"/>
                <w:color w:val="FF0000"/>
                <w:szCs w:val="21"/>
              </w:rPr>
            </w:pPr>
            <w:r>
              <w:rPr>
                <w:rFonts w:hint="eastAsia" w:ascii="Times New Roman" w:hAnsi="Times New Roman" w:cs="Times New Roman"/>
                <w:szCs w:val="21"/>
                <w:lang w:val="en-US" w:eastAsia="zh-CN"/>
              </w:rPr>
              <w:t>+45.625</w:t>
            </w:r>
            <w:r>
              <w:rPr>
                <w:rFonts w:hint="eastAsia" w:ascii="Times New Roman" w:hAnsi="Times New Roman" w:cs="Times New Roman"/>
                <w:szCs w:val="21"/>
              </w:rPr>
              <w:t>t/a</w:t>
            </w:r>
          </w:p>
        </w:tc>
      </w:tr>
      <w:tr w14:paraId="5983802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70" w:type="pct"/>
            <w:vMerge w:val="continue"/>
            <w:noWrap w:val="0"/>
            <w:vAlign w:val="center"/>
          </w:tcPr>
          <w:p w14:paraId="3C6B3CF8">
            <w:pPr>
              <w:pStyle w:val="26"/>
              <w:spacing w:beforeLines="0" w:afterLines="0" w:line="240" w:lineRule="auto"/>
              <w:rPr>
                <w:rFonts w:ascii="Times New Roman"/>
                <w:snapToGrid w:val="0"/>
                <w:color w:val="000000"/>
                <w:kern w:val="21"/>
                <w:sz w:val="21"/>
                <w:szCs w:val="21"/>
              </w:rPr>
            </w:pPr>
          </w:p>
        </w:tc>
        <w:tc>
          <w:tcPr>
            <w:tcW w:w="590" w:type="pct"/>
            <w:noWrap w:val="0"/>
            <w:vAlign w:val="center"/>
          </w:tcPr>
          <w:p w14:paraId="30583F6C">
            <w:pPr>
              <w:jc w:val="center"/>
              <w:rPr>
                <w:rFonts w:hint="eastAsia" w:eastAsia="宋体"/>
                <w:snapToGrid w:val="0"/>
                <w:color w:val="000000"/>
                <w:kern w:val="21"/>
                <w:szCs w:val="21"/>
                <w:lang w:eastAsia="zh-CN"/>
              </w:rPr>
            </w:pPr>
            <w:r>
              <w:rPr>
                <w:rFonts w:hint="eastAsia"/>
                <w:szCs w:val="21"/>
                <w:lang w:eastAsia="zh-CN"/>
              </w:rPr>
              <w:t>栅渣</w:t>
            </w:r>
          </w:p>
        </w:tc>
        <w:tc>
          <w:tcPr>
            <w:tcW w:w="596" w:type="pct"/>
            <w:noWrap w:val="0"/>
            <w:vAlign w:val="center"/>
          </w:tcPr>
          <w:p w14:paraId="26CFAE1E">
            <w:pPr>
              <w:pStyle w:val="34"/>
              <w:spacing w:line="240" w:lineRule="auto"/>
              <w:ind w:firstLine="0"/>
              <w:jc w:val="center"/>
              <w:rPr>
                <w:rFonts w:hint="eastAsia"/>
                <w:snapToGrid w:val="0"/>
                <w:color w:val="000000"/>
                <w:kern w:val="21"/>
                <w:szCs w:val="21"/>
              </w:rPr>
            </w:pPr>
            <w:r>
              <w:rPr>
                <w:rFonts w:hint="eastAsia"/>
                <w:szCs w:val="21"/>
                <w:lang w:val="en-US"/>
              </w:rPr>
              <w:t>/</w:t>
            </w:r>
          </w:p>
        </w:tc>
        <w:tc>
          <w:tcPr>
            <w:tcW w:w="455" w:type="pct"/>
            <w:noWrap w:val="0"/>
            <w:vAlign w:val="center"/>
          </w:tcPr>
          <w:p w14:paraId="4A974698">
            <w:pPr>
              <w:jc w:val="center"/>
              <w:rPr>
                <w:rFonts w:hint="eastAsia"/>
                <w:snapToGrid w:val="0"/>
                <w:color w:val="000000"/>
                <w:kern w:val="21"/>
                <w:szCs w:val="21"/>
              </w:rPr>
            </w:pPr>
            <w:r>
              <w:rPr>
                <w:rFonts w:hint="eastAsia"/>
                <w:snapToGrid w:val="0"/>
                <w:color w:val="000000"/>
                <w:kern w:val="21"/>
                <w:szCs w:val="21"/>
              </w:rPr>
              <w:t>/</w:t>
            </w:r>
          </w:p>
        </w:tc>
        <w:tc>
          <w:tcPr>
            <w:tcW w:w="574" w:type="pct"/>
            <w:noWrap w:val="0"/>
            <w:vAlign w:val="center"/>
          </w:tcPr>
          <w:p w14:paraId="55A4F7A8">
            <w:pPr>
              <w:jc w:val="center"/>
              <w:rPr>
                <w:rFonts w:hint="eastAsia"/>
                <w:snapToGrid w:val="0"/>
                <w:color w:val="000000"/>
                <w:kern w:val="21"/>
                <w:szCs w:val="21"/>
              </w:rPr>
            </w:pPr>
            <w:r>
              <w:rPr>
                <w:rFonts w:hint="eastAsia"/>
                <w:snapToGrid w:val="0"/>
                <w:color w:val="000000"/>
                <w:kern w:val="21"/>
                <w:szCs w:val="21"/>
              </w:rPr>
              <w:t>/</w:t>
            </w:r>
          </w:p>
        </w:tc>
        <w:tc>
          <w:tcPr>
            <w:tcW w:w="596" w:type="pct"/>
            <w:noWrap w:val="0"/>
            <w:vAlign w:val="center"/>
          </w:tcPr>
          <w:p w14:paraId="2FAED36E">
            <w:pPr>
              <w:pStyle w:val="33"/>
              <w:jc w:val="center"/>
              <w:rPr>
                <w:szCs w:val="21"/>
              </w:rPr>
            </w:pPr>
            <w:r>
              <w:rPr>
                <w:rFonts w:hint="eastAsia" w:ascii="Times New Roman" w:hAnsi="Times New Roman" w:cs="Times New Roman"/>
                <w:szCs w:val="21"/>
                <w:lang w:val="en-US" w:eastAsia="zh-CN"/>
              </w:rPr>
              <w:t>1.294</w:t>
            </w:r>
            <w:r>
              <w:rPr>
                <w:rFonts w:hint="eastAsia" w:ascii="Times New Roman" w:hAnsi="Times New Roman" w:cs="Times New Roman"/>
                <w:szCs w:val="21"/>
              </w:rPr>
              <w:t>t/a</w:t>
            </w:r>
          </w:p>
        </w:tc>
        <w:tc>
          <w:tcPr>
            <w:tcW w:w="635" w:type="pct"/>
            <w:noWrap w:val="0"/>
            <w:vAlign w:val="center"/>
          </w:tcPr>
          <w:p w14:paraId="53870C89">
            <w:pPr>
              <w:adjustRightInd w:val="0"/>
              <w:jc w:val="center"/>
              <w:rPr>
                <w:rFonts w:hint="eastAsia"/>
                <w:snapToGrid w:val="0"/>
                <w:kern w:val="21"/>
                <w:szCs w:val="21"/>
              </w:rPr>
            </w:pPr>
            <w:r>
              <w:rPr>
                <w:rFonts w:hint="eastAsia"/>
                <w:snapToGrid w:val="0"/>
                <w:kern w:val="21"/>
                <w:szCs w:val="21"/>
              </w:rPr>
              <w:t>/</w:t>
            </w:r>
          </w:p>
        </w:tc>
        <w:tc>
          <w:tcPr>
            <w:tcW w:w="1475" w:type="dxa"/>
            <w:noWrap w:val="0"/>
            <w:vAlign w:val="center"/>
          </w:tcPr>
          <w:p w14:paraId="3C8C6262">
            <w:pPr>
              <w:pStyle w:val="33"/>
              <w:jc w:val="center"/>
              <w:rPr>
                <w:szCs w:val="21"/>
              </w:rPr>
            </w:pPr>
            <w:r>
              <w:rPr>
                <w:rFonts w:hint="eastAsia" w:ascii="Times New Roman" w:hAnsi="Times New Roman" w:cs="Times New Roman"/>
                <w:szCs w:val="21"/>
                <w:lang w:val="en-US" w:eastAsia="zh-CN"/>
              </w:rPr>
              <w:t>1.294</w:t>
            </w:r>
            <w:r>
              <w:rPr>
                <w:rFonts w:hint="eastAsia" w:ascii="Times New Roman" w:hAnsi="Times New Roman" w:cs="Times New Roman"/>
                <w:szCs w:val="21"/>
              </w:rPr>
              <w:t>t/a</w:t>
            </w:r>
          </w:p>
        </w:tc>
        <w:tc>
          <w:tcPr>
            <w:tcW w:w="1437" w:type="dxa"/>
            <w:noWrap w:val="0"/>
            <w:vAlign w:val="center"/>
          </w:tcPr>
          <w:p w14:paraId="43655C83">
            <w:pPr>
              <w:pStyle w:val="33"/>
              <w:jc w:val="center"/>
              <w:rPr>
                <w:szCs w:val="21"/>
              </w:rPr>
            </w:pPr>
            <w:r>
              <w:rPr>
                <w:rFonts w:hint="eastAsia" w:ascii="Times New Roman" w:hAnsi="Times New Roman" w:cs="Times New Roman"/>
                <w:szCs w:val="21"/>
                <w:lang w:val="en-US" w:eastAsia="zh-CN"/>
              </w:rPr>
              <w:t>+1.294</w:t>
            </w:r>
            <w:r>
              <w:rPr>
                <w:rFonts w:hint="eastAsia" w:ascii="Times New Roman" w:hAnsi="Times New Roman" w:cs="Times New Roman"/>
                <w:szCs w:val="21"/>
              </w:rPr>
              <w:t>t/a</w:t>
            </w:r>
          </w:p>
        </w:tc>
      </w:tr>
      <w:tr w14:paraId="6AA62EF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470" w:type="pct"/>
            <w:vMerge w:val="continue"/>
            <w:noWrap w:val="0"/>
            <w:vAlign w:val="center"/>
          </w:tcPr>
          <w:p w14:paraId="7F827683">
            <w:pPr>
              <w:pStyle w:val="26"/>
              <w:spacing w:beforeLines="0" w:afterLines="0" w:line="240" w:lineRule="auto"/>
              <w:rPr>
                <w:rFonts w:ascii="Times New Roman"/>
                <w:snapToGrid w:val="0"/>
                <w:color w:val="000000"/>
                <w:kern w:val="21"/>
                <w:szCs w:val="21"/>
              </w:rPr>
            </w:pPr>
          </w:p>
        </w:tc>
        <w:tc>
          <w:tcPr>
            <w:tcW w:w="590" w:type="pct"/>
            <w:noWrap w:val="0"/>
            <w:vAlign w:val="center"/>
          </w:tcPr>
          <w:p w14:paraId="19D56495">
            <w:pPr>
              <w:jc w:val="center"/>
              <w:rPr>
                <w:rFonts w:hint="eastAsia" w:eastAsia="宋体"/>
                <w:szCs w:val="21"/>
                <w:lang w:eastAsia="zh-CN"/>
              </w:rPr>
            </w:pPr>
            <w:r>
              <w:rPr>
                <w:rFonts w:hint="eastAsia"/>
                <w:szCs w:val="21"/>
                <w:lang w:eastAsia="zh-CN"/>
              </w:rPr>
              <w:t>检验废液</w:t>
            </w:r>
          </w:p>
        </w:tc>
        <w:tc>
          <w:tcPr>
            <w:tcW w:w="596" w:type="pct"/>
            <w:noWrap w:val="0"/>
            <w:vAlign w:val="center"/>
          </w:tcPr>
          <w:p w14:paraId="38B887FF">
            <w:pPr>
              <w:pStyle w:val="34"/>
              <w:spacing w:line="240" w:lineRule="auto"/>
              <w:ind w:firstLine="0" w:firstLineChars="0"/>
              <w:jc w:val="center"/>
              <w:rPr>
                <w:rFonts w:hint="default"/>
                <w:szCs w:val="21"/>
                <w:lang w:val="en-US" w:eastAsia="zh-CN"/>
              </w:rPr>
            </w:pPr>
            <w:r>
              <w:rPr>
                <w:rFonts w:hint="eastAsia"/>
                <w:szCs w:val="21"/>
                <w:lang w:val="en-US"/>
              </w:rPr>
              <w:t>/</w:t>
            </w:r>
          </w:p>
        </w:tc>
        <w:tc>
          <w:tcPr>
            <w:tcW w:w="455" w:type="pct"/>
            <w:noWrap w:val="0"/>
            <w:vAlign w:val="center"/>
          </w:tcPr>
          <w:p w14:paraId="55B47BE5">
            <w:pPr>
              <w:jc w:val="center"/>
              <w:rPr>
                <w:rFonts w:hint="default"/>
                <w:snapToGrid w:val="0"/>
                <w:color w:val="000000"/>
                <w:kern w:val="21"/>
                <w:szCs w:val="21"/>
                <w:lang w:val="en-US" w:eastAsia="zh-CN"/>
              </w:rPr>
            </w:pPr>
            <w:r>
              <w:rPr>
                <w:snapToGrid w:val="0"/>
                <w:color w:val="000000"/>
                <w:kern w:val="21"/>
                <w:szCs w:val="21"/>
              </w:rPr>
              <w:t>/</w:t>
            </w:r>
          </w:p>
        </w:tc>
        <w:tc>
          <w:tcPr>
            <w:tcW w:w="574" w:type="pct"/>
            <w:noWrap w:val="0"/>
            <w:vAlign w:val="center"/>
          </w:tcPr>
          <w:p w14:paraId="2DB44F98">
            <w:pPr>
              <w:jc w:val="center"/>
              <w:rPr>
                <w:rFonts w:hint="default"/>
                <w:snapToGrid w:val="0"/>
                <w:color w:val="000000"/>
                <w:kern w:val="21"/>
                <w:szCs w:val="21"/>
                <w:lang w:val="en-US" w:eastAsia="zh-CN"/>
              </w:rPr>
            </w:pPr>
            <w:r>
              <w:rPr>
                <w:snapToGrid w:val="0"/>
                <w:color w:val="000000"/>
                <w:kern w:val="21"/>
                <w:szCs w:val="21"/>
              </w:rPr>
              <w:t>/</w:t>
            </w:r>
          </w:p>
        </w:tc>
        <w:tc>
          <w:tcPr>
            <w:tcW w:w="596" w:type="pct"/>
            <w:noWrap w:val="0"/>
            <w:vAlign w:val="center"/>
          </w:tcPr>
          <w:p w14:paraId="1E96FE40">
            <w:pPr>
              <w:pStyle w:val="33"/>
              <w:jc w:val="center"/>
              <w:rPr>
                <w:rFonts w:hint="default" w:ascii="Times New Roman" w:hAnsi="Times New Roman" w:cs="Times New Roman"/>
                <w:szCs w:val="21"/>
                <w:lang w:val="en-US" w:eastAsia="zh-CN"/>
              </w:rPr>
            </w:pPr>
            <w:r>
              <w:rPr>
                <w:rFonts w:hint="eastAsia" w:ascii="Times New Roman" w:hAnsi="Times New Roman" w:cs="Times New Roman"/>
                <w:szCs w:val="21"/>
                <w:lang w:val="en-US" w:eastAsia="zh-CN"/>
              </w:rPr>
              <w:t>1.2</w:t>
            </w:r>
            <w:r>
              <w:rPr>
                <w:rFonts w:hint="eastAsia" w:ascii="Times New Roman" w:hAnsi="Times New Roman" w:cs="Times New Roman"/>
                <w:szCs w:val="21"/>
              </w:rPr>
              <w:t>t/a</w:t>
            </w:r>
          </w:p>
        </w:tc>
        <w:tc>
          <w:tcPr>
            <w:tcW w:w="635" w:type="pct"/>
            <w:noWrap w:val="0"/>
            <w:vAlign w:val="center"/>
          </w:tcPr>
          <w:p w14:paraId="675192FC">
            <w:pPr>
              <w:adjustRightInd w:val="0"/>
              <w:jc w:val="center"/>
              <w:rPr>
                <w:rFonts w:hint="default"/>
                <w:snapToGrid w:val="0"/>
                <w:color w:val="000000"/>
                <w:kern w:val="21"/>
                <w:szCs w:val="21"/>
                <w:lang w:val="en-US" w:eastAsia="zh-CN"/>
              </w:rPr>
            </w:pPr>
            <w:r>
              <w:rPr>
                <w:rFonts w:hint="eastAsia"/>
                <w:snapToGrid w:val="0"/>
                <w:color w:val="000000"/>
                <w:kern w:val="21"/>
                <w:szCs w:val="21"/>
                <w:lang w:val="en-US" w:eastAsia="zh-CN"/>
              </w:rPr>
              <w:t>/</w:t>
            </w:r>
          </w:p>
        </w:tc>
        <w:tc>
          <w:tcPr>
            <w:tcW w:w="1475" w:type="dxa"/>
            <w:noWrap w:val="0"/>
            <w:vAlign w:val="center"/>
          </w:tcPr>
          <w:p w14:paraId="19189819">
            <w:pPr>
              <w:pStyle w:val="33"/>
              <w:jc w:val="center"/>
              <w:rPr>
                <w:rFonts w:hint="eastAsia" w:ascii="Times New Roman" w:hAnsi="Times New Roman" w:cs="Times New Roman"/>
                <w:szCs w:val="21"/>
                <w:lang w:val="en-US" w:eastAsia="zh-CN"/>
              </w:rPr>
            </w:pPr>
            <w:r>
              <w:rPr>
                <w:rFonts w:hint="eastAsia" w:ascii="Times New Roman" w:hAnsi="Times New Roman" w:cs="Times New Roman"/>
                <w:szCs w:val="21"/>
                <w:lang w:val="en-US" w:eastAsia="zh-CN"/>
              </w:rPr>
              <w:t>1.2</w:t>
            </w:r>
            <w:r>
              <w:rPr>
                <w:rFonts w:hint="eastAsia" w:ascii="Times New Roman" w:hAnsi="Times New Roman" w:cs="Times New Roman"/>
                <w:szCs w:val="21"/>
              </w:rPr>
              <w:t>t/a</w:t>
            </w:r>
          </w:p>
        </w:tc>
        <w:tc>
          <w:tcPr>
            <w:tcW w:w="1437" w:type="dxa"/>
            <w:noWrap w:val="0"/>
            <w:vAlign w:val="center"/>
          </w:tcPr>
          <w:p w14:paraId="70B86B2F">
            <w:pPr>
              <w:pStyle w:val="33"/>
              <w:jc w:val="center"/>
              <w:rPr>
                <w:rFonts w:hint="eastAsia" w:ascii="Times New Roman" w:hAnsi="Times New Roman" w:cs="Times New Roman"/>
                <w:szCs w:val="21"/>
                <w:lang w:val="en-US" w:eastAsia="zh-CN"/>
              </w:rPr>
            </w:pPr>
            <w:r>
              <w:rPr>
                <w:rFonts w:hint="eastAsia" w:ascii="Times New Roman" w:hAnsi="Times New Roman" w:cs="Times New Roman"/>
                <w:szCs w:val="21"/>
                <w:lang w:val="en-US" w:eastAsia="zh-CN"/>
              </w:rPr>
              <w:t>+1.2</w:t>
            </w:r>
            <w:r>
              <w:rPr>
                <w:rFonts w:hint="eastAsia" w:ascii="Times New Roman" w:hAnsi="Times New Roman" w:cs="Times New Roman"/>
                <w:szCs w:val="21"/>
              </w:rPr>
              <w:t>t/a</w:t>
            </w:r>
          </w:p>
        </w:tc>
      </w:tr>
      <w:tr w14:paraId="06C8E79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470" w:type="pct"/>
            <w:vMerge w:val="continue"/>
            <w:noWrap w:val="0"/>
            <w:vAlign w:val="center"/>
          </w:tcPr>
          <w:p w14:paraId="6ABB0CB6">
            <w:pPr>
              <w:pStyle w:val="26"/>
              <w:spacing w:beforeLines="0" w:afterLines="0" w:line="240" w:lineRule="auto"/>
              <w:rPr>
                <w:rFonts w:ascii="Times New Roman"/>
                <w:snapToGrid w:val="0"/>
                <w:color w:val="000000"/>
                <w:kern w:val="21"/>
                <w:szCs w:val="21"/>
              </w:rPr>
            </w:pPr>
          </w:p>
        </w:tc>
        <w:tc>
          <w:tcPr>
            <w:tcW w:w="590" w:type="pct"/>
            <w:noWrap w:val="0"/>
            <w:vAlign w:val="center"/>
          </w:tcPr>
          <w:p w14:paraId="2879D448">
            <w:pPr>
              <w:jc w:val="center"/>
              <w:rPr>
                <w:rFonts w:hint="eastAsia"/>
                <w:szCs w:val="21"/>
                <w:lang w:eastAsia="zh-CN"/>
              </w:rPr>
            </w:pPr>
            <w:r>
              <w:rPr>
                <w:rFonts w:hint="eastAsia"/>
                <w:szCs w:val="21"/>
                <w:lang w:eastAsia="zh-CN"/>
              </w:rPr>
              <w:t>废活性炭</w:t>
            </w:r>
          </w:p>
        </w:tc>
        <w:tc>
          <w:tcPr>
            <w:tcW w:w="596" w:type="pct"/>
            <w:noWrap w:val="0"/>
            <w:vAlign w:val="center"/>
          </w:tcPr>
          <w:p w14:paraId="79709238">
            <w:pPr>
              <w:pStyle w:val="34"/>
              <w:spacing w:line="240" w:lineRule="auto"/>
              <w:ind w:firstLine="0" w:firstLineChars="0"/>
              <w:jc w:val="center"/>
              <w:rPr>
                <w:rFonts w:hint="eastAsia" w:eastAsia="宋体"/>
                <w:szCs w:val="21"/>
                <w:lang w:val="en-US" w:eastAsia="zh-CN"/>
              </w:rPr>
            </w:pPr>
            <w:r>
              <w:rPr>
                <w:rFonts w:hint="eastAsia"/>
                <w:szCs w:val="21"/>
                <w:lang w:val="en-US" w:eastAsia="zh-CN"/>
              </w:rPr>
              <w:t>/</w:t>
            </w:r>
          </w:p>
        </w:tc>
        <w:tc>
          <w:tcPr>
            <w:tcW w:w="455" w:type="pct"/>
            <w:noWrap w:val="0"/>
            <w:vAlign w:val="center"/>
          </w:tcPr>
          <w:p w14:paraId="506B4D64">
            <w:pPr>
              <w:jc w:val="center"/>
              <w:rPr>
                <w:rFonts w:hint="eastAsia" w:eastAsia="宋体"/>
                <w:snapToGrid w:val="0"/>
                <w:color w:val="000000"/>
                <w:kern w:val="21"/>
                <w:szCs w:val="21"/>
                <w:lang w:val="en-US" w:eastAsia="zh-CN"/>
              </w:rPr>
            </w:pPr>
            <w:r>
              <w:rPr>
                <w:rFonts w:hint="eastAsia"/>
                <w:snapToGrid w:val="0"/>
                <w:color w:val="000000"/>
                <w:kern w:val="21"/>
                <w:szCs w:val="21"/>
                <w:lang w:val="en-US" w:eastAsia="zh-CN"/>
              </w:rPr>
              <w:t>/</w:t>
            </w:r>
          </w:p>
        </w:tc>
        <w:tc>
          <w:tcPr>
            <w:tcW w:w="574" w:type="pct"/>
            <w:noWrap w:val="0"/>
            <w:vAlign w:val="center"/>
          </w:tcPr>
          <w:p w14:paraId="37889ADB">
            <w:pPr>
              <w:jc w:val="center"/>
              <w:rPr>
                <w:rFonts w:hint="eastAsia" w:eastAsia="宋体"/>
                <w:snapToGrid w:val="0"/>
                <w:color w:val="000000"/>
                <w:kern w:val="21"/>
                <w:szCs w:val="21"/>
                <w:lang w:val="en-US" w:eastAsia="zh-CN"/>
              </w:rPr>
            </w:pPr>
            <w:r>
              <w:rPr>
                <w:rFonts w:hint="eastAsia"/>
                <w:snapToGrid w:val="0"/>
                <w:color w:val="000000"/>
                <w:kern w:val="21"/>
                <w:szCs w:val="21"/>
                <w:lang w:val="en-US" w:eastAsia="zh-CN"/>
              </w:rPr>
              <w:t>/</w:t>
            </w:r>
          </w:p>
        </w:tc>
        <w:tc>
          <w:tcPr>
            <w:tcW w:w="596" w:type="pct"/>
            <w:noWrap w:val="0"/>
            <w:vAlign w:val="center"/>
          </w:tcPr>
          <w:p w14:paraId="16835280">
            <w:pPr>
              <w:pStyle w:val="33"/>
              <w:jc w:val="center"/>
              <w:rPr>
                <w:rFonts w:hint="default" w:ascii="Times New Roman" w:hAnsi="Times New Roman" w:cs="Times New Roman"/>
                <w:szCs w:val="21"/>
                <w:lang w:val="en-US" w:eastAsia="zh-CN"/>
              </w:rPr>
            </w:pPr>
            <w:r>
              <w:rPr>
                <w:rFonts w:hint="eastAsia" w:ascii="Times New Roman" w:hAnsi="Times New Roman" w:cs="Times New Roman"/>
                <w:szCs w:val="21"/>
                <w:lang w:val="en-US" w:eastAsia="zh-CN"/>
              </w:rPr>
              <w:t>0.012t/a</w:t>
            </w:r>
          </w:p>
        </w:tc>
        <w:tc>
          <w:tcPr>
            <w:tcW w:w="635" w:type="pct"/>
            <w:noWrap w:val="0"/>
            <w:vAlign w:val="center"/>
          </w:tcPr>
          <w:p w14:paraId="0C102542">
            <w:pPr>
              <w:adjustRightInd w:val="0"/>
              <w:jc w:val="center"/>
              <w:rPr>
                <w:rFonts w:hint="default"/>
                <w:snapToGrid w:val="0"/>
                <w:color w:val="000000"/>
                <w:kern w:val="21"/>
                <w:szCs w:val="21"/>
                <w:lang w:val="en-US" w:eastAsia="zh-CN"/>
              </w:rPr>
            </w:pPr>
            <w:r>
              <w:rPr>
                <w:rFonts w:hint="eastAsia"/>
                <w:snapToGrid w:val="0"/>
                <w:color w:val="000000"/>
                <w:kern w:val="21"/>
                <w:szCs w:val="21"/>
                <w:lang w:val="en-US" w:eastAsia="zh-CN"/>
              </w:rPr>
              <w:t>/</w:t>
            </w:r>
          </w:p>
        </w:tc>
        <w:tc>
          <w:tcPr>
            <w:tcW w:w="1475" w:type="dxa"/>
            <w:noWrap w:val="0"/>
            <w:vAlign w:val="center"/>
          </w:tcPr>
          <w:p w14:paraId="591C3A56">
            <w:pPr>
              <w:pStyle w:val="33"/>
              <w:jc w:val="center"/>
              <w:rPr>
                <w:rFonts w:hint="eastAsia" w:ascii="Times New Roman" w:hAnsi="Times New Roman" w:cs="Times New Roman"/>
                <w:szCs w:val="21"/>
                <w:lang w:val="en-US" w:eastAsia="zh-CN"/>
              </w:rPr>
            </w:pPr>
            <w:r>
              <w:rPr>
                <w:rFonts w:hint="eastAsia" w:ascii="Times New Roman" w:hAnsi="Times New Roman" w:cs="Times New Roman"/>
                <w:szCs w:val="21"/>
                <w:lang w:val="en-US" w:eastAsia="zh-CN"/>
              </w:rPr>
              <w:t>0.012t/a</w:t>
            </w:r>
          </w:p>
        </w:tc>
        <w:tc>
          <w:tcPr>
            <w:tcW w:w="1437" w:type="dxa"/>
            <w:noWrap w:val="0"/>
            <w:vAlign w:val="center"/>
          </w:tcPr>
          <w:p w14:paraId="29DB52FE">
            <w:pPr>
              <w:pStyle w:val="33"/>
              <w:jc w:val="center"/>
              <w:rPr>
                <w:rFonts w:hint="eastAsia" w:ascii="Times New Roman" w:hAnsi="Times New Roman" w:cs="Times New Roman"/>
                <w:szCs w:val="21"/>
                <w:lang w:val="en-US" w:eastAsia="zh-CN"/>
              </w:rPr>
            </w:pPr>
            <w:r>
              <w:rPr>
                <w:rFonts w:hint="eastAsia" w:ascii="Times New Roman" w:hAnsi="Times New Roman" w:cs="Times New Roman"/>
                <w:szCs w:val="21"/>
                <w:lang w:val="en-US" w:eastAsia="zh-CN"/>
              </w:rPr>
              <w:t>+0.012t/a</w:t>
            </w:r>
          </w:p>
        </w:tc>
      </w:tr>
    </w:tbl>
    <w:p w14:paraId="70989097">
      <w:r>
        <w:rPr>
          <w:rFonts w:hAnsi="宋体"/>
          <w:snapToGrid w:val="0"/>
          <w:color w:val="000000"/>
          <w:kern w:val="21"/>
          <w:sz w:val="24"/>
          <w:szCs w:val="24"/>
        </w:rPr>
        <w:t>注：</w:t>
      </w:r>
      <w:r>
        <w:rPr>
          <w:rFonts w:hAnsi="宋体"/>
          <w:snapToGrid w:val="0"/>
          <w:color w:val="000000"/>
          <w:spacing w:val="-16"/>
          <w:kern w:val="21"/>
          <w:sz w:val="24"/>
          <w:szCs w:val="24"/>
        </w:rPr>
        <w:fldChar w:fldCharType="begin"/>
      </w:r>
      <w:r>
        <w:rPr>
          <w:rFonts w:hAnsi="宋体"/>
          <w:snapToGrid w:val="0"/>
          <w:color w:val="000000"/>
          <w:spacing w:val="-16"/>
          <w:kern w:val="21"/>
          <w:sz w:val="24"/>
          <w:szCs w:val="24"/>
        </w:rPr>
        <w:instrText xml:space="preserve"> = 6 \* GB3 \* MERGEFORMAT </w:instrText>
      </w:r>
      <w:r>
        <w:rPr>
          <w:rFonts w:hAnsi="宋体"/>
          <w:snapToGrid w:val="0"/>
          <w:color w:val="000000"/>
          <w:spacing w:val="-16"/>
          <w:kern w:val="21"/>
          <w:sz w:val="24"/>
          <w:szCs w:val="24"/>
        </w:rPr>
        <w:fldChar w:fldCharType="separate"/>
      </w:r>
      <w:r>
        <w:rPr>
          <w:rFonts w:hint="eastAsia" w:hAnsi="宋体"/>
          <w:sz w:val="24"/>
          <w:szCs w:val="24"/>
        </w:rPr>
        <w:t>⑥</w:t>
      </w:r>
      <w:r>
        <w:rPr>
          <w:rFonts w:hAnsi="宋体"/>
          <w:snapToGrid w:val="0"/>
          <w:color w:val="000000"/>
          <w:spacing w:val="-16"/>
          <w:kern w:val="21"/>
          <w:sz w:val="24"/>
          <w:szCs w:val="24"/>
        </w:rPr>
        <w:fldChar w:fldCharType="end"/>
      </w:r>
      <w:r>
        <w:rPr>
          <w:rFonts w:hAnsi="宋体"/>
          <w:snapToGrid w:val="0"/>
          <w:color w:val="000000"/>
          <w:spacing w:val="-16"/>
          <w:kern w:val="21"/>
          <w:sz w:val="24"/>
          <w:szCs w:val="24"/>
        </w:rPr>
        <w:t>=</w:t>
      </w:r>
      <w:r>
        <w:rPr>
          <w:rFonts w:hAnsi="宋体"/>
          <w:snapToGrid w:val="0"/>
          <w:color w:val="000000"/>
          <w:spacing w:val="-6"/>
          <w:kern w:val="21"/>
          <w:sz w:val="24"/>
          <w:szCs w:val="24"/>
        </w:rPr>
        <w:fldChar w:fldCharType="begin"/>
      </w:r>
      <w:r>
        <w:rPr>
          <w:rFonts w:hAnsi="宋体"/>
          <w:snapToGrid w:val="0"/>
          <w:color w:val="000000"/>
          <w:spacing w:val="-6"/>
          <w:kern w:val="21"/>
          <w:sz w:val="24"/>
          <w:szCs w:val="24"/>
        </w:rPr>
        <w:instrText xml:space="preserve"> = 1 \* GB3 \* MERGEFORMAT </w:instrText>
      </w:r>
      <w:r>
        <w:rPr>
          <w:rFonts w:hAnsi="宋体"/>
          <w:snapToGrid w:val="0"/>
          <w:color w:val="000000"/>
          <w:spacing w:val="-6"/>
          <w:kern w:val="21"/>
          <w:sz w:val="24"/>
          <w:szCs w:val="24"/>
        </w:rPr>
        <w:fldChar w:fldCharType="separate"/>
      </w:r>
      <w:r>
        <w:rPr>
          <w:rFonts w:hint="eastAsia" w:hAnsi="宋体"/>
          <w:sz w:val="24"/>
          <w:szCs w:val="24"/>
        </w:rPr>
        <w:t>①</w:t>
      </w:r>
      <w:r>
        <w:rPr>
          <w:rFonts w:hAnsi="宋体"/>
          <w:snapToGrid w:val="0"/>
          <w:color w:val="000000"/>
          <w:spacing w:val="-6"/>
          <w:kern w:val="21"/>
          <w:sz w:val="24"/>
          <w:szCs w:val="24"/>
        </w:rPr>
        <w:fldChar w:fldCharType="end"/>
      </w:r>
      <w:r>
        <w:rPr>
          <w:rFonts w:hAnsi="宋体"/>
          <w:snapToGrid w:val="0"/>
          <w:color w:val="000000"/>
          <w:spacing w:val="-6"/>
          <w:kern w:val="21"/>
          <w:sz w:val="24"/>
          <w:szCs w:val="24"/>
        </w:rPr>
        <w:t>+</w:t>
      </w:r>
      <w:r>
        <w:rPr>
          <w:rFonts w:hAnsi="宋体"/>
          <w:snapToGrid w:val="0"/>
          <w:color w:val="000000"/>
          <w:spacing w:val="-6"/>
          <w:kern w:val="21"/>
          <w:sz w:val="24"/>
          <w:szCs w:val="24"/>
        </w:rPr>
        <w:fldChar w:fldCharType="begin"/>
      </w:r>
      <w:r>
        <w:rPr>
          <w:rFonts w:hAnsi="宋体"/>
          <w:snapToGrid w:val="0"/>
          <w:color w:val="000000"/>
          <w:spacing w:val="-6"/>
          <w:kern w:val="21"/>
          <w:sz w:val="24"/>
          <w:szCs w:val="24"/>
        </w:rPr>
        <w:instrText xml:space="preserve"> = 3 \* GB3 \* MERGEFORMAT </w:instrText>
      </w:r>
      <w:r>
        <w:rPr>
          <w:rFonts w:hAnsi="宋体"/>
          <w:snapToGrid w:val="0"/>
          <w:color w:val="000000"/>
          <w:spacing w:val="-6"/>
          <w:kern w:val="21"/>
          <w:sz w:val="24"/>
          <w:szCs w:val="24"/>
        </w:rPr>
        <w:fldChar w:fldCharType="separate"/>
      </w:r>
      <w:r>
        <w:rPr>
          <w:rFonts w:hint="eastAsia" w:hAnsi="宋体"/>
          <w:sz w:val="24"/>
          <w:szCs w:val="24"/>
        </w:rPr>
        <w:t>③</w:t>
      </w:r>
      <w:r>
        <w:rPr>
          <w:rFonts w:hAnsi="宋体"/>
          <w:snapToGrid w:val="0"/>
          <w:color w:val="000000"/>
          <w:spacing w:val="-6"/>
          <w:kern w:val="21"/>
          <w:sz w:val="24"/>
          <w:szCs w:val="24"/>
        </w:rPr>
        <w:fldChar w:fldCharType="end"/>
      </w:r>
      <w:r>
        <w:rPr>
          <w:rFonts w:hAnsi="宋体"/>
          <w:snapToGrid w:val="0"/>
          <w:color w:val="000000"/>
          <w:spacing w:val="-6"/>
          <w:kern w:val="21"/>
          <w:sz w:val="24"/>
          <w:szCs w:val="24"/>
        </w:rPr>
        <w:t>+</w:t>
      </w:r>
      <w:r>
        <w:rPr>
          <w:rFonts w:hAnsi="宋体"/>
          <w:snapToGrid w:val="0"/>
          <w:color w:val="000000"/>
          <w:spacing w:val="-6"/>
          <w:kern w:val="21"/>
          <w:sz w:val="24"/>
          <w:szCs w:val="24"/>
        </w:rPr>
        <w:fldChar w:fldCharType="begin"/>
      </w:r>
      <w:r>
        <w:rPr>
          <w:rFonts w:hAnsi="宋体"/>
          <w:snapToGrid w:val="0"/>
          <w:color w:val="000000"/>
          <w:spacing w:val="-6"/>
          <w:kern w:val="21"/>
          <w:sz w:val="24"/>
          <w:szCs w:val="24"/>
        </w:rPr>
        <w:instrText xml:space="preserve"> = 4 \* GB3 \* MERGEFORMAT </w:instrText>
      </w:r>
      <w:r>
        <w:rPr>
          <w:rFonts w:hAnsi="宋体"/>
          <w:snapToGrid w:val="0"/>
          <w:color w:val="000000"/>
          <w:spacing w:val="-6"/>
          <w:kern w:val="21"/>
          <w:sz w:val="24"/>
          <w:szCs w:val="24"/>
        </w:rPr>
        <w:fldChar w:fldCharType="separate"/>
      </w:r>
      <w:r>
        <w:rPr>
          <w:rFonts w:hint="eastAsia" w:hAnsi="宋体"/>
          <w:sz w:val="24"/>
          <w:szCs w:val="24"/>
        </w:rPr>
        <w:t>④</w:t>
      </w:r>
      <w:r>
        <w:rPr>
          <w:rFonts w:hAnsi="宋体"/>
          <w:snapToGrid w:val="0"/>
          <w:color w:val="000000"/>
          <w:spacing w:val="-6"/>
          <w:kern w:val="21"/>
          <w:sz w:val="24"/>
          <w:szCs w:val="24"/>
        </w:rPr>
        <w:fldChar w:fldCharType="end"/>
      </w:r>
      <w:r>
        <w:rPr>
          <w:rFonts w:hAnsi="宋体"/>
          <w:snapToGrid w:val="0"/>
          <w:color w:val="000000"/>
          <w:spacing w:val="-6"/>
          <w:kern w:val="21"/>
          <w:sz w:val="24"/>
          <w:szCs w:val="24"/>
        </w:rPr>
        <w:t>-</w:t>
      </w:r>
      <w:r>
        <w:rPr>
          <w:rFonts w:hAnsi="宋体"/>
          <w:snapToGrid w:val="0"/>
          <w:color w:val="000000"/>
          <w:spacing w:val="-16"/>
          <w:kern w:val="21"/>
          <w:sz w:val="24"/>
          <w:szCs w:val="24"/>
        </w:rPr>
        <w:fldChar w:fldCharType="begin"/>
      </w:r>
      <w:r>
        <w:rPr>
          <w:rFonts w:hAnsi="宋体"/>
          <w:snapToGrid w:val="0"/>
          <w:color w:val="000000"/>
          <w:spacing w:val="-16"/>
          <w:kern w:val="21"/>
          <w:sz w:val="24"/>
          <w:szCs w:val="24"/>
        </w:rPr>
        <w:instrText xml:space="preserve"> = 5 \* GB3 \* MERGEFORMAT </w:instrText>
      </w:r>
      <w:r>
        <w:rPr>
          <w:rFonts w:hAnsi="宋体"/>
          <w:snapToGrid w:val="0"/>
          <w:color w:val="000000"/>
          <w:spacing w:val="-16"/>
          <w:kern w:val="21"/>
          <w:sz w:val="24"/>
          <w:szCs w:val="24"/>
        </w:rPr>
        <w:fldChar w:fldCharType="separate"/>
      </w:r>
      <w:r>
        <w:rPr>
          <w:rFonts w:hint="eastAsia" w:hAnsi="宋体"/>
          <w:sz w:val="24"/>
          <w:szCs w:val="24"/>
        </w:rPr>
        <w:t>⑤</w:t>
      </w:r>
      <w:r>
        <w:rPr>
          <w:rFonts w:hAnsi="宋体"/>
          <w:snapToGrid w:val="0"/>
          <w:color w:val="000000"/>
          <w:spacing w:val="-16"/>
          <w:kern w:val="21"/>
          <w:sz w:val="24"/>
          <w:szCs w:val="24"/>
        </w:rPr>
        <w:fldChar w:fldCharType="end"/>
      </w:r>
      <w:r>
        <w:rPr>
          <w:rFonts w:hAnsi="宋体"/>
          <w:snapToGrid w:val="0"/>
          <w:color w:val="000000"/>
          <w:spacing w:val="-16"/>
          <w:kern w:val="21"/>
          <w:sz w:val="24"/>
          <w:szCs w:val="24"/>
        </w:rPr>
        <w:t>；</w:t>
      </w:r>
      <w:r>
        <w:rPr>
          <w:rFonts w:hAnsi="宋体"/>
          <w:snapToGrid w:val="0"/>
          <w:color w:val="000000"/>
          <w:spacing w:val="-6"/>
          <w:kern w:val="21"/>
          <w:sz w:val="24"/>
          <w:szCs w:val="24"/>
        </w:rPr>
        <w:fldChar w:fldCharType="begin"/>
      </w:r>
      <w:r>
        <w:rPr>
          <w:rFonts w:hAnsi="宋体"/>
          <w:snapToGrid w:val="0"/>
          <w:color w:val="000000"/>
          <w:spacing w:val="-6"/>
          <w:kern w:val="21"/>
          <w:sz w:val="24"/>
          <w:szCs w:val="24"/>
        </w:rPr>
        <w:instrText xml:space="preserve"> = 7 \* GB3 \* MERGEFORMAT </w:instrText>
      </w:r>
      <w:r>
        <w:rPr>
          <w:rFonts w:hAnsi="宋体"/>
          <w:snapToGrid w:val="0"/>
          <w:color w:val="000000"/>
          <w:spacing w:val="-6"/>
          <w:kern w:val="21"/>
          <w:sz w:val="24"/>
          <w:szCs w:val="24"/>
        </w:rPr>
        <w:fldChar w:fldCharType="separate"/>
      </w:r>
      <w:r>
        <w:rPr>
          <w:rFonts w:hint="eastAsia" w:hAnsi="宋体"/>
          <w:sz w:val="24"/>
          <w:szCs w:val="24"/>
        </w:rPr>
        <w:t>⑦</w:t>
      </w:r>
      <w:r>
        <w:rPr>
          <w:rFonts w:hAnsi="宋体"/>
          <w:snapToGrid w:val="0"/>
          <w:color w:val="000000"/>
          <w:spacing w:val="-6"/>
          <w:kern w:val="21"/>
          <w:sz w:val="24"/>
          <w:szCs w:val="24"/>
        </w:rPr>
        <w:fldChar w:fldCharType="end"/>
      </w:r>
      <w:r>
        <w:rPr>
          <w:rFonts w:hAnsi="宋体"/>
          <w:snapToGrid w:val="0"/>
          <w:color w:val="000000"/>
          <w:spacing w:val="-6"/>
          <w:kern w:val="21"/>
          <w:sz w:val="24"/>
          <w:szCs w:val="24"/>
        </w:rPr>
        <w:t>=</w:t>
      </w:r>
      <w:r>
        <w:rPr>
          <w:rFonts w:hAnsi="宋体"/>
          <w:snapToGrid w:val="0"/>
          <w:color w:val="000000"/>
          <w:spacing w:val="-16"/>
          <w:kern w:val="21"/>
          <w:sz w:val="24"/>
          <w:szCs w:val="24"/>
        </w:rPr>
        <w:fldChar w:fldCharType="begin"/>
      </w:r>
      <w:r>
        <w:rPr>
          <w:rFonts w:hAnsi="宋体"/>
          <w:snapToGrid w:val="0"/>
          <w:color w:val="000000"/>
          <w:spacing w:val="-16"/>
          <w:kern w:val="21"/>
          <w:sz w:val="24"/>
          <w:szCs w:val="24"/>
        </w:rPr>
        <w:instrText xml:space="preserve"> = 6 \* GB3 \* MERGEFORMAT </w:instrText>
      </w:r>
      <w:r>
        <w:rPr>
          <w:rFonts w:hAnsi="宋体"/>
          <w:snapToGrid w:val="0"/>
          <w:color w:val="000000"/>
          <w:spacing w:val="-16"/>
          <w:kern w:val="21"/>
          <w:sz w:val="24"/>
          <w:szCs w:val="24"/>
        </w:rPr>
        <w:fldChar w:fldCharType="separate"/>
      </w:r>
      <w:r>
        <w:rPr>
          <w:rFonts w:hint="eastAsia" w:hAnsi="宋体"/>
          <w:sz w:val="24"/>
          <w:szCs w:val="24"/>
        </w:rPr>
        <w:t>⑥</w:t>
      </w:r>
      <w:r>
        <w:rPr>
          <w:rFonts w:hAnsi="宋体"/>
          <w:snapToGrid w:val="0"/>
          <w:color w:val="000000"/>
          <w:spacing w:val="-16"/>
          <w:kern w:val="21"/>
          <w:sz w:val="24"/>
          <w:szCs w:val="24"/>
        </w:rPr>
        <w:fldChar w:fldCharType="end"/>
      </w:r>
      <w:r>
        <w:rPr>
          <w:rFonts w:hAnsi="宋体"/>
          <w:snapToGrid w:val="0"/>
          <w:color w:val="000000"/>
          <w:spacing w:val="-16"/>
          <w:kern w:val="21"/>
          <w:sz w:val="24"/>
          <w:szCs w:val="24"/>
        </w:rPr>
        <w:t>-</w:t>
      </w:r>
      <w:r>
        <w:rPr>
          <w:rFonts w:hAnsi="宋体"/>
          <w:snapToGrid w:val="0"/>
          <w:color w:val="000000"/>
          <w:spacing w:val="-6"/>
          <w:kern w:val="21"/>
          <w:sz w:val="24"/>
          <w:szCs w:val="24"/>
        </w:rPr>
        <w:fldChar w:fldCharType="begin"/>
      </w:r>
      <w:r>
        <w:rPr>
          <w:rFonts w:hAnsi="宋体"/>
          <w:snapToGrid w:val="0"/>
          <w:color w:val="000000"/>
          <w:spacing w:val="-6"/>
          <w:kern w:val="21"/>
          <w:sz w:val="24"/>
          <w:szCs w:val="24"/>
        </w:rPr>
        <w:instrText xml:space="preserve"> = 1 \* GB3 \* MERGEFORMAT </w:instrText>
      </w:r>
      <w:r>
        <w:rPr>
          <w:rFonts w:hAnsi="宋体"/>
          <w:snapToGrid w:val="0"/>
          <w:color w:val="000000"/>
          <w:spacing w:val="-6"/>
          <w:kern w:val="21"/>
          <w:sz w:val="24"/>
          <w:szCs w:val="24"/>
        </w:rPr>
        <w:fldChar w:fldCharType="separate"/>
      </w:r>
      <w:r>
        <w:rPr>
          <w:rFonts w:hint="eastAsia" w:hAnsi="宋体"/>
          <w:sz w:val="24"/>
          <w:szCs w:val="24"/>
        </w:rPr>
        <w:t>①</w:t>
      </w:r>
      <w:r>
        <w:rPr>
          <w:rFonts w:hAnsi="宋体"/>
          <w:snapToGrid w:val="0"/>
          <w:color w:val="000000"/>
          <w:spacing w:val="-6"/>
          <w:kern w:val="21"/>
          <w:sz w:val="24"/>
          <w:szCs w:val="24"/>
        </w:rPr>
        <w:fldChar w:fldCharType="end"/>
      </w:r>
    </w:p>
    <w:p w14:paraId="4CEFAE86"/>
    <w:p w14:paraId="6F895905"/>
    <w:p w14:paraId="112FB812"/>
    <w:p w14:paraId="0506096E"/>
    <w:sectPr>
      <w:footerReference r:id="rId7" w:type="default"/>
      <w:pgSz w:w="16838" w:h="11905" w:orient="landscape"/>
      <w:pgMar w:top="1531" w:right="1701" w:bottom="1531" w:left="2126" w:header="851" w:footer="850" w:gutter="0"/>
      <w:cols w:space="720" w:num="1"/>
      <w:rtlGutter w:val="0"/>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34"/>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B670BC24-D311-498D-81E0-5ED4BB7046DE}"/>
  </w:font>
  <w:font w:name="黑体">
    <w:panose1 w:val="02010609060101010101"/>
    <w:charset w:val="86"/>
    <w:family w:val="auto"/>
    <w:pitch w:val="default"/>
    <w:sig w:usb0="800002BF" w:usb1="38CF7CFA" w:usb2="00000016" w:usb3="00000000" w:csb0="00040001" w:csb1="00000000"/>
    <w:embedRegular r:id="rId2" w:fontKey="{F1F6E216-27CC-4F24-92A1-9713CB677831}"/>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2686A4A5-968B-4B36-BB91-C56B52F9BA5C}"/>
  </w:font>
  <w:font w:name="微软雅黑">
    <w:panose1 w:val="020B0503020204020204"/>
    <w:charset w:val="86"/>
    <w:family w:val="auto"/>
    <w:pitch w:val="default"/>
    <w:sig w:usb0="80000287" w:usb1="2ACF3C50" w:usb2="00000016" w:usb3="00000000" w:csb0="0004001F" w:csb1="00000000"/>
  </w:font>
  <w:font w:name="幼圆">
    <w:altName w:val="宋体"/>
    <w:panose1 w:val="02010509060101010101"/>
    <w:charset w:val="86"/>
    <w:family w:val="modern"/>
    <w:pitch w:val="default"/>
    <w:sig w:usb0="00000000" w:usb1="00000000" w:usb2="00000000" w:usb3="00000000" w:csb0="00040000" w:csb1="00000000"/>
  </w:font>
  <w:font w:name="仿宋_GB2312">
    <w:panose1 w:val="02010609030101010101"/>
    <w:charset w:val="86"/>
    <w:family w:val="modern"/>
    <w:pitch w:val="default"/>
    <w:sig w:usb0="00000001" w:usb1="080E0000" w:usb2="00000000" w:usb3="00000000" w:csb0="00040000" w:csb1="00000000"/>
    <w:embedRegular r:id="rId4" w:fontKey="{E8B585E8-3D0D-4034-8375-57F0004E01FD}"/>
  </w:font>
  <w:font w:name="方正小标宋简体">
    <w:panose1 w:val="02000000000000000000"/>
    <w:charset w:val="86"/>
    <w:family w:val="auto"/>
    <w:pitch w:val="default"/>
    <w:sig w:usb0="00000001" w:usb1="08000000" w:usb2="00000000" w:usb3="00000000" w:csb0="00040000" w:csb1="00000000"/>
    <w:embedRegular r:id="rId5" w:fontKey="{A9ECA4A3-6BE8-4FE1-9A51-98C8DF25C5BF}"/>
  </w:font>
  <w:font w:name="楷体_GB2312">
    <w:panose1 w:val="02010609030101010101"/>
    <w:charset w:val="86"/>
    <w:family w:val="modern"/>
    <w:pitch w:val="default"/>
    <w:sig w:usb0="00000001" w:usb1="080E0000" w:usb2="00000000" w:usb3="00000000" w:csb0="00040000" w:csb1="00000000"/>
    <w:embedRegular r:id="rId6" w:fontKey="{10181846-44DC-4737-BC9F-9B29005E7D81}"/>
  </w:font>
  <w:font w:name="仿宋">
    <w:panose1 w:val="02010609060101010101"/>
    <w:charset w:val="86"/>
    <w:family w:val="modern"/>
    <w:pitch w:val="default"/>
    <w:sig w:usb0="800002BF" w:usb1="38CF7CFA" w:usb2="00000016" w:usb3="00000000" w:csb0="00040001" w:csb1="00000000"/>
    <w:embedRegular r:id="rId7" w:fontKey="{80AAF2F8-F248-4C76-A96F-BF9C2B1EA435}"/>
  </w:font>
  <w:font w:name="MS Gothic">
    <w:panose1 w:val="020B0609070205080204"/>
    <w:charset w:val="80"/>
    <w:family w:val="modern"/>
    <w:pitch w:val="default"/>
    <w:sig w:usb0="E00002FF" w:usb1="6AC7FDFB" w:usb2="08000012" w:usb3="00000000" w:csb0="4002009F" w:csb1="DFD70000"/>
    <w:embedRegular r:id="rId8" w:fontKey="{07B2C899-5B2C-4249-BCA2-DCBDCA8B5717}"/>
  </w:font>
  <w:font w:name="Segoe UI">
    <w:panose1 w:val="020B0502040204020203"/>
    <w:charset w:val="00"/>
    <w:family w:val="auto"/>
    <w:pitch w:val="default"/>
    <w:sig w:usb0="E4002EFF" w:usb1="C000E47F" w:usb2="00000009" w:usb3="00000000" w:csb0="200001FF" w:csb1="00000000"/>
    <w:embedRegular r:id="rId9" w:fontKey="{9D6A9F3E-A809-4186-9D54-82DE43829027}"/>
  </w:font>
  <w:font w:name="Times">
    <w:altName w:val="Times New Roman"/>
    <w:panose1 w:val="02020603050405020304"/>
    <w:charset w:val="00"/>
    <w:family w:val="roman"/>
    <w:pitch w:val="default"/>
    <w:sig w:usb0="00000000" w:usb1="00000000" w:usb2="00000009" w:usb3="00000000" w:csb0="000001FF" w:csb1="00000000"/>
    <w:embedRegular r:id="rId10" w:fontKey="{1836FCE0-658E-423D-B3E5-50823D9EB752}"/>
  </w:font>
  <w:font w:name="新宋体">
    <w:panose1 w:val="02010609030101010101"/>
    <w:charset w:val="86"/>
    <w:family w:val="modern"/>
    <w:pitch w:val="default"/>
    <w:sig w:usb0="00000203" w:usb1="288F0000" w:usb2="00000006" w:usb3="00000000" w:csb0="00040001" w:csb1="00000000"/>
    <w:embedRegular r:id="rId11" w:fontKey="{BFBEEB66-2D5D-480E-9AD7-55DFFA14B83C}"/>
  </w:font>
  <w:font w:name="方正小标宋_GBK">
    <w:altName w:val="微软雅黑"/>
    <w:panose1 w:val="02000000000000000000"/>
    <w:charset w:val="86"/>
    <w:family w:val="script"/>
    <w:pitch w:val="default"/>
    <w:sig w:usb0="00000000" w:usb1="00000000" w:usb2="00082016" w:usb3="00000000" w:csb0="00040001" w:csb1="00000000"/>
    <w:embedRegular r:id="rId12" w:fontKey="{F7F1CEE2-8CB0-4BF9-891D-BB4D6785E2DE}"/>
  </w:font>
  <w:font w:name="WPSEMBED8">
    <w:panose1 w:val="02010609030101010101"/>
    <w:charset w:val="86"/>
    <w:family w:val="auto"/>
    <w:pitch w:val="default"/>
    <w:sig w:usb0="00000001" w:usb1="080E0000" w:usb2="00000000" w:usb3="00000000" w:csb0="00040000" w:csb1="00000000"/>
  </w:font>
  <w:font w:name="WPSEMBED9">
    <w:panose1 w:val="02010609030101010101"/>
    <w:charset w:val="86"/>
    <w:family w:val="auto"/>
    <w:pitch w:val="default"/>
    <w:sig w:usb0="00000001" w:usb1="080E0000" w:usb2="00000000" w:usb3="00000000" w:csb0="00040000" w:csb1="00000000"/>
  </w:font>
  <w:font w:name="MS PGothic">
    <w:panose1 w:val="020B0600070205080204"/>
    <w:charset w:val="80"/>
    <w:family w:val="auto"/>
    <w:pitch w:val="default"/>
    <w:sig w:usb0="E00002FF" w:usb1="6AC7FDFB" w:usb2="08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E5D0A6">
    <w:pPr>
      <w:pStyle w:val="9"/>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710B78">
    <w:pPr>
      <w:pStyle w:val="9"/>
      <w:framePr w:wrap="around" w:vAnchor="text" w:hAnchor="margin" w:xAlign="center" w:y="1"/>
      <w:rPr>
        <w:rStyle w:val="17"/>
      </w:rPr>
    </w:pPr>
    <w:r>
      <w:fldChar w:fldCharType="begin"/>
    </w:r>
    <w:r>
      <w:rPr>
        <w:rStyle w:val="17"/>
      </w:rPr>
      <w:instrText xml:space="preserve">PAGE  </w:instrText>
    </w:r>
    <w:r>
      <w:fldChar w:fldCharType="end"/>
    </w:r>
  </w:p>
  <w:p w14:paraId="450FA197">
    <w:pPr>
      <w:pStyle w:val="9"/>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B54C24">
    <w:pPr>
      <w:pStyle w:val="9"/>
      <w:ind w:right="360" w:firstLine="360"/>
      <w:jc w:val="cen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C1E1F8">
    <w:pPr>
      <w:pStyle w:val="9"/>
      <w:ind w:right="360" w:firstLine="360"/>
      <w:jc w:val="center"/>
    </w:pPr>
    <w:r>
      <mc:AlternateContent>
        <mc:Choice Requires="wps">
          <w:drawing>
            <wp:anchor distT="0" distB="0" distL="114300" distR="114300" simplePos="0" relativeHeight="251660288" behindDoc="0" locked="0" layoutInCell="1" allowOverlap="1">
              <wp:simplePos x="0" y="0"/>
              <wp:positionH relativeFrom="page">
                <wp:posOffset>3418840</wp:posOffset>
              </wp:positionH>
              <wp:positionV relativeFrom="paragraph">
                <wp:posOffset>-28575</wp:posOffset>
              </wp:positionV>
              <wp:extent cx="1828800" cy="1828800"/>
              <wp:effectExtent l="0" t="0" r="0" b="0"/>
              <wp:wrapNone/>
              <wp:docPr id="61" name="文本框 6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3A2A823">
                          <w:pPr>
                            <w:pStyle w:val="9"/>
                            <w:rPr>
                              <w:rStyle w:val="17"/>
                              <w:rFonts w:ascii="宋体" w:hAnsi="宋体"/>
                              <w:sz w:val="28"/>
                              <w:szCs w:val="28"/>
                            </w:rPr>
                          </w:pPr>
                          <w:r>
                            <w:rPr>
                              <w:rStyle w:val="17"/>
                              <w:rFonts w:hint="eastAsia" w:ascii="宋体" w:hAnsi="宋体"/>
                              <w:sz w:val="28"/>
                              <w:szCs w:val="28"/>
                            </w:rPr>
                            <w:t>—</w:t>
                          </w:r>
                          <w:r>
                            <w:rPr>
                              <w:rStyle w:val="17"/>
                              <w:rFonts w:hint="eastAsia" w:ascii="宋体" w:hAnsi="宋体"/>
                              <w:sz w:val="20"/>
                            </w:rPr>
                            <w:t xml:space="preserve">  </w:t>
                          </w:r>
                          <w:r>
                            <w:rPr>
                              <w:rFonts w:ascii="宋体" w:hAnsi="宋体"/>
                              <w:sz w:val="26"/>
                              <w:szCs w:val="26"/>
                            </w:rPr>
                            <w:fldChar w:fldCharType="begin"/>
                          </w:r>
                          <w:r>
                            <w:rPr>
                              <w:rStyle w:val="17"/>
                              <w:rFonts w:ascii="宋体" w:hAnsi="宋体"/>
                              <w:sz w:val="26"/>
                              <w:szCs w:val="26"/>
                            </w:rPr>
                            <w:instrText xml:space="preserve">PAGE  </w:instrText>
                          </w:r>
                          <w:r>
                            <w:rPr>
                              <w:rFonts w:ascii="宋体" w:hAnsi="宋体"/>
                              <w:sz w:val="26"/>
                              <w:szCs w:val="26"/>
                            </w:rPr>
                            <w:fldChar w:fldCharType="separate"/>
                          </w:r>
                          <w:r>
                            <w:rPr>
                              <w:rStyle w:val="17"/>
                              <w:rFonts w:ascii="宋体" w:hAnsi="宋体"/>
                              <w:sz w:val="26"/>
                              <w:szCs w:val="26"/>
                            </w:rPr>
                            <w:t>2</w:t>
                          </w:r>
                          <w:r>
                            <w:rPr>
                              <w:rFonts w:ascii="宋体" w:hAnsi="宋体"/>
                              <w:sz w:val="26"/>
                              <w:szCs w:val="26"/>
                            </w:rPr>
                            <w:fldChar w:fldCharType="end"/>
                          </w:r>
                          <w:r>
                            <w:rPr>
                              <w:rStyle w:val="17"/>
                              <w:rFonts w:hint="eastAsia" w:ascii="宋体" w:hAnsi="宋体"/>
                              <w:sz w:val="20"/>
                            </w:rPr>
                            <w:t xml:space="preserve">  </w:t>
                          </w:r>
                          <w:r>
                            <w:rPr>
                              <w:rStyle w:val="17"/>
                              <w:rFonts w:hint="eastAsia" w:ascii="宋体" w:hAnsi="宋体"/>
                              <w:sz w:val="28"/>
                              <w:szCs w:val="28"/>
                            </w:rPr>
                            <w:t>—</w:t>
                          </w:r>
                        </w:p>
                        <w:p w14:paraId="2EA0BC93"/>
                      </w:txbxContent>
                    </wps:txbx>
                    <wps:bodyPr wrap="none" lIns="0" tIns="0" rIns="0" bIns="0" upright="0">
                      <a:spAutoFit/>
                    </wps:bodyPr>
                  </wps:wsp>
                </a:graphicData>
              </a:graphic>
            </wp:anchor>
          </w:drawing>
        </mc:Choice>
        <mc:Fallback>
          <w:pict>
            <v:shape id="_x0000_s1026" o:spid="_x0000_s1026" o:spt="202" type="#_x0000_t202" style="position:absolute;left:0pt;margin-left:269.2pt;margin-top:-2.25pt;height:144pt;width:144pt;mso-position-horizontal-relative:page;mso-wrap-style:none;z-index:251660288;mso-width-relative:page;mso-height-relative:page;" filled="f" stroked="f" coordsize="21600,21600" o:gfxdata="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">
              <v:fill on="f" focussize="0,0"/>
              <v:stroke on="f"/>
              <v:imagedata o:title=""/>
              <o:lock v:ext="edit" aspectratio="f"/>
              <v:textbox inset="0mm,0mm,0mm,0mm" style="mso-fit-shape-to-text:t;">
                <w:txbxContent>
                  <w:p w14:paraId="03A2A823">
                    <w:pPr>
                      <w:pStyle w:val="9"/>
                      <w:rPr>
                        <w:rStyle w:val="17"/>
                        <w:rFonts w:ascii="宋体" w:hAnsi="宋体"/>
                        <w:sz w:val="28"/>
                        <w:szCs w:val="28"/>
                      </w:rPr>
                    </w:pPr>
                    <w:r>
                      <w:rPr>
                        <w:rStyle w:val="17"/>
                        <w:rFonts w:hint="eastAsia" w:ascii="宋体" w:hAnsi="宋体"/>
                        <w:sz w:val="28"/>
                        <w:szCs w:val="28"/>
                      </w:rPr>
                      <w:t>—</w:t>
                    </w:r>
                    <w:r>
                      <w:rPr>
                        <w:rStyle w:val="17"/>
                        <w:rFonts w:hint="eastAsia" w:ascii="宋体" w:hAnsi="宋体"/>
                        <w:sz w:val="20"/>
                      </w:rPr>
                      <w:t xml:space="preserve">  </w:t>
                    </w:r>
                    <w:r>
                      <w:rPr>
                        <w:rFonts w:ascii="宋体" w:hAnsi="宋体"/>
                        <w:sz w:val="26"/>
                        <w:szCs w:val="26"/>
                      </w:rPr>
                      <w:fldChar w:fldCharType="begin"/>
                    </w:r>
                    <w:r>
                      <w:rPr>
                        <w:rStyle w:val="17"/>
                        <w:rFonts w:ascii="宋体" w:hAnsi="宋体"/>
                        <w:sz w:val="26"/>
                        <w:szCs w:val="26"/>
                      </w:rPr>
                      <w:instrText xml:space="preserve">PAGE  </w:instrText>
                    </w:r>
                    <w:r>
                      <w:rPr>
                        <w:rFonts w:ascii="宋体" w:hAnsi="宋体"/>
                        <w:sz w:val="26"/>
                        <w:szCs w:val="26"/>
                      </w:rPr>
                      <w:fldChar w:fldCharType="separate"/>
                    </w:r>
                    <w:r>
                      <w:rPr>
                        <w:rStyle w:val="17"/>
                        <w:rFonts w:ascii="宋体" w:hAnsi="宋体"/>
                        <w:sz w:val="26"/>
                        <w:szCs w:val="26"/>
                      </w:rPr>
                      <w:t>2</w:t>
                    </w:r>
                    <w:r>
                      <w:rPr>
                        <w:rFonts w:ascii="宋体" w:hAnsi="宋体"/>
                        <w:sz w:val="26"/>
                        <w:szCs w:val="26"/>
                      </w:rPr>
                      <w:fldChar w:fldCharType="end"/>
                    </w:r>
                    <w:r>
                      <w:rPr>
                        <w:rStyle w:val="17"/>
                        <w:rFonts w:hint="eastAsia" w:ascii="宋体" w:hAnsi="宋体"/>
                        <w:sz w:val="20"/>
                      </w:rPr>
                      <w:t xml:space="preserve">  </w:t>
                    </w:r>
                    <w:r>
                      <w:rPr>
                        <w:rStyle w:val="17"/>
                        <w:rFonts w:hint="eastAsia" w:ascii="宋体" w:hAnsi="宋体"/>
                        <w:sz w:val="28"/>
                        <w:szCs w:val="28"/>
                      </w:rPr>
                      <w:t>—</w:t>
                    </w:r>
                  </w:p>
                  <w:p w14:paraId="2EA0BC93"/>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0C04B7">
    <w:pPr>
      <w:pStyle w:val="9"/>
      <w:ind w:right="360" w:firstLine="360"/>
      <w:jc w:val="center"/>
    </w:pPr>
    <w:r>
      <mc:AlternateContent>
        <mc:Choice Requires="wps">
          <w:drawing>
            <wp:anchor distT="0" distB="0" distL="114300" distR="114300" simplePos="0" relativeHeight="251659264" behindDoc="0" locked="0" layoutInCell="1" allowOverlap="1">
              <wp:simplePos x="0" y="0"/>
              <wp:positionH relativeFrom="page">
                <wp:posOffset>3418840</wp:posOffset>
              </wp:positionH>
              <wp:positionV relativeFrom="paragraph">
                <wp:posOffset>-28575</wp:posOffset>
              </wp:positionV>
              <wp:extent cx="1828800" cy="1828800"/>
              <wp:effectExtent l="0" t="0" r="0" b="0"/>
              <wp:wrapNone/>
              <wp:docPr id="39" name="文本框 3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38C5160">
                          <w:pPr>
                            <w:pStyle w:val="9"/>
                            <w:rPr>
                              <w:rStyle w:val="17"/>
                              <w:rFonts w:ascii="宋体" w:hAnsi="宋体"/>
                              <w:sz w:val="28"/>
                              <w:szCs w:val="28"/>
                            </w:rPr>
                          </w:pPr>
                          <w:r>
                            <w:rPr>
                              <w:rStyle w:val="17"/>
                              <w:rFonts w:hint="eastAsia" w:ascii="宋体" w:hAnsi="宋体"/>
                              <w:sz w:val="28"/>
                              <w:szCs w:val="28"/>
                            </w:rPr>
                            <w:t>—</w:t>
                          </w:r>
                          <w:r>
                            <w:rPr>
                              <w:rStyle w:val="17"/>
                              <w:rFonts w:hint="eastAsia" w:ascii="宋体" w:hAnsi="宋体"/>
                              <w:sz w:val="20"/>
                            </w:rPr>
                            <w:t xml:space="preserve">  </w:t>
                          </w:r>
                          <w:r>
                            <w:rPr>
                              <w:rFonts w:ascii="宋体" w:hAnsi="宋体"/>
                              <w:sz w:val="26"/>
                              <w:szCs w:val="26"/>
                            </w:rPr>
                            <w:fldChar w:fldCharType="begin"/>
                          </w:r>
                          <w:r>
                            <w:rPr>
                              <w:rStyle w:val="17"/>
                              <w:rFonts w:ascii="宋体" w:hAnsi="宋体"/>
                              <w:sz w:val="26"/>
                              <w:szCs w:val="26"/>
                            </w:rPr>
                            <w:instrText xml:space="preserve">PAGE  </w:instrText>
                          </w:r>
                          <w:r>
                            <w:rPr>
                              <w:rFonts w:ascii="宋体" w:hAnsi="宋体"/>
                              <w:sz w:val="26"/>
                              <w:szCs w:val="26"/>
                            </w:rPr>
                            <w:fldChar w:fldCharType="separate"/>
                          </w:r>
                          <w:r>
                            <w:rPr>
                              <w:rStyle w:val="17"/>
                              <w:rFonts w:ascii="宋体" w:hAnsi="宋体"/>
                              <w:sz w:val="26"/>
                              <w:szCs w:val="26"/>
                            </w:rPr>
                            <w:t>53</w:t>
                          </w:r>
                          <w:r>
                            <w:rPr>
                              <w:rFonts w:ascii="宋体" w:hAnsi="宋体"/>
                              <w:sz w:val="26"/>
                              <w:szCs w:val="26"/>
                            </w:rPr>
                            <w:fldChar w:fldCharType="end"/>
                          </w:r>
                          <w:r>
                            <w:rPr>
                              <w:rStyle w:val="17"/>
                              <w:rFonts w:hint="eastAsia" w:ascii="宋体" w:hAnsi="宋体"/>
                              <w:sz w:val="20"/>
                            </w:rPr>
                            <w:t xml:space="preserve">  </w:t>
                          </w:r>
                          <w:r>
                            <w:rPr>
                              <w:rStyle w:val="17"/>
                              <w:rFonts w:hint="eastAsia" w:ascii="宋体" w:hAnsi="宋体"/>
                              <w:sz w:val="28"/>
                              <w:szCs w:val="28"/>
                            </w:rPr>
                            <w:t>—</w:t>
                          </w:r>
                        </w:p>
                        <w:p w14:paraId="7B3A0D0F"/>
                      </w:txbxContent>
                    </wps:txbx>
                    <wps:bodyPr wrap="none" lIns="0" tIns="0" rIns="0" bIns="0" upright="0">
                      <a:spAutoFit/>
                    </wps:bodyPr>
                  </wps:wsp>
                </a:graphicData>
              </a:graphic>
            </wp:anchor>
          </w:drawing>
        </mc:Choice>
        <mc:Fallback>
          <w:pict>
            <v:shape id="_x0000_s1026" o:spid="_x0000_s1026" o:spt="202" type="#_x0000_t202" style="position:absolute;left:0pt;margin-left:269.2pt;margin-top:-2.25pt;height:144pt;width:144pt;mso-position-horizontal-relative:page;mso-wrap-style:none;z-index:251659264;mso-width-relative:page;mso-height-relative:page;" filled="f" stroked="f" coordsize="21600,21600" o:gfxdata="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BBccILXAAAACgEAAA8AAAAAAAAAAQAgAAAAIgAAAGRycy9k&#10;b3ducmV2LnhtbFBLAQIUABQAAAAIAIdO4kAhwYvAygEAAJsDAAAOAAAAAAAAAAEAIAAAACYBAABk&#10;cnMvZTJvRG9jLnhtbFBLBQYAAAAABgAGAFkBAABiBQAAAAA=&#10;">
              <v:fill on="f" focussize="0,0"/>
              <v:stroke on="f"/>
              <v:imagedata o:title=""/>
              <o:lock v:ext="edit" aspectratio="f"/>
              <v:textbox inset="0mm,0mm,0mm,0mm" style="mso-fit-shape-to-text:t;">
                <w:txbxContent>
                  <w:p w14:paraId="138C5160">
                    <w:pPr>
                      <w:pStyle w:val="9"/>
                      <w:rPr>
                        <w:rStyle w:val="17"/>
                        <w:rFonts w:ascii="宋体" w:hAnsi="宋体"/>
                        <w:sz w:val="28"/>
                        <w:szCs w:val="28"/>
                      </w:rPr>
                    </w:pPr>
                    <w:r>
                      <w:rPr>
                        <w:rStyle w:val="17"/>
                        <w:rFonts w:hint="eastAsia" w:ascii="宋体" w:hAnsi="宋体"/>
                        <w:sz w:val="28"/>
                        <w:szCs w:val="28"/>
                      </w:rPr>
                      <w:t>—</w:t>
                    </w:r>
                    <w:r>
                      <w:rPr>
                        <w:rStyle w:val="17"/>
                        <w:rFonts w:hint="eastAsia" w:ascii="宋体" w:hAnsi="宋体"/>
                        <w:sz w:val="20"/>
                      </w:rPr>
                      <w:t xml:space="preserve">  </w:t>
                    </w:r>
                    <w:r>
                      <w:rPr>
                        <w:rFonts w:ascii="宋体" w:hAnsi="宋体"/>
                        <w:sz w:val="26"/>
                        <w:szCs w:val="26"/>
                      </w:rPr>
                      <w:fldChar w:fldCharType="begin"/>
                    </w:r>
                    <w:r>
                      <w:rPr>
                        <w:rStyle w:val="17"/>
                        <w:rFonts w:ascii="宋体" w:hAnsi="宋体"/>
                        <w:sz w:val="26"/>
                        <w:szCs w:val="26"/>
                      </w:rPr>
                      <w:instrText xml:space="preserve">PAGE  </w:instrText>
                    </w:r>
                    <w:r>
                      <w:rPr>
                        <w:rFonts w:ascii="宋体" w:hAnsi="宋体"/>
                        <w:sz w:val="26"/>
                        <w:szCs w:val="26"/>
                      </w:rPr>
                      <w:fldChar w:fldCharType="separate"/>
                    </w:r>
                    <w:r>
                      <w:rPr>
                        <w:rStyle w:val="17"/>
                        <w:rFonts w:ascii="宋体" w:hAnsi="宋体"/>
                        <w:sz w:val="26"/>
                        <w:szCs w:val="26"/>
                      </w:rPr>
                      <w:t>53</w:t>
                    </w:r>
                    <w:r>
                      <w:rPr>
                        <w:rFonts w:ascii="宋体" w:hAnsi="宋体"/>
                        <w:sz w:val="26"/>
                        <w:szCs w:val="26"/>
                      </w:rPr>
                      <w:fldChar w:fldCharType="end"/>
                    </w:r>
                    <w:r>
                      <w:rPr>
                        <w:rStyle w:val="17"/>
                        <w:rFonts w:hint="eastAsia" w:ascii="宋体" w:hAnsi="宋体"/>
                        <w:sz w:val="20"/>
                      </w:rPr>
                      <w:t xml:space="preserve">  </w:t>
                    </w:r>
                    <w:r>
                      <w:rPr>
                        <w:rStyle w:val="17"/>
                        <w:rFonts w:hint="eastAsia" w:ascii="宋体" w:hAnsi="宋体"/>
                        <w:sz w:val="28"/>
                        <w:szCs w:val="28"/>
                      </w:rPr>
                      <w:t>—</w:t>
                    </w:r>
                  </w:p>
                  <w:p w14:paraId="7B3A0D0F"/>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65460B9"/>
    <w:multiLevelType w:val="multilevel"/>
    <w:tmpl w:val="965460B9"/>
    <w:lvl w:ilvl="0" w:tentative="0">
      <w:start w:val="1"/>
      <w:numFmt w:val="bullet"/>
      <w:pStyle w:val="4"/>
      <w:lvlText w:val=""/>
      <w:lvlJc w:val="left"/>
      <w:pPr>
        <w:tabs>
          <w:tab w:val="left" w:pos="0"/>
        </w:tabs>
        <w:ind w:left="420" w:hanging="420"/>
      </w:pPr>
      <w:rPr>
        <w:rFonts w:hint="default" w:ascii="Wingdings" w:hAnsi="Wingdings"/>
      </w:rPr>
    </w:lvl>
    <w:lvl w:ilvl="1" w:tentative="0">
      <w:start w:val="1"/>
      <w:numFmt w:val="bullet"/>
      <w:lvlText w:val=""/>
      <w:lvlJc w:val="left"/>
      <w:pPr>
        <w:tabs>
          <w:tab w:val="left" w:pos="0"/>
        </w:tabs>
        <w:ind w:left="840" w:hanging="420"/>
      </w:pPr>
      <w:rPr>
        <w:rFonts w:hint="default" w:ascii="Wingdings" w:hAnsi="Wingdings"/>
      </w:rPr>
    </w:lvl>
    <w:lvl w:ilvl="2" w:tentative="0">
      <w:start w:val="1"/>
      <w:numFmt w:val="bullet"/>
      <w:lvlText w:val=""/>
      <w:lvlJc w:val="left"/>
      <w:pPr>
        <w:tabs>
          <w:tab w:val="left" w:pos="0"/>
        </w:tabs>
        <w:ind w:left="1260" w:hanging="420"/>
      </w:pPr>
      <w:rPr>
        <w:rFonts w:hint="default" w:ascii="Wingdings" w:hAnsi="Wingdings"/>
      </w:rPr>
    </w:lvl>
    <w:lvl w:ilvl="3" w:tentative="0">
      <w:start w:val="1"/>
      <w:numFmt w:val="bullet"/>
      <w:lvlText w:val=""/>
      <w:lvlJc w:val="left"/>
      <w:pPr>
        <w:tabs>
          <w:tab w:val="left" w:pos="0"/>
        </w:tabs>
        <w:ind w:left="1680" w:hanging="420"/>
      </w:pPr>
      <w:rPr>
        <w:rFonts w:hint="default" w:ascii="Wingdings" w:hAnsi="Wingdings"/>
      </w:rPr>
    </w:lvl>
    <w:lvl w:ilvl="4" w:tentative="0">
      <w:start w:val="1"/>
      <w:numFmt w:val="bullet"/>
      <w:lvlText w:val=""/>
      <w:lvlJc w:val="left"/>
      <w:pPr>
        <w:tabs>
          <w:tab w:val="left" w:pos="0"/>
        </w:tabs>
        <w:ind w:left="2100" w:hanging="420"/>
      </w:pPr>
      <w:rPr>
        <w:rFonts w:hint="default" w:ascii="Wingdings" w:hAnsi="Wingdings"/>
      </w:rPr>
    </w:lvl>
    <w:lvl w:ilvl="5" w:tentative="0">
      <w:start w:val="1"/>
      <w:numFmt w:val="bullet"/>
      <w:lvlText w:val=""/>
      <w:lvlJc w:val="left"/>
      <w:pPr>
        <w:tabs>
          <w:tab w:val="left" w:pos="0"/>
        </w:tabs>
        <w:ind w:left="2520" w:hanging="420"/>
      </w:pPr>
      <w:rPr>
        <w:rFonts w:hint="default" w:ascii="Wingdings" w:hAnsi="Wingdings"/>
      </w:rPr>
    </w:lvl>
    <w:lvl w:ilvl="6" w:tentative="0">
      <w:start w:val="1"/>
      <w:numFmt w:val="bullet"/>
      <w:lvlText w:val=""/>
      <w:lvlJc w:val="left"/>
      <w:pPr>
        <w:tabs>
          <w:tab w:val="left" w:pos="0"/>
        </w:tabs>
        <w:ind w:left="2940" w:hanging="420"/>
      </w:pPr>
      <w:rPr>
        <w:rFonts w:hint="default" w:ascii="Wingdings" w:hAnsi="Wingdings"/>
      </w:rPr>
    </w:lvl>
    <w:lvl w:ilvl="7" w:tentative="0">
      <w:start w:val="1"/>
      <w:numFmt w:val="bullet"/>
      <w:lvlText w:val=""/>
      <w:lvlJc w:val="left"/>
      <w:pPr>
        <w:tabs>
          <w:tab w:val="left" w:pos="0"/>
        </w:tabs>
        <w:ind w:left="3360" w:hanging="420"/>
      </w:pPr>
      <w:rPr>
        <w:rFonts w:hint="default" w:ascii="Wingdings" w:hAnsi="Wingdings"/>
      </w:rPr>
    </w:lvl>
    <w:lvl w:ilvl="8" w:tentative="0">
      <w:start w:val="1"/>
      <w:numFmt w:val="bullet"/>
      <w:lvlText w:val=""/>
      <w:lvlJc w:val="left"/>
      <w:pPr>
        <w:tabs>
          <w:tab w:val="left" w:pos="0"/>
        </w:tabs>
        <w:ind w:left="3780" w:hanging="420"/>
      </w:pPr>
      <w:rPr>
        <w:rFonts w:hint="default" w:ascii="Wingdings" w:hAnsi="Wingdings"/>
      </w:rPr>
    </w:lvl>
  </w:abstractNum>
  <w:abstractNum w:abstractNumId="1">
    <w:nsid w:val="999BBF4C"/>
    <w:multiLevelType w:val="singleLevel"/>
    <w:tmpl w:val="999BBF4C"/>
    <w:lvl w:ilvl="0" w:tentative="0">
      <w:start w:val="15"/>
      <w:numFmt w:val="chineseCounting"/>
      <w:suff w:val="nothing"/>
      <w:lvlText w:val="（%1）"/>
      <w:lvlJc w:val="left"/>
      <w:rPr>
        <w:rFonts w:hint="eastAsia"/>
      </w:rPr>
    </w:lvl>
  </w:abstractNum>
  <w:abstractNum w:abstractNumId="2">
    <w:nsid w:val="AF937B3C"/>
    <w:multiLevelType w:val="singleLevel"/>
    <w:tmpl w:val="AF937B3C"/>
    <w:lvl w:ilvl="0" w:tentative="0">
      <w:start w:val="5"/>
      <w:numFmt w:val="decimal"/>
      <w:suff w:val="nothing"/>
      <w:lvlText w:val="（%1）"/>
      <w:lvlJc w:val="left"/>
    </w:lvl>
  </w:abstractNum>
  <w:abstractNum w:abstractNumId="3">
    <w:nsid w:val="D4E5258F"/>
    <w:multiLevelType w:val="singleLevel"/>
    <w:tmpl w:val="D4E5258F"/>
    <w:lvl w:ilvl="0" w:tentative="0">
      <w:start w:val="2"/>
      <w:numFmt w:val="decimal"/>
      <w:suff w:val="nothing"/>
      <w:lvlText w:val="（%1）"/>
      <w:lvlJc w:val="left"/>
    </w:lvl>
  </w:abstractNum>
  <w:abstractNum w:abstractNumId="4">
    <w:nsid w:val="DD766D5E"/>
    <w:multiLevelType w:val="singleLevel"/>
    <w:tmpl w:val="DD766D5E"/>
    <w:lvl w:ilvl="0" w:tentative="0">
      <w:start w:val="7"/>
      <w:numFmt w:val="chineseCounting"/>
      <w:suff w:val="nothing"/>
      <w:lvlText w:val="（%1）"/>
      <w:lvlJc w:val="left"/>
      <w:rPr>
        <w:rFonts w:hint="eastAsia"/>
      </w:rPr>
    </w:lvl>
  </w:abstractNum>
  <w:abstractNum w:abstractNumId="5">
    <w:nsid w:val="27F4201E"/>
    <w:multiLevelType w:val="singleLevel"/>
    <w:tmpl w:val="27F4201E"/>
    <w:lvl w:ilvl="0" w:tentative="0">
      <w:start w:val="1"/>
      <w:numFmt w:val="decimal"/>
      <w:suff w:val="nothing"/>
      <w:lvlText w:val="（%1）"/>
      <w:lvlJc w:val="left"/>
    </w:lvl>
  </w:abstractNum>
  <w:abstractNum w:abstractNumId="6">
    <w:nsid w:val="7480A85E"/>
    <w:multiLevelType w:val="singleLevel"/>
    <w:tmpl w:val="7480A85E"/>
    <w:lvl w:ilvl="0" w:tentative="0">
      <w:start w:val="1"/>
      <w:numFmt w:val="chineseCounting"/>
      <w:suff w:val="nothing"/>
      <w:lvlText w:val="%1、"/>
      <w:lvlJc w:val="left"/>
      <w:rPr>
        <w:rFonts w:hint="eastAsia"/>
      </w:rPr>
    </w:lvl>
  </w:abstractNum>
  <w:abstractNum w:abstractNumId="7">
    <w:nsid w:val="7CF2F515"/>
    <w:multiLevelType w:val="singleLevel"/>
    <w:tmpl w:val="7CF2F515"/>
    <w:lvl w:ilvl="0" w:tentative="0">
      <w:start w:val="6"/>
      <w:numFmt w:val="decimal"/>
      <w:lvlText w:val="%1."/>
      <w:lvlJc w:val="left"/>
      <w:pPr>
        <w:tabs>
          <w:tab w:val="left" w:pos="312"/>
        </w:tabs>
      </w:pPr>
    </w:lvl>
  </w:abstractNum>
  <w:num w:numId="1">
    <w:abstractNumId w:val="0"/>
  </w:num>
  <w:num w:numId="2">
    <w:abstractNumId w:val="4"/>
  </w:num>
  <w:num w:numId="3">
    <w:abstractNumId w:val="1"/>
  </w:num>
  <w:num w:numId="4">
    <w:abstractNumId w:val="7"/>
  </w:num>
  <w:num w:numId="5">
    <w:abstractNumId w:val="2"/>
  </w:num>
  <w:num w:numId="6">
    <w:abstractNumId w:val="6"/>
  </w:num>
  <w:num w:numId="7">
    <w:abstractNumId w:val="3"/>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535E7A"/>
    <w:rsid w:val="0087167F"/>
    <w:rsid w:val="00E54D24"/>
    <w:rsid w:val="011E0236"/>
    <w:rsid w:val="012C18FE"/>
    <w:rsid w:val="01C829A9"/>
    <w:rsid w:val="01E4322D"/>
    <w:rsid w:val="03065425"/>
    <w:rsid w:val="045A3699"/>
    <w:rsid w:val="066E7569"/>
    <w:rsid w:val="07F61525"/>
    <w:rsid w:val="0A0A57FB"/>
    <w:rsid w:val="0D253295"/>
    <w:rsid w:val="0FE91A0F"/>
    <w:rsid w:val="1189248C"/>
    <w:rsid w:val="12B67CB7"/>
    <w:rsid w:val="12E34E3B"/>
    <w:rsid w:val="146A5814"/>
    <w:rsid w:val="146E2A1E"/>
    <w:rsid w:val="14A10B0A"/>
    <w:rsid w:val="15581B10"/>
    <w:rsid w:val="16353C00"/>
    <w:rsid w:val="16EF0253"/>
    <w:rsid w:val="1811244B"/>
    <w:rsid w:val="19C275C9"/>
    <w:rsid w:val="1A4C59BC"/>
    <w:rsid w:val="1B583048"/>
    <w:rsid w:val="1D9017B2"/>
    <w:rsid w:val="1E560BB7"/>
    <w:rsid w:val="206C567E"/>
    <w:rsid w:val="21C978F2"/>
    <w:rsid w:val="241D743A"/>
    <w:rsid w:val="253B2F53"/>
    <w:rsid w:val="25F567BB"/>
    <w:rsid w:val="293651BD"/>
    <w:rsid w:val="2CFA22B8"/>
    <w:rsid w:val="2D8C63A3"/>
    <w:rsid w:val="2E6F67F8"/>
    <w:rsid w:val="315E1E05"/>
    <w:rsid w:val="32437222"/>
    <w:rsid w:val="32CC2D9E"/>
    <w:rsid w:val="339E4C33"/>
    <w:rsid w:val="367114BE"/>
    <w:rsid w:val="3733163E"/>
    <w:rsid w:val="375F68D7"/>
    <w:rsid w:val="39681A1F"/>
    <w:rsid w:val="3E583C53"/>
    <w:rsid w:val="3E8B6203"/>
    <w:rsid w:val="401E254B"/>
    <w:rsid w:val="435517F7"/>
    <w:rsid w:val="43FA68FE"/>
    <w:rsid w:val="4698770F"/>
    <w:rsid w:val="48757D08"/>
    <w:rsid w:val="489857A5"/>
    <w:rsid w:val="492C093E"/>
    <w:rsid w:val="4BAD5A0B"/>
    <w:rsid w:val="505E4661"/>
    <w:rsid w:val="51281690"/>
    <w:rsid w:val="512C79D5"/>
    <w:rsid w:val="521C2FA3"/>
    <w:rsid w:val="52E835D6"/>
    <w:rsid w:val="52FB705C"/>
    <w:rsid w:val="57B04147"/>
    <w:rsid w:val="594D25DB"/>
    <w:rsid w:val="5C3B503D"/>
    <w:rsid w:val="5D170AFD"/>
    <w:rsid w:val="601654D5"/>
    <w:rsid w:val="60326087"/>
    <w:rsid w:val="60E530F9"/>
    <w:rsid w:val="635E3570"/>
    <w:rsid w:val="63E853DA"/>
    <w:rsid w:val="64657F6D"/>
    <w:rsid w:val="65B166F3"/>
    <w:rsid w:val="68A6334F"/>
    <w:rsid w:val="6E337B9A"/>
    <w:rsid w:val="6ED76777"/>
    <w:rsid w:val="6F437969"/>
    <w:rsid w:val="72DF4842"/>
    <w:rsid w:val="756B7C19"/>
    <w:rsid w:val="790B6163"/>
    <w:rsid w:val="794744F9"/>
    <w:rsid w:val="7C405318"/>
    <w:rsid w:val="7CF14EA8"/>
    <w:rsid w:val="7D605B62"/>
    <w:rsid w:val="7D8F755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qFormat="1" w:unhideWhenUsed="0" w:uiPriority="0" w:semiHidden="0" w:name="toc 9"/>
    <w:lsdException w:unhideWhenUsed="0" w:uiPriority="0" w:semiHidden="0" w:name="Normal Indent"/>
    <w:lsdException w:unhideWhenUsed="0" w:uiPriority="0" w:semiHidden="0" w:name="footnote text"/>
    <w:lsdException w:qFormat="1" w:unhideWhenUsed="0" w:uiPriority="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99" w:semiHidden="0" w:name="List"/>
    <w:lsdException w:unhideWhenUsed="0" w:uiPriority="0" w:semiHidden="0" w:name="List Bullet"/>
    <w:lsdException w:unhideWhenUsed="0" w:uiPriority="0" w:semiHidden="0" w:name="List Number"/>
    <w:lsdException w:unhideWhenUsed="0" w:uiPriority="0" w:semiHidden="0" w:name="List 2"/>
    <w:lsdException w:qFormat="1"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4"/>
    <w:basedOn w:val="1"/>
    <w:next w:val="1"/>
    <w:qFormat/>
    <w:uiPriority w:val="0"/>
    <w:pPr>
      <w:numPr>
        <w:ilvl w:val="0"/>
        <w:numId w:val="1"/>
      </w:numPr>
      <w:spacing w:line="360" w:lineRule="exact"/>
      <w:outlineLvl w:val="3"/>
    </w:pPr>
    <w:rPr>
      <w:rFonts w:ascii="微软雅黑" w:eastAsia="微软雅黑" w:cs="幼圆"/>
      <w:sz w:val="24"/>
      <w:lang w:bidi="ar-SA"/>
    </w:rPr>
  </w:style>
  <w:style w:type="character" w:default="1" w:styleId="16">
    <w:name w:val="Default Paragraph Font"/>
    <w:semiHidden/>
    <w:qFormat/>
    <w:uiPriority w:val="0"/>
  </w:style>
  <w:style w:type="table" w:default="1" w:styleId="14">
    <w:name w:val="Normal Table"/>
    <w:semiHidden/>
    <w:qFormat/>
    <w:uiPriority w:val="0"/>
    <w:tblPr>
      <w:tblCellMar>
        <w:top w:w="0" w:type="dxa"/>
        <w:left w:w="108" w:type="dxa"/>
        <w:bottom w:w="0" w:type="dxa"/>
        <w:right w:w="108" w:type="dxa"/>
      </w:tblCellMar>
    </w:tblPr>
  </w:style>
  <w:style w:type="paragraph" w:styleId="2">
    <w:name w:val="Body Text First Indent 2"/>
    <w:basedOn w:val="3"/>
    <w:next w:val="1"/>
    <w:qFormat/>
    <w:uiPriority w:val="0"/>
    <w:pPr>
      <w:spacing w:after="120" w:line="240" w:lineRule="auto"/>
      <w:ind w:left="420" w:leftChars="200" w:firstLine="420"/>
    </w:pPr>
    <w:rPr>
      <w:color w:val="auto"/>
      <w:sz w:val="21"/>
      <w:szCs w:val="24"/>
    </w:rPr>
  </w:style>
  <w:style w:type="paragraph" w:styleId="3">
    <w:name w:val="Body Text Indent"/>
    <w:basedOn w:val="1"/>
    <w:qFormat/>
    <w:uiPriority w:val="0"/>
    <w:pPr>
      <w:spacing w:after="120"/>
      <w:ind w:left="420" w:leftChars="200"/>
    </w:pPr>
    <w:rPr>
      <w:kern w:val="0"/>
      <w:sz w:val="24"/>
      <w:szCs w:val="20"/>
    </w:rPr>
  </w:style>
  <w:style w:type="paragraph" w:styleId="5">
    <w:name w:val="List 3"/>
    <w:basedOn w:val="1"/>
    <w:qFormat/>
    <w:uiPriority w:val="0"/>
    <w:pPr>
      <w:adjustRightInd/>
      <w:spacing w:line="240" w:lineRule="auto"/>
      <w:ind w:left="0" w:leftChars="0" w:firstLine="0" w:firstLineChars="0"/>
      <w:textAlignment w:val="auto"/>
    </w:pPr>
    <w:rPr>
      <w:sz w:val="21"/>
    </w:rPr>
  </w:style>
  <w:style w:type="paragraph" w:styleId="6">
    <w:name w:val="annotation text"/>
    <w:basedOn w:val="1"/>
    <w:semiHidden/>
    <w:qFormat/>
    <w:uiPriority w:val="0"/>
    <w:pPr>
      <w:jc w:val="left"/>
    </w:pPr>
    <w:rPr>
      <w:kern w:val="0"/>
      <w:sz w:val="24"/>
      <w:szCs w:val="20"/>
    </w:rPr>
  </w:style>
  <w:style w:type="paragraph" w:styleId="7">
    <w:name w:val="Body Text"/>
    <w:basedOn w:val="1"/>
    <w:next w:val="1"/>
    <w:qFormat/>
    <w:uiPriority w:val="0"/>
    <w:pPr>
      <w:widowControl/>
      <w:snapToGrid w:val="0"/>
      <w:spacing w:before="60" w:after="160" w:line="259" w:lineRule="auto"/>
      <w:ind w:right="113"/>
    </w:pPr>
    <w:rPr>
      <w:kern w:val="0"/>
      <w:sz w:val="18"/>
      <w:szCs w:val="20"/>
    </w:rPr>
  </w:style>
  <w:style w:type="paragraph" w:styleId="8">
    <w:name w:val="Body Text Indent 2"/>
    <w:basedOn w:val="1"/>
    <w:next w:val="2"/>
    <w:qFormat/>
    <w:uiPriority w:val="0"/>
    <w:pPr>
      <w:spacing w:line="400" w:lineRule="exact"/>
      <w:ind w:firstLine="573"/>
    </w:pPr>
    <w:rPr>
      <w:rFonts w:ascii="宋体" w:hAnsi="宋体"/>
      <w:sz w:val="28"/>
    </w:rPr>
  </w:style>
  <w:style w:type="paragraph" w:styleId="9">
    <w:name w:val="footer"/>
    <w:basedOn w:val="1"/>
    <w:next w:val="1"/>
    <w:qFormat/>
    <w:uiPriority w:val="99"/>
    <w:pPr>
      <w:tabs>
        <w:tab w:val="center" w:pos="4153"/>
        <w:tab w:val="right" w:pos="8306"/>
      </w:tabs>
      <w:snapToGrid w:val="0"/>
      <w:jc w:val="left"/>
    </w:pPr>
    <w:rPr>
      <w:kern w:val="0"/>
      <w:sz w:val="18"/>
      <w:szCs w:val="20"/>
    </w:rPr>
  </w:style>
  <w:style w:type="paragraph" w:styleId="10">
    <w:name w:val="List"/>
    <w:basedOn w:val="1"/>
    <w:qFormat/>
    <w:uiPriority w:val="99"/>
    <w:pPr>
      <w:widowControl/>
      <w:tabs>
        <w:tab w:val="center" w:pos="426"/>
      </w:tabs>
      <w:autoSpaceDE w:val="0"/>
      <w:autoSpaceDN w:val="0"/>
      <w:adjustRightInd w:val="0"/>
      <w:snapToGrid w:val="0"/>
      <w:jc w:val="center"/>
    </w:pPr>
    <w:rPr>
      <w:rFonts w:ascii="Times New Roman" w:hAnsi="Times New Roman" w:eastAsia="宋体" w:cs="Times New Roman"/>
      <w:bCs/>
      <w:kern w:val="0"/>
      <w:sz w:val="28"/>
      <w:szCs w:val="20"/>
    </w:rPr>
  </w:style>
  <w:style w:type="paragraph" w:styleId="11">
    <w:name w:val="toc 9"/>
    <w:basedOn w:val="1"/>
    <w:next w:val="1"/>
    <w:qFormat/>
    <w:uiPriority w:val="0"/>
    <w:pPr>
      <w:wordWrap w:val="0"/>
      <w:spacing w:line="240" w:lineRule="auto"/>
      <w:ind w:left="2975"/>
    </w:pPr>
    <w:rPr>
      <w:rFonts w:cs="Times New Roman"/>
      <w:sz w:val="21"/>
      <w:szCs w:val="22"/>
    </w:rPr>
  </w:style>
  <w:style w:type="paragraph" w:styleId="12">
    <w:name w:val="Body Text 2"/>
    <w:basedOn w:val="1"/>
    <w:qFormat/>
    <w:uiPriority w:val="0"/>
    <w:pPr>
      <w:spacing w:line="420" w:lineRule="exact"/>
    </w:pPr>
    <w:rPr>
      <w:sz w:val="28"/>
    </w:rPr>
  </w:style>
  <w:style w:type="paragraph" w:styleId="13">
    <w:name w:val="Normal (Web)"/>
    <w:basedOn w:val="1"/>
    <w:qFormat/>
    <w:uiPriority w:val="0"/>
    <w:pPr>
      <w:widowControl/>
      <w:spacing w:before="100" w:beforeAutospacing="1" w:after="100" w:afterAutospacing="1"/>
      <w:jc w:val="left"/>
    </w:pPr>
    <w:rPr>
      <w:rFonts w:ascii="宋体" w:hAnsi="宋体"/>
      <w:kern w:val="0"/>
      <w:sz w:val="24"/>
      <w:szCs w:val="20"/>
    </w:rPr>
  </w:style>
  <w:style w:type="table" w:styleId="15">
    <w:name w:val="Table Grid"/>
    <w:basedOn w:val="14"/>
    <w:qFormat/>
    <w:uiPriority w:val="0"/>
    <w:rPr>
      <w:lang w:val="en-US" w:eastAsia="zh-CN" w:bidi="ar-SA"/>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7">
    <w:name w:val="page number"/>
    <w:qFormat/>
    <w:uiPriority w:val="0"/>
  </w:style>
  <w:style w:type="character" w:styleId="18">
    <w:name w:val="annotation reference"/>
    <w:semiHidden/>
    <w:qFormat/>
    <w:uiPriority w:val="0"/>
    <w:rPr>
      <w:sz w:val="21"/>
    </w:rPr>
  </w:style>
  <w:style w:type="paragraph" w:customStyle="1" w:styleId="19">
    <w:name w:val="样式35"/>
    <w:basedOn w:val="1"/>
    <w:qFormat/>
    <w:uiPriority w:val="0"/>
    <w:pPr>
      <w:adjustRightInd w:val="0"/>
      <w:spacing w:line="312" w:lineRule="auto"/>
      <w:ind w:firstLine="567"/>
    </w:pPr>
    <w:rPr>
      <w:rFonts w:ascii="宋体"/>
      <w:kern w:val="0"/>
      <w:sz w:val="28"/>
      <w:szCs w:val="20"/>
    </w:rPr>
  </w:style>
  <w:style w:type="paragraph" w:customStyle="1" w:styleId="20">
    <w:name w:val="报告正文"/>
    <w:basedOn w:val="1"/>
    <w:qFormat/>
    <w:uiPriority w:val="0"/>
    <w:pPr>
      <w:adjustRightInd w:val="0"/>
      <w:snapToGrid w:val="0"/>
      <w:spacing w:line="480" w:lineRule="exact"/>
      <w:ind w:firstLine="560" w:firstLineChars="200"/>
    </w:pPr>
    <w:rPr>
      <w:rFonts w:ascii="Times New Roman" w:hAnsi="Times New Roman"/>
      <w:color w:val="000000"/>
      <w:sz w:val="24"/>
      <w:szCs w:val="24"/>
    </w:rPr>
  </w:style>
  <w:style w:type="paragraph" w:customStyle="1" w:styleId="21">
    <w:name w:val="xl24"/>
    <w:basedOn w:val="1"/>
    <w:qFormat/>
    <w:uiPriority w:val="0"/>
    <w:pPr>
      <w:widowControl/>
      <w:pBdr>
        <w:left w:val="single" w:color="auto" w:sz="4" w:space="0"/>
        <w:bottom w:val="single" w:color="auto" w:sz="4" w:space="0"/>
        <w:right w:val="single" w:color="auto" w:sz="4" w:space="0"/>
      </w:pBdr>
      <w:spacing w:before="100" w:beforeLines="0" w:after="100" w:afterLines="0"/>
      <w:jc w:val="center"/>
      <w:textAlignment w:val="center"/>
    </w:pPr>
    <w:rPr>
      <w:rFonts w:ascii="宋体" w:hAnsi="宋体"/>
      <w:kern w:val="0"/>
      <w:sz w:val="24"/>
      <w:szCs w:val="24"/>
    </w:rPr>
  </w:style>
  <w:style w:type="paragraph" w:customStyle="1" w:styleId="22">
    <w:name w:val="样式1"/>
    <w:basedOn w:val="1"/>
    <w:qFormat/>
    <w:uiPriority w:val="0"/>
    <w:pPr>
      <w:spacing w:line="360" w:lineRule="auto"/>
      <w:ind w:firstLine="480"/>
      <w:jc w:val="both"/>
    </w:pPr>
    <w:rPr>
      <w:rFonts w:cs="Times New Roman"/>
      <w:szCs w:val="24"/>
    </w:rPr>
  </w:style>
  <w:style w:type="paragraph" w:customStyle="1" w:styleId="23">
    <w:name w:val="Default"/>
    <w:basedOn w:val="24"/>
    <w:next w:val="11"/>
    <w:qFormat/>
    <w:uiPriority w:val="0"/>
    <w:pPr>
      <w:widowControl w:val="0"/>
      <w:autoSpaceDE w:val="0"/>
      <w:autoSpaceDN w:val="0"/>
      <w:adjustRightInd w:val="0"/>
    </w:pPr>
    <w:rPr>
      <w:rFonts w:ascii="Calibri" w:hAnsi="Calibri"/>
      <w:color w:val="000000"/>
      <w:sz w:val="24"/>
      <w:szCs w:val="24"/>
      <w:lang w:val="en-US" w:eastAsia="zh-CN" w:bidi="ar-SA"/>
    </w:rPr>
  </w:style>
  <w:style w:type="paragraph" w:customStyle="1" w:styleId="24">
    <w:name w:val="标题2"/>
    <w:basedOn w:val="1"/>
    <w:next w:val="1"/>
    <w:qFormat/>
    <w:uiPriority w:val="0"/>
    <w:pPr>
      <w:spacing w:line="360" w:lineRule="auto"/>
      <w:ind w:firstLine="0" w:firstLineChars="0"/>
      <w:jc w:val="left"/>
    </w:pPr>
    <w:rPr>
      <w:rFonts w:ascii="Times New Roman" w:hAnsi="Times New Roman" w:eastAsia="宋体" w:cs="Times New Roman"/>
      <w:b/>
      <w:sz w:val="28"/>
    </w:rPr>
  </w:style>
  <w:style w:type="paragraph" w:customStyle="1" w:styleId="25">
    <w:name w:val="11正文"/>
    <w:qFormat/>
    <w:uiPriority w:val="0"/>
    <w:pPr>
      <w:spacing w:line="360" w:lineRule="auto"/>
      <w:ind w:firstLine="200" w:firstLineChars="200"/>
      <w:jc w:val="both"/>
    </w:pPr>
    <w:rPr>
      <w:rFonts w:ascii="Times New Roman" w:hAnsi="Times New Roman" w:eastAsia="宋体" w:cs="Times New Roman"/>
      <w:kern w:val="2"/>
      <w:sz w:val="24"/>
      <w:szCs w:val="22"/>
      <w:lang w:val="en-US" w:eastAsia="zh-CN" w:bidi="ar-SA"/>
    </w:rPr>
  </w:style>
  <w:style w:type="paragraph" w:customStyle="1" w:styleId="26">
    <w:name w:val="表格"/>
    <w:basedOn w:val="10"/>
    <w:next w:val="1"/>
    <w:qFormat/>
    <w:uiPriority w:val="0"/>
    <w:pPr>
      <w:adjustRightInd w:val="0"/>
      <w:snapToGrid w:val="0"/>
      <w:spacing w:beforeLines="10" w:afterLines="10" w:line="259" w:lineRule="auto"/>
      <w:jc w:val="center"/>
    </w:pPr>
    <w:rPr>
      <w:rFonts w:ascii="宋体"/>
      <w:kern w:val="0"/>
      <w:szCs w:val="20"/>
    </w:rPr>
  </w:style>
  <w:style w:type="paragraph" w:customStyle="1" w:styleId="27">
    <w:name w:val="表格5号"/>
    <w:basedOn w:val="1"/>
    <w:qFormat/>
    <w:uiPriority w:val="0"/>
    <w:pPr>
      <w:spacing w:line="240" w:lineRule="auto"/>
      <w:ind w:firstLine="0" w:firstLineChars="0"/>
      <w:jc w:val="center"/>
    </w:pPr>
    <w:rPr>
      <w:rFonts w:ascii="Times New Roman" w:hAnsi="Times New Roman" w:eastAsia="宋体"/>
      <w:sz w:val="21"/>
    </w:rPr>
  </w:style>
  <w:style w:type="paragraph" w:customStyle="1" w:styleId="28">
    <w:name w:val="11正文-书"/>
    <w:qFormat/>
    <w:uiPriority w:val="0"/>
    <w:pPr>
      <w:spacing w:line="360" w:lineRule="auto"/>
      <w:ind w:firstLine="480" w:firstLineChars="200"/>
      <w:jc w:val="both"/>
    </w:pPr>
    <w:rPr>
      <w:rFonts w:ascii="Times New Roman" w:hAnsi="Times New Roman" w:eastAsia="宋体" w:cs="Times New Roman"/>
      <w:sz w:val="24"/>
      <w:szCs w:val="24"/>
      <w:lang w:val="en-US" w:eastAsia="zh-CN" w:bidi="ar-SA"/>
    </w:rPr>
  </w:style>
  <w:style w:type="paragraph" w:customStyle="1" w:styleId="29">
    <w:name w:val="表格标题-书"/>
    <w:next w:val="30"/>
    <w:qFormat/>
    <w:uiPriority w:val="0"/>
    <w:pPr>
      <w:jc w:val="center"/>
    </w:pPr>
    <w:rPr>
      <w:rFonts w:ascii="Times New Roman" w:hAnsi="Times New Roman" w:eastAsia="宋体" w:cs="Times New Roman"/>
      <w:b/>
      <w:sz w:val="21"/>
      <w:szCs w:val="22"/>
      <w:lang w:val="en-US" w:eastAsia="zh-CN" w:bidi="ar-SA"/>
    </w:rPr>
  </w:style>
  <w:style w:type="paragraph" w:customStyle="1" w:styleId="30">
    <w:name w:val="表格文字-书"/>
    <w:qFormat/>
    <w:uiPriority w:val="0"/>
    <w:pPr>
      <w:jc w:val="center"/>
    </w:pPr>
    <w:rPr>
      <w:rFonts w:ascii="Times New Roman" w:hAnsi="Times New Roman" w:eastAsia="宋体" w:cs="Times New Roman"/>
      <w:sz w:val="21"/>
      <w:szCs w:val="22"/>
      <w:lang w:val="en-US" w:eastAsia="zh-CN" w:bidi="ar-SA"/>
    </w:rPr>
  </w:style>
  <w:style w:type="paragraph" w:customStyle="1" w:styleId="31">
    <w:name w:val="表"/>
    <w:basedOn w:val="1"/>
    <w:qFormat/>
    <w:uiPriority w:val="0"/>
    <w:pPr>
      <w:ind w:firstLine="0" w:firstLineChars="0"/>
    </w:pPr>
    <w:rPr>
      <w:szCs w:val="20"/>
    </w:rPr>
  </w:style>
  <w:style w:type="paragraph" w:customStyle="1" w:styleId="32">
    <w:name w:val="正文1"/>
    <w:basedOn w:val="1"/>
    <w:qFormat/>
    <w:uiPriority w:val="0"/>
    <w:pPr>
      <w:adjustRightInd w:val="0"/>
      <w:snapToGrid w:val="0"/>
      <w:spacing w:line="480" w:lineRule="exact"/>
      <w:ind w:firstLine="200" w:firstLineChars="200"/>
    </w:pPr>
    <w:rPr>
      <w:sz w:val="24"/>
    </w:rPr>
  </w:style>
  <w:style w:type="paragraph" w:customStyle="1" w:styleId="33">
    <w:name w:val="Table Paragraph"/>
    <w:basedOn w:val="1"/>
    <w:qFormat/>
    <w:uiPriority w:val="1"/>
    <w:rPr>
      <w:rFonts w:ascii="宋体" w:hAnsi="宋体" w:eastAsia="宋体" w:cs="宋体"/>
    </w:rPr>
  </w:style>
  <w:style w:type="paragraph" w:customStyle="1" w:styleId="34">
    <w:name w:val="报告表正文"/>
    <w:basedOn w:val="1"/>
    <w:qFormat/>
    <w:uiPriority w:val="99"/>
    <w:pPr>
      <w:spacing w:line="360" w:lineRule="auto"/>
      <w:ind w:firstLine="200"/>
    </w:pPr>
    <w:rPr>
      <w:szCs w:val="20"/>
      <w:lang w:val="zh-CN"/>
    </w:rPr>
  </w:style>
</w:styles>
</file>

<file path=word/_rels/document.xml.rels><?xml version="1.0" encoding="UTF-8" standalone="yes"?>
<Relationships xmlns="http://schemas.openxmlformats.org/package/2006/relationships"><Relationship Id="rId9" Type="http://schemas.openxmlformats.org/officeDocument/2006/relationships/image" Target="media/image1.png"/><Relationship Id="rId8" Type="http://schemas.openxmlformats.org/officeDocument/2006/relationships/theme" Target="theme/theme1.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1" Type="http://schemas.openxmlformats.org/officeDocument/2006/relationships/fontTable" Target="fontTable.xml"/><Relationship Id="rId40" Type="http://schemas.openxmlformats.org/officeDocument/2006/relationships/numbering" Target="numbering.xml"/><Relationship Id="rId4" Type="http://schemas.openxmlformats.org/officeDocument/2006/relationships/footer" Target="footer2.xml"/><Relationship Id="rId39" Type="http://schemas.openxmlformats.org/officeDocument/2006/relationships/customXml" Target="../customXml/item1.xml"/><Relationship Id="rId38" Type="http://schemas.openxmlformats.org/officeDocument/2006/relationships/image" Target="media/image30.png"/><Relationship Id="rId37" Type="http://schemas.openxmlformats.org/officeDocument/2006/relationships/image" Target="media/image29.png"/><Relationship Id="rId36" Type="http://schemas.openxmlformats.org/officeDocument/2006/relationships/image" Target="media/image28.png"/><Relationship Id="rId35" Type="http://schemas.openxmlformats.org/officeDocument/2006/relationships/image" Target="media/image27.png"/><Relationship Id="rId34" Type="http://schemas.openxmlformats.org/officeDocument/2006/relationships/image" Target="media/image26.png"/><Relationship Id="rId33" Type="http://schemas.openxmlformats.org/officeDocument/2006/relationships/image" Target="media/image25.png"/><Relationship Id="rId32" Type="http://schemas.openxmlformats.org/officeDocument/2006/relationships/image" Target="media/image24.png"/><Relationship Id="rId31" Type="http://schemas.openxmlformats.org/officeDocument/2006/relationships/image" Target="media/image23.png"/><Relationship Id="rId30" Type="http://schemas.openxmlformats.org/officeDocument/2006/relationships/image" Target="media/image22.jpeg"/><Relationship Id="rId3" Type="http://schemas.openxmlformats.org/officeDocument/2006/relationships/footer" Target="footer1.xml"/><Relationship Id="rId29" Type="http://schemas.openxmlformats.org/officeDocument/2006/relationships/image" Target="media/image21.jpeg"/><Relationship Id="rId28" Type="http://schemas.openxmlformats.org/officeDocument/2006/relationships/image" Target="media/image20.jpeg"/><Relationship Id="rId27" Type="http://schemas.openxmlformats.org/officeDocument/2006/relationships/image" Target="media/image19.png"/><Relationship Id="rId26" Type="http://schemas.openxmlformats.org/officeDocument/2006/relationships/image" Target="media/image18.png"/><Relationship Id="rId25" Type="http://schemas.openxmlformats.org/officeDocument/2006/relationships/image" Target="media/image17.png"/><Relationship Id="rId24" Type="http://schemas.openxmlformats.org/officeDocument/2006/relationships/image" Target="media/image16.png"/><Relationship Id="rId23" Type="http://schemas.openxmlformats.org/officeDocument/2006/relationships/image" Target="media/image15.png"/><Relationship Id="rId22" Type="http://schemas.openxmlformats.org/officeDocument/2006/relationships/image" Target="media/image14.png"/><Relationship Id="rId21" Type="http://schemas.openxmlformats.org/officeDocument/2006/relationships/image" Target="media/image13.png"/><Relationship Id="rId20" Type="http://schemas.openxmlformats.org/officeDocument/2006/relationships/image" Target="media/image12.png"/><Relationship Id="rId2" Type="http://schemas.openxmlformats.org/officeDocument/2006/relationships/settings" Target="settings.xml"/><Relationship Id="rId19" Type="http://schemas.openxmlformats.org/officeDocument/2006/relationships/image" Target="media/image11.png"/><Relationship Id="rId18" Type="http://schemas.openxmlformats.org/officeDocument/2006/relationships/image" Target="media/image10.jpeg"/><Relationship Id="rId17" Type="http://schemas.openxmlformats.org/officeDocument/2006/relationships/image" Target="media/image9.png"/><Relationship Id="rId16" Type="http://schemas.openxmlformats.org/officeDocument/2006/relationships/image" Target="media/image8.png"/><Relationship Id="rId15" Type="http://schemas.openxmlformats.org/officeDocument/2006/relationships/image" Target="media/image7.png"/><Relationship Id="rId14" Type="http://schemas.openxmlformats.org/officeDocument/2006/relationships/image" Target="media/image6.png"/><Relationship Id="rId13" Type="http://schemas.openxmlformats.org/officeDocument/2006/relationships/image" Target="media/image5.png"/><Relationship Id="rId12" Type="http://schemas.openxmlformats.org/officeDocument/2006/relationships/image" Target="media/image4.png"/><Relationship Id="rId11" Type="http://schemas.openxmlformats.org/officeDocument/2006/relationships/image" Target="media/image3.png"/><Relationship Id="rId10" Type="http://schemas.openxmlformats.org/officeDocument/2006/relationships/image" Target="media/image2.pn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2" Type="http://schemas.openxmlformats.org/officeDocument/2006/relationships/font" Target="fonts/font1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77</Pages>
  <Words>84</Words>
  <Characters>88</Characters>
  <Lines>0</Lines>
  <Paragraphs>0</Paragraphs>
  <TotalTime>3</TotalTime>
  <ScaleCrop>false</ScaleCrop>
  <LinksUpToDate>false</LinksUpToDate>
  <CharactersWithSpaces>176</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2026-10-12T00:04:00Z</dcterms:created>
  <dc:creator>Administrator</dc:creator>
  <cp:lastModifiedBy>史玉林</cp:lastModifiedBy>
  <dcterms:modified xsi:type="dcterms:W3CDTF">2026-10-16T03:16:31Z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eyJoZGlkIjoiMjhkYTJkOTY1NWUyMjZhMGU5ZGY2ZjhiN2Q5Mjk0MWQiLCJ1c2VySWQiOiIxMzk1Njc4MDk3In0=</vt:lpwstr>
  </property>
  <property fmtid="{D5CDD505-2E9C-101B-9397-08002B2CF9AE}" pid="4" name="ICV">
    <vt:lpwstr>461E18FC56E146D6B6C6E65266C1FE79_13</vt:lpwstr>
  </property>
</Properties>
</file>